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B611E">
      <w:pPr>
        <w:snapToGrid w:val="0"/>
        <w:spacing w:line="360" w:lineRule="auto"/>
        <w:jc w:val="center"/>
        <w:outlineLvl w:val="0"/>
        <w:rPr>
          <w:rFonts w:hint="eastAsia" w:ascii="宋体" w:hAnsi="宋体" w:eastAsia="宋体" w:cs="宋体"/>
          <w:b/>
          <w:bCs/>
          <w:color w:val="auto"/>
          <w:sz w:val="32"/>
          <w:szCs w:val="32"/>
          <w:highlight w:val="none"/>
          <w:lang w:val="zh-CN"/>
        </w:rPr>
      </w:pPr>
      <w:bookmarkStart w:id="0" w:name="_Toc21570"/>
      <w:bookmarkStart w:id="1" w:name="_Toc27845"/>
      <w:r>
        <w:rPr>
          <w:rFonts w:hint="eastAsia" w:ascii="宋体" w:hAnsi="宋体" w:eastAsia="宋体" w:cs="宋体"/>
          <w:b/>
          <w:bCs/>
          <w:color w:val="auto"/>
          <w:sz w:val="32"/>
          <w:szCs w:val="32"/>
          <w:highlight w:val="none"/>
          <w:lang w:val="zh-CN"/>
        </w:rPr>
        <w:t>合同主要条款</w:t>
      </w:r>
      <w:bookmarkEnd w:id="0"/>
      <w:bookmarkEnd w:id="1"/>
    </w:p>
    <w:p w14:paraId="5C7D35A8">
      <w:pPr>
        <w:tabs>
          <w:tab w:val="left" w:pos="5040"/>
        </w:tabs>
        <w:spacing w:line="480" w:lineRule="atLeast"/>
        <w:jc w:val="center"/>
        <w:rPr>
          <w:rFonts w:ascii="宋体" w:hAnsi="宋体" w:cs="宋体"/>
          <w:color w:val="auto"/>
          <w:sz w:val="28"/>
          <w:szCs w:val="28"/>
          <w:highlight w:val="none"/>
        </w:rPr>
      </w:pPr>
      <w:r>
        <w:rPr>
          <w:rFonts w:hint="eastAsia" w:ascii="宋体" w:hAnsi="宋体" w:eastAsia="宋体" w:cs="宋体"/>
          <w:b/>
          <w:color w:val="auto"/>
          <w:sz w:val="22"/>
          <w:szCs w:val="22"/>
          <w:highlight w:val="none"/>
        </w:rPr>
        <w:t>（以甲乙双方最终签订合同为准）</w:t>
      </w:r>
    </w:p>
    <w:p w14:paraId="7ED5DDC5">
      <w:pPr>
        <w:rPr>
          <w:rFonts w:ascii="宋体" w:hAnsi="宋体" w:cs="宋体"/>
          <w:b/>
          <w:color w:val="auto"/>
          <w:spacing w:val="26"/>
          <w:sz w:val="28"/>
          <w:highlight w:val="none"/>
        </w:rPr>
      </w:pPr>
    </w:p>
    <w:p w14:paraId="1B380664">
      <w:pPr>
        <w:pStyle w:val="4"/>
        <w:widowControl/>
        <w:spacing w:line="450" w:lineRule="atLeast"/>
        <w:rPr>
          <w:rFonts w:hint="eastAsia" w:ascii="宋体" w:hAnsi="宋体" w:cs="宋体"/>
          <w:b/>
          <w:bCs/>
          <w:color w:val="auto"/>
          <w:sz w:val="30"/>
          <w:szCs w:val="30"/>
          <w:highlight w:val="none"/>
          <w:lang w:eastAsia="zh-CN"/>
        </w:rPr>
      </w:pPr>
    </w:p>
    <w:p w14:paraId="5ACB0AEE">
      <w:pPr>
        <w:rPr>
          <w:rFonts w:hint="eastAsia" w:ascii="宋体" w:hAnsi="宋体" w:eastAsia="宋体" w:cs="宋体"/>
          <w:color w:val="auto"/>
          <w:sz w:val="32"/>
          <w:szCs w:val="32"/>
          <w:highlight w:val="none"/>
        </w:rPr>
      </w:pPr>
    </w:p>
    <w:p w14:paraId="2D337549">
      <w:pPr>
        <w:pStyle w:val="2"/>
        <w:rPr>
          <w:rFonts w:hint="eastAsia" w:ascii="宋体" w:hAnsi="宋体" w:eastAsia="宋体" w:cs="宋体"/>
          <w:color w:val="auto"/>
          <w:sz w:val="32"/>
          <w:szCs w:val="32"/>
          <w:highlight w:val="none"/>
        </w:rPr>
      </w:pPr>
    </w:p>
    <w:p w14:paraId="657C5078">
      <w:pPr>
        <w:rPr>
          <w:rFonts w:hint="eastAsia"/>
          <w:color w:val="auto"/>
        </w:rPr>
      </w:pPr>
    </w:p>
    <w:p w14:paraId="2A515352">
      <w:pPr>
        <w:tabs>
          <w:tab w:val="left" w:pos="5670"/>
        </w:tabs>
        <w:autoSpaceDE w:val="0"/>
        <w:autoSpaceDN w:val="0"/>
        <w:adjustRightInd w:val="0"/>
        <w:snapToGrid w:val="0"/>
        <w:spacing w:line="480" w:lineRule="auto"/>
        <w:jc w:val="center"/>
        <w:rPr>
          <w:rFonts w:hint="default" w:ascii="宋体" w:hAnsi="宋体" w:eastAsia="宋体" w:cs="宋体"/>
          <w:b/>
          <w:bCs/>
          <w:color w:val="auto"/>
          <w:sz w:val="56"/>
          <w:szCs w:val="56"/>
          <w:highlight w:val="none"/>
          <w:lang w:val="zh-CN"/>
        </w:rPr>
      </w:pPr>
      <w:r>
        <w:rPr>
          <w:rFonts w:hint="eastAsia" w:ascii="宋体" w:hAnsi="宋体" w:cs="宋体"/>
          <w:b/>
          <w:bCs/>
          <w:color w:val="auto"/>
          <w:sz w:val="56"/>
          <w:szCs w:val="56"/>
          <w:highlight w:val="none"/>
          <w:lang w:val="zh-CN"/>
        </w:rPr>
        <w:t>项目咨询评估审查</w:t>
      </w:r>
    </w:p>
    <w:p w14:paraId="3A564C9F">
      <w:pPr>
        <w:pStyle w:val="2"/>
        <w:rPr>
          <w:rFonts w:hint="eastAsia" w:ascii="宋体" w:hAnsi="宋体" w:eastAsia="宋体" w:cs="宋体"/>
          <w:color w:val="auto"/>
          <w:sz w:val="44"/>
          <w:szCs w:val="44"/>
          <w:highlight w:val="none"/>
        </w:rPr>
      </w:pPr>
      <w:r>
        <w:rPr>
          <w:rFonts w:hint="eastAsia" w:ascii="宋体" w:hAnsi="宋体" w:cs="宋体"/>
          <w:b/>
          <w:bCs/>
          <w:color w:val="auto"/>
          <w:sz w:val="40"/>
          <w:szCs w:val="40"/>
          <w:highlight w:val="none"/>
          <w:u w:val="none"/>
          <w:lang w:val="en-US" w:eastAsia="zh-CN"/>
        </w:rPr>
        <w:t xml:space="preserve">               </w:t>
      </w:r>
    </w:p>
    <w:p w14:paraId="2F5A91E7">
      <w:pPr>
        <w:rPr>
          <w:rFonts w:hint="eastAsia" w:ascii="宋体" w:hAnsi="宋体" w:eastAsia="宋体" w:cs="宋体"/>
          <w:color w:val="auto"/>
          <w:sz w:val="44"/>
          <w:szCs w:val="44"/>
          <w:highlight w:val="none"/>
        </w:rPr>
      </w:pPr>
    </w:p>
    <w:p w14:paraId="24481A5E">
      <w:pPr>
        <w:spacing w:before="0" w:line="360" w:lineRule="auto"/>
        <w:jc w:val="center"/>
        <w:rPr>
          <w:rFonts w:hint="eastAsia" w:ascii="宋体" w:hAnsi="宋体" w:eastAsia="宋体" w:cs="宋体"/>
          <w:b/>
          <w:color w:val="auto"/>
          <w:sz w:val="52"/>
          <w:szCs w:val="52"/>
          <w:highlight w:val="none"/>
          <w:lang w:val="en-US" w:eastAsia="zh-CN"/>
        </w:rPr>
      </w:pPr>
      <w:r>
        <w:rPr>
          <w:rFonts w:hint="eastAsia" w:ascii="宋体" w:hAnsi="宋体" w:eastAsia="宋体" w:cs="宋体"/>
          <w:b/>
          <w:color w:val="auto"/>
          <w:sz w:val="52"/>
          <w:szCs w:val="52"/>
          <w:highlight w:val="none"/>
        </w:rPr>
        <w:t>合同</w:t>
      </w:r>
      <w:r>
        <w:rPr>
          <w:rFonts w:hint="eastAsia" w:ascii="宋体" w:hAnsi="宋体" w:eastAsia="宋体" w:cs="宋体"/>
          <w:b/>
          <w:color w:val="auto"/>
          <w:sz w:val="52"/>
          <w:szCs w:val="52"/>
          <w:highlight w:val="none"/>
          <w:lang w:val="en-US" w:eastAsia="zh-CN"/>
        </w:rPr>
        <w:t>协议书</w:t>
      </w:r>
    </w:p>
    <w:p w14:paraId="19A84320">
      <w:pPr>
        <w:spacing w:line="360" w:lineRule="auto"/>
        <w:ind w:firstLine="0"/>
        <w:outlineLvl w:val="9"/>
        <w:rPr>
          <w:rFonts w:hint="default" w:ascii="Times New Roman" w:hAnsi="Times New Roman"/>
          <w:color w:val="auto"/>
          <w:sz w:val="21"/>
          <w:highlight w:val="none"/>
        </w:rPr>
      </w:pPr>
    </w:p>
    <w:p w14:paraId="53D80ECB">
      <w:pPr>
        <w:spacing w:line="360" w:lineRule="auto"/>
        <w:ind w:firstLine="0"/>
        <w:outlineLvl w:val="9"/>
        <w:rPr>
          <w:rFonts w:hint="default" w:ascii="Times New Roman" w:hAnsi="Times New Roman"/>
          <w:color w:val="auto"/>
          <w:sz w:val="21"/>
          <w:highlight w:val="none"/>
        </w:rPr>
      </w:pPr>
    </w:p>
    <w:p w14:paraId="33DFB007">
      <w:pPr>
        <w:spacing w:line="360" w:lineRule="auto"/>
        <w:ind w:firstLine="0"/>
        <w:outlineLvl w:val="9"/>
        <w:rPr>
          <w:rFonts w:hint="eastAsia" w:ascii="宋体" w:hAnsi="宋体" w:eastAsia="宋体" w:cs="宋体"/>
          <w:color w:val="auto"/>
          <w:sz w:val="32"/>
          <w:highlight w:val="none"/>
          <w:lang w:val="en-US" w:eastAsia="zh-CN"/>
        </w:rPr>
      </w:pPr>
      <w:bookmarkStart w:id="2" w:name="_Toc11529"/>
    </w:p>
    <w:p w14:paraId="74153F6A">
      <w:pPr>
        <w:spacing w:line="360" w:lineRule="auto"/>
        <w:ind w:firstLine="0"/>
        <w:outlineLvl w:val="9"/>
        <w:rPr>
          <w:rFonts w:hint="eastAsia" w:ascii="宋体" w:hAnsi="宋体" w:eastAsia="宋体" w:cs="宋体"/>
          <w:color w:val="auto"/>
          <w:sz w:val="32"/>
          <w:highlight w:val="none"/>
          <w:lang w:val="en-US" w:eastAsia="zh-CN"/>
        </w:rPr>
      </w:pPr>
    </w:p>
    <w:p w14:paraId="6497A714">
      <w:pPr>
        <w:rPr>
          <w:rFonts w:hint="eastAsia" w:ascii="宋体" w:hAnsi="宋体" w:eastAsia="宋体" w:cs="宋体"/>
          <w:color w:val="auto"/>
          <w:sz w:val="32"/>
          <w:highlight w:val="none"/>
          <w:lang w:val="en-US" w:eastAsia="zh-CN"/>
        </w:rPr>
      </w:pPr>
    </w:p>
    <w:p w14:paraId="4CB4D526">
      <w:pPr>
        <w:rPr>
          <w:rFonts w:hint="eastAsia"/>
          <w:color w:val="auto"/>
          <w:highlight w:val="none"/>
          <w:lang w:val="en-US" w:eastAsia="zh-CN"/>
        </w:rPr>
      </w:pPr>
    </w:p>
    <w:p w14:paraId="69161080">
      <w:pPr>
        <w:spacing w:line="360" w:lineRule="auto"/>
        <w:ind w:firstLine="0"/>
        <w:outlineLvl w:val="9"/>
        <w:rPr>
          <w:rFonts w:hint="eastAsia" w:ascii="宋体" w:hAnsi="宋体" w:eastAsia="宋体" w:cs="宋体"/>
          <w:color w:val="auto"/>
          <w:sz w:val="32"/>
          <w:highlight w:val="none"/>
          <w:lang w:val="en-US" w:eastAsia="zh-CN"/>
        </w:rPr>
      </w:pPr>
    </w:p>
    <w:p w14:paraId="7220C505">
      <w:pPr>
        <w:spacing w:line="360" w:lineRule="auto"/>
        <w:ind w:firstLine="0"/>
        <w:outlineLvl w:val="9"/>
        <w:rPr>
          <w:rFonts w:hint="eastAsia" w:ascii="宋体" w:hAnsi="宋体" w:eastAsia="宋体" w:cs="宋体"/>
          <w:color w:val="auto"/>
          <w:sz w:val="32"/>
          <w:highlight w:val="none"/>
        </w:rPr>
      </w:pPr>
      <w:r>
        <w:rPr>
          <w:rFonts w:hint="eastAsia" w:ascii="宋体" w:hAnsi="宋体" w:eastAsia="宋体" w:cs="宋体"/>
          <w:color w:val="auto"/>
          <w:sz w:val="32"/>
          <w:highlight w:val="none"/>
          <w:lang w:val="en-US" w:eastAsia="zh-CN"/>
        </w:rPr>
        <w:t>甲方</w:t>
      </w:r>
      <w:r>
        <w:rPr>
          <w:rFonts w:hint="eastAsia" w:ascii="宋体" w:hAnsi="宋体" w:eastAsia="宋体" w:cs="宋体"/>
          <w:color w:val="auto"/>
          <w:sz w:val="32"/>
          <w:highlight w:val="none"/>
        </w:rPr>
        <w:t>：</w:t>
      </w:r>
      <w:bookmarkEnd w:id="2"/>
      <w:r>
        <w:rPr>
          <w:rFonts w:hint="eastAsia" w:ascii="宋体" w:hAnsi="宋体" w:eastAsia="宋体" w:cs="宋体"/>
          <w:color w:val="auto"/>
          <w:sz w:val="32"/>
          <w:highlight w:val="none"/>
          <w:u w:val="single"/>
        </w:rPr>
        <w:t xml:space="preserve">                        </w:t>
      </w:r>
      <w:r>
        <w:rPr>
          <w:rFonts w:hint="eastAsia" w:ascii="宋体" w:hAnsi="宋体" w:cs="宋体"/>
          <w:color w:val="auto"/>
          <w:sz w:val="32"/>
          <w:highlight w:val="none"/>
          <w:u w:val="single"/>
          <w:lang w:val="en-US" w:eastAsia="zh-CN"/>
        </w:rPr>
        <w:t xml:space="preserve">           </w:t>
      </w:r>
      <w:r>
        <w:rPr>
          <w:rFonts w:hint="eastAsia" w:ascii="宋体" w:hAnsi="宋体" w:eastAsia="宋体" w:cs="宋体"/>
          <w:color w:val="auto"/>
          <w:sz w:val="32"/>
          <w:highlight w:val="none"/>
        </w:rPr>
        <w:t xml:space="preserve">       </w:t>
      </w:r>
      <w:r>
        <w:rPr>
          <w:rFonts w:hint="eastAsia" w:ascii="宋体" w:hAnsi="宋体" w:eastAsia="宋体" w:cs="宋体"/>
          <w:color w:val="auto"/>
          <w:sz w:val="32"/>
          <w:highlight w:val="none"/>
          <w:lang w:val="en-US" w:eastAsia="zh-CN"/>
        </w:rPr>
        <w:t xml:space="preserve">  </w:t>
      </w:r>
      <w:r>
        <w:rPr>
          <w:rFonts w:hint="eastAsia" w:ascii="宋体" w:hAnsi="宋体" w:eastAsia="宋体" w:cs="宋体"/>
          <w:color w:val="auto"/>
          <w:sz w:val="32"/>
          <w:highlight w:val="none"/>
        </w:rPr>
        <w:t xml:space="preserve">  </w:t>
      </w:r>
    </w:p>
    <w:p w14:paraId="60E68982">
      <w:pPr>
        <w:spacing w:line="360" w:lineRule="auto"/>
        <w:ind w:firstLine="0"/>
        <w:outlineLvl w:val="9"/>
        <w:rPr>
          <w:rFonts w:hint="eastAsia" w:ascii="宋体" w:hAnsi="宋体" w:eastAsia="宋体" w:cs="宋体"/>
          <w:color w:val="auto"/>
          <w:sz w:val="32"/>
          <w:highlight w:val="none"/>
          <w:u w:val="single"/>
        </w:rPr>
      </w:pPr>
      <w:bookmarkStart w:id="3" w:name="_Toc25237"/>
      <w:r>
        <w:rPr>
          <w:rFonts w:hint="eastAsia" w:ascii="宋体" w:hAnsi="宋体" w:eastAsia="宋体" w:cs="宋体"/>
          <w:color w:val="auto"/>
          <w:sz w:val="32"/>
          <w:highlight w:val="none"/>
          <w:lang w:val="en-US" w:eastAsia="zh-CN"/>
        </w:rPr>
        <w:t>乙方</w:t>
      </w:r>
      <w:r>
        <w:rPr>
          <w:rFonts w:hint="eastAsia" w:ascii="宋体" w:hAnsi="宋体" w:eastAsia="宋体" w:cs="宋体"/>
          <w:color w:val="auto"/>
          <w:sz w:val="32"/>
          <w:highlight w:val="none"/>
        </w:rPr>
        <w:t>：</w:t>
      </w:r>
      <w:bookmarkEnd w:id="3"/>
      <w:r>
        <w:rPr>
          <w:rFonts w:hint="eastAsia" w:ascii="宋体" w:hAnsi="宋体" w:eastAsia="宋体" w:cs="宋体"/>
          <w:color w:val="auto"/>
          <w:sz w:val="32"/>
          <w:highlight w:val="none"/>
          <w:u w:val="single"/>
        </w:rPr>
        <w:t xml:space="preserve">                                   </w:t>
      </w:r>
    </w:p>
    <w:p w14:paraId="6EEB727E">
      <w:pPr>
        <w:keepNext w:val="0"/>
        <w:keepLines w:val="0"/>
        <w:pageBreakBefore w:val="0"/>
        <w:kinsoku/>
        <w:wordWrap/>
        <w:overflowPunct/>
        <w:topLinePunct w:val="0"/>
        <w:bidi w:val="0"/>
        <w:adjustRightInd w:val="0"/>
        <w:snapToGrid w:val="0"/>
        <w:spacing w:line="360" w:lineRule="auto"/>
        <w:ind w:left="0" w:firstLine="0" w:firstLineChars="0"/>
        <w:textAlignment w:val="auto"/>
        <w:rPr>
          <w:rFonts w:hint="eastAsia" w:ascii="宋体" w:hAnsi="宋体" w:cs="微软雅黑"/>
          <w:color w:val="auto"/>
          <w:sz w:val="21"/>
          <w:szCs w:val="21"/>
          <w:highlight w:val="none"/>
        </w:rPr>
      </w:pPr>
      <w:r>
        <w:rPr>
          <w:rFonts w:hint="eastAsia" w:ascii="宋体" w:hAnsi="宋体" w:eastAsia="宋体" w:cs="宋体"/>
          <w:color w:val="auto"/>
          <w:sz w:val="32"/>
          <w:highlight w:val="none"/>
        </w:rPr>
        <w:t>时间：</w:t>
      </w:r>
      <w:r>
        <w:rPr>
          <w:rFonts w:hint="eastAsia" w:ascii="宋体" w:hAnsi="宋体" w:eastAsia="宋体" w:cs="宋体"/>
          <w:color w:val="auto"/>
          <w:sz w:val="32"/>
          <w:highlight w:val="none"/>
          <w:u w:val="single"/>
        </w:rPr>
        <w:t xml:space="preserve">                           </w:t>
      </w:r>
      <w:r>
        <w:rPr>
          <w:rFonts w:hint="eastAsia" w:ascii="宋体" w:hAnsi="宋体" w:cs="宋体"/>
          <w:color w:val="auto"/>
          <w:sz w:val="32"/>
          <w:highlight w:val="none"/>
          <w:u w:val="single"/>
          <w:lang w:val="en-US" w:eastAsia="zh-CN"/>
        </w:rPr>
        <w:t xml:space="preserve">        </w:t>
      </w:r>
      <w:r>
        <w:rPr>
          <w:rFonts w:hint="eastAsia" w:ascii="宋体" w:hAnsi="宋体" w:cs="宋体"/>
          <w:b/>
          <w:color w:val="auto"/>
          <w:sz w:val="48"/>
          <w:szCs w:val="48"/>
          <w:highlight w:val="none"/>
        </w:rPr>
        <w:br w:type="page"/>
      </w:r>
      <w:r>
        <w:rPr>
          <w:rFonts w:hint="eastAsia" w:ascii="宋体" w:hAnsi="宋体" w:cs="宋体"/>
          <w:b/>
          <w:color w:val="auto"/>
          <w:sz w:val="21"/>
          <w:szCs w:val="21"/>
          <w:highlight w:val="none"/>
          <w:lang w:val="en-US" w:eastAsia="zh-CN"/>
        </w:rPr>
        <w:t xml:space="preserve">    </w:t>
      </w:r>
      <w:r>
        <w:rPr>
          <w:rFonts w:hint="eastAsia" w:ascii="宋体" w:hAnsi="宋体" w:cs="微软雅黑"/>
          <w:color w:val="auto"/>
          <w:sz w:val="21"/>
          <w:szCs w:val="21"/>
          <w:highlight w:val="none"/>
        </w:rPr>
        <w:t>甲方：</w:t>
      </w:r>
      <w:r>
        <w:rPr>
          <w:rFonts w:hint="eastAsia" w:ascii="宋体" w:hAnsi="宋体" w:cs="微软雅黑"/>
          <w:color w:val="auto"/>
          <w:sz w:val="21"/>
          <w:szCs w:val="21"/>
          <w:highlight w:val="none"/>
          <w:u w:val="single"/>
        </w:rPr>
        <w:t xml:space="preserve">（采购人）                         </w:t>
      </w:r>
    </w:p>
    <w:p w14:paraId="450367A5">
      <w:pPr>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cs="微软雅黑"/>
          <w:color w:val="auto"/>
          <w:sz w:val="21"/>
          <w:szCs w:val="21"/>
          <w:highlight w:val="none"/>
        </w:rPr>
      </w:pPr>
      <w:r>
        <w:rPr>
          <w:rFonts w:hint="eastAsia" w:ascii="宋体" w:hAnsi="宋体" w:cs="微软雅黑"/>
          <w:color w:val="auto"/>
          <w:sz w:val="21"/>
          <w:szCs w:val="21"/>
          <w:highlight w:val="none"/>
        </w:rPr>
        <w:t>乙方：</w:t>
      </w:r>
      <w:r>
        <w:rPr>
          <w:rFonts w:hint="eastAsia" w:ascii="宋体" w:hAnsi="宋体" w:cs="微软雅黑"/>
          <w:color w:val="auto"/>
          <w:sz w:val="21"/>
          <w:szCs w:val="21"/>
          <w:highlight w:val="none"/>
          <w:u w:val="single"/>
        </w:rPr>
        <w:t xml:space="preserve">（供应商名称）                     </w:t>
      </w:r>
    </w:p>
    <w:p w14:paraId="1439CEB2">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根据《中华人民共和国民法典》、《中华人民共和国政府采购法》及其它相关法律、法规，经甲、乙双方协商一致，甲方委托乙方承担</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eastAsia="zh-CN"/>
        </w:rPr>
        <w:t>（</w:t>
      </w:r>
      <w:r>
        <w:rPr>
          <w:rFonts w:hint="eastAsia" w:ascii="宋体" w:hAnsi="宋体" w:cs="宋体"/>
          <w:color w:val="auto"/>
          <w:sz w:val="21"/>
          <w:szCs w:val="21"/>
          <w:highlight w:val="none"/>
          <w:u w:val="single"/>
          <w:lang w:val="en-US" w:eastAsia="zh-CN"/>
        </w:rPr>
        <w:t>项目名称</w:t>
      </w:r>
      <w:r>
        <w:rPr>
          <w:rFonts w:hint="eastAsia" w:ascii="宋体" w:hAnsi="宋体" w:cs="宋体"/>
          <w:color w:val="auto"/>
          <w:sz w:val="21"/>
          <w:szCs w:val="21"/>
          <w:highlight w:val="none"/>
          <w:u w:val="single"/>
          <w:lang w:eastAsia="zh-CN"/>
        </w:rPr>
        <w:t>）</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项目技术服务，经双方协商一致，签订本合同，并共同履行。</w:t>
      </w:r>
    </w:p>
    <w:p w14:paraId="49782872">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一、服务内容</w:t>
      </w:r>
    </w:p>
    <w:p w14:paraId="0513FBD4">
      <w:pPr>
        <w:keepNext w:val="0"/>
        <w:keepLines w:val="0"/>
        <w:pageBreakBefore w:val="0"/>
        <w:kinsoku/>
        <w:wordWrap/>
        <w:overflowPunct/>
        <w:topLinePunct w:val="0"/>
        <w:autoSpaceDE w:val="0"/>
        <w:autoSpaceDN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1.工作范围</w:t>
      </w:r>
    </w:p>
    <w:p w14:paraId="3B8CF131">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对市交通局负责审批的普通国省干线公路养护工程等项目</w:t>
      </w:r>
      <w:r>
        <w:rPr>
          <w:rFonts w:hint="eastAsia" w:ascii="宋体" w:hAnsi="宋体" w:cs="宋体"/>
          <w:color w:val="auto"/>
          <w:sz w:val="21"/>
          <w:szCs w:val="21"/>
          <w:highlight w:val="none"/>
          <w:lang w:val="en-US" w:eastAsia="zh-CN"/>
        </w:rPr>
        <w:t>初步设计（方案设计）、</w:t>
      </w:r>
      <w:r>
        <w:rPr>
          <w:rFonts w:hint="eastAsia" w:ascii="宋体" w:hAnsi="宋体" w:eastAsia="宋体" w:cs="宋体"/>
          <w:color w:val="auto"/>
          <w:sz w:val="21"/>
          <w:szCs w:val="21"/>
          <w:highlight w:val="none"/>
          <w:lang w:eastAsia="zh-CN"/>
        </w:rPr>
        <w:t>施工图设计、变更设计，农村公路建设工程、养护工程等项目</w:t>
      </w:r>
      <w:r>
        <w:rPr>
          <w:rFonts w:hint="eastAsia" w:ascii="宋体" w:hAnsi="宋体" w:cs="宋体"/>
          <w:color w:val="auto"/>
          <w:sz w:val="21"/>
          <w:szCs w:val="21"/>
          <w:highlight w:val="none"/>
          <w:lang w:val="en-US" w:eastAsia="zh-CN"/>
        </w:rPr>
        <w:t>初步设计（方案设计）、</w:t>
      </w:r>
      <w:r>
        <w:rPr>
          <w:rFonts w:hint="eastAsia" w:ascii="宋体" w:hAnsi="宋体" w:eastAsia="宋体" w:cs="宋体"/>
          <w:color w:val="auto"/>
          <w:sz w:val="21"/>
          <w:szCs w:val="21"/>
          <w:highlight w:val="none"/>
          <w:lang w:eastAsia="zh-CN"/>
        </w:rPr>
        <w:t>施工图设计、变更设计，危桥改造工程施工图设计等进行评审，并出具正式技术审查意见</w:t>
      </w:r>
      <w:r>
        <w:rPr>
          <w:rFonts w:hint="eastAsia" w:ascii="宋体" w:hAnsi="宋体" w:eastAsia="宋体" w:cs="宋体"/>
          <w:color w:val="auto"/>
          <w:sz w:val="21"/>
          <w:szCs w:val="21"/>
          <w:highlight w:val="none"/>
        </w:rPr>
        <w:t>。</w:t>
      </w:r>
    </w:p>
    <w:p w14:paraId="79A1E6D0">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.工作重点</w:t>
      </w:r>
    </w:p>
    <w:p w14:paraId="03D05493">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结合本项目特点对以下内容进行重点服务：</w:t>
      </w:r>
    </w:p>
    <w:p w14:paraId="23AC853E">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地质资料是否齐全，是否满足设计需要；</w:t>
      </w:r>
      <w:bookmarkStart w:id="4" w:name="_GoBack"/>
      <w:bookmarkEnd w:id="4"/>
    </w:p>
    <w:p w14:paraId="7A74D522">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对路线方案和技术标准提出合理化建议；</w:t>
      </w:r>
    </w:p>
    <w:p w14:paraId="1736EF71">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）逐段核查路线平、纵面设计的均衡性、协调性，核查水文计算资料及构造物与沿线地形、地质的匹配情况等；对长大纵坡路段的平纵面设计及其他需要优化路段的平纵面设计指标提出具体优化方案和建议；</w:t>
      </w:r>
    </w:p>
    <w:p w14:paraId="437D7CB6">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对</w:t>
      </w:r>
      <w:r>
        <w:rPr>
          <w:rFonts w:hint="eastAsia" w:ascii="宋体" w:hAnsi="宋体" w:eastAsia="宋体" w:cs="宋体"/>
          <w:color w:val="auto"/>
          <w:sz w:val="21"/>
          <w:szCs w:val="21"/>
          <w:highlight w:val="none"/>
        </w:rPr>
        <w:t>路面结构组合设计、路面铺筑宽度、基层材料的配合比提出合理化建议；</w:t>
      </w:r>
      <w:r>
        <w:rPr>
          <w:rFonts w:hint="eastAsia" w:ascii="宋体" w:hAnsi="宋体" w:cs="宋体"/>
          <w:color w:val="auto"/>
          <w:sz w:val="21"/>
          <w:szCs w:val="21"/>
          <w:highlight w:val="none"/>
          <w:lang w:val="en-US" w:eastAsia="zh-CN"/>
        </w:rPr>
        <w:t>核查路面养护方案合理性；</w:t>
      </w:r>
    </w:p>
    <w:p w14:paraId="6408FE00">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）对路基处理、边坡防护等提出合理化意见和建议；</w:t>
      </w:r>
    </w:p>
    <w:p w14:paraId="6D8E9CFD">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）对桥梁</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隧道</w:t>
      </w:r>
      <w:r>
        <w:rPr>
          <w:rFonts w:hint="eastAsia" w:ascii="宋体" w:hAnsi="宋体" w:eastAsia="宋体" w:cs="宋体"/>
          <w:color w:val="auto"/>
          <w:sz w:val="21"/>
          <w:szCs w:val="21"/>
          <w:highlight w:val="none"/>
        </w:rPr>
        <w:t>工程设计提出具体意见和建议，为结构安全和降低造价起到重要的作用；</w:t>
      </w:r>
    </w:p>
    <w:p w14:paraId="55D2FC3E">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）核查采用非部颁标准图纸或通用图的桥涵结构计算书。对设计中采用的新材料、新工艺、新技术等进行可靠性分析；</w:t>
      </w:r>
    </w:p>
    <w:p w14:paraId="18B31393">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 xml:space="preserve">）安全设施根据路线、地形、交叉情况和构筑物提出具体措施。 </w:t>
      </w:r>
    </w:p>
    <w:p w14:paraId="23A73FB6">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施工组织设计</w:t>
      </w:r>
      <w:r>
        <w:rPr>
          <w:rFonts w:hint="eastAsia" w:ascii="宋体" w:hAnsi="宋体" w:eastAsia="宋体" w:cs="宋体"/>
          <w:color w:val="auto"/>
          <w:sz w:val="21"/>
          <w:szCs w:val="21"/>
          <w:highlight w:val="none"/>
        </w:rPr>
        <w:t>内容是否全面，</w:t>
      </w:r>
      <w:r>
        <w:rPr>
          <w:rFonts w:hint="eastAsia" w:ascii="宋体" w:hAnsi="宋体" w:eastAsia="宋体" w:cs="宋体"/>
          <w:color w:val="auto"/>
          <w:sz w:val="21"/>
          <w:szCs w:val="21"/>
          <w:highlight w:val="none"/>
          <w:lang w:eastAsia="zh-CN"/>
        </w:rPr>
        <w:t>施工</w:t>
      </w:r>
      <w:r>
        <w:rPr>
          <w:rFonts w:hint="eastAsia" w:ascii="宋体" w:hAnsi="宋体" w:eastAsia="宋体" w:cs="宋体"/>
          <w:color w:val="auto"/>
          <w:sz w:val="21"/>
          <w:szCs w:val="21"/>
          <w:highlight w:val="none"/>
        </w:rPr>
        <w:t>方案是否合理</w:t>
      </w:r>
      <w:r>
        <w:rPr>
          <w:rFonts w:hint="eastAsia" w:ascii="宋体" w:hAnsi="宋体" w:eastAsia="宋体" w:cs="宋体"/>
          <w:color w:val="auto"/>
          <w:sz w:val="21"/>
          <w:szCs w:val="21"/>
          <w:highlight w:val="none"/>
          <w:lang w:eastAsia="zh-CN"/>
        </w:rPr>
        <w:t>，是否与设计方案相匹配</w:t>
      </w:r>
      <w:r>
        <w:rPr>
          <w:rFonts w:hint="eastAsia" w:ascii="宋体" w:hAnsi="宋体" w:eastAsia="宋体" w:cs="宋体"/>
          <w:color w:val="auto"/>
          <w:sz w:val="21"/>
          <w:szCs w:val="21"/>
          <w:highlight w:val="none"/>
        </w:rPr>
        <w:t>；</w:t>
      </w:r>
    </w:p>
    <w:p w14:paraId="37808553">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有关费用编制依据、费率、设计</w:t>
      </w:r>
      <w:r>
        <w:rPr>
          <w:rFonts w:hint="eastAsia" w:ascii="宋体" w:hAnsi="宋体" w:eastAsia="宋体" w:cs="宋体"/>
          <w:color w:val="auto"/>
          <w:sz w:val="21"/>
          <w:szCs w:val="21"/>
          <w:highlight w:val="none"/>
          <w:lang w:eastAsia="zh-CN"/>
        </w:rPr>
        <w:t>概预算</w:t>
      </w:r>
      <w:r>
        <w:rPr>
          <w:rFonts w:hint="eastAsia" w:ascii="宋体" w:hAnsi="宋体" w:eastAsia="宋体" w:cs="宋体"/>
          <w:color w:val="auto"/>
          <w:sz w:val="21"/>
          <w:szCs w:val="21"/>
          <w:highlight w:val="none"/>
        </w:rPr>
        <w:t>的合理性；</w:t>
      </w:r>
    </w:p>
    <w:p w14:paraId="17109B9C">
      <w:pPr>
        <w:numPr>
          <w:ilvl w:val="0"/>
          <w:numId w:val="0"/>
        </w:numPr>
        <w:bidi w:val="0"/>
        <w:spacing w:line="360" w:lineRule="auto"/>
        <w:ind w:firstLine="420" w:firstLineChars="200"/>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.服务期：</w:t>
      </w:r>
      <w:r>
        <w:rPr>
          <w:rFonts w:hint="eastAsia" w:ascii="宋体" w:hAnsi="宋体" w:eastAsia="宋体" w:cs="宋体"/>
          <w:color w:val="auto"/>
          <w:sz w:val="21"/>
          <w:szCs w:val="21"/>
          <w:highlight w:val="none"/>
          <w:lang w:val="en-US" w:eastAsia="zh-CN"/>
        </w:rPr>
        <w:t>自</w:t>
      </w:r>
      <w:r>
        <w:rPr>
          <w:rFonts w:hint="eastAsia" w:ascii="宋体" w:hAnsi="宋体" w:eastAsia="宋体" w:cs="宋体"/>
          <w:color w:val="auto"/>
          <w:sz w:val="21"/>
          <w:szCs w:val="21"/>
          <w:highlight w:val="none"/>
          <w:lang w:val="zh-CN" w:eastAsia="zh-CN"/>
        </w:rPr>
        <w:t>合同签订后一年</w:t>
      </w:r>
      <w:r>
        <w:rPr>
          <w:rFonts w:hint="eastAsia" w:ascii="宋体" w:hAnsi="宋体" w:eastAsia="宋体" w:cs="宋体"/>
          <w:color w:val="auto"/>
          <w:sz w:val="21"/>
          <w:szCs w:val="21"/>
          <w:highlight w:val="none"/>
        </w:rPr>
        <w:t>。</w:t>
      </w:r>
      <w:r>
        <w:rPr>
          <w:rFonts w:hint="eastAsia" w:ascii="宋体" w:hAnsi="宋体" w:eastAsia="宋体" w:cs="宋体"/>
          <w:b w:val="0"/>
          <w:bCs/>
          <w:color w:val="auto"/>
          <w:kern w:val="2"/>
          <w:sz w:val="21"/>
          <w:szCs w:val="21"/>
          <w:highlight w:val="none"/>
          <w:u w:val="none"/>
          <w:lang w:val="zh-CN" w:eastAsia="zh-CN" w:bidi="ar-SA"/>
        </w:rPr>
        <w:t>文件审查应在甲方提供设计文件后，7天内提交中间审查意见，15天内提交正式审查报告。</w:t>
      </w:r>
    </w:p>
    <w:p w14:paraId="001BDC51">
      <w:pPr>
        <w:keepNext w:val="0"/>
        <w:keepLines w:val="0"/>
        <w:pageBreakBefore w:val="0"/>
        <w:kinsoku/>
        <w:wordWrap/>
        <w:overflowPunct/>
        <w:topLinePunct w:val="0"/>
        <w:autoSpaceDE w:val="0"/>
        <w:autoSpaceDN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.质量标准：</w:t>
      </w:r>
      <w:r>
        <w:rPr>
          <w:rFonts w:hint="eastAsia" w:ascii="宋体" w:hAnsi="宋体" w:eastAsia="宋体" w:cs="宋体"/>
          <w:color w:val="auto"/>
          <w:sz w:val="21"/>
          <w:szCs w:val="21"/>
          <w:highlight w:val="none"/>
          <w:lang w:val="en-US" w:eastAsia="zh-CN"/>
        </w:rPr>
        <w:t>符合国家及行业现行技术标准、规范、规程、编制办法</w:t>
      </w:r>
      <w:r>
        <w:rPr>
          <w:rFonts w:hint="eastAsia" w:ascii="宋体" w:hAnsi="宋体" w:eastAsia="宋体" w:cs="宋体"/>
          <w:color w:val="auto"/>
          <w:sz w:val="21"/>
          <w:szCs w:val="21"/>
          <w:highlight w:val="none"/>
        </w:rPr>
        <w:t>。</w:t>
      </w:r>
    </w:p>
    <w:p w14:paraId="1738D806">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.工作要求</w:t>
      </w:r>
    </w:p>
    <w:p w14:paraId="67BB8D27">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1）乙方应配备经验丰富的技术人员，项目负责人和专业咨询人员应基本固定，同时应配备3-5人与设计单位协同工作、随时对接。</w:t>
      </w:r>
    </w:p>
    <w:p w14:paraId="011E0F15">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2）乙方应当参加项目外业验收及各阶段的设计和方案论证审查以及重大、较大变更设计审查等工作，并出具咨询意见。</w:t>
      </w:r>
    </w:p>
    <w:p w14:paraId="6BDBD88A">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3）乙方应主动与设计单位进行交流和沟通，将主要咨询意见及时消化、修正。</w:t>
      </w:r>
    </w:p>
    <w:p w14:paraId="46DC7E80">
      <w:pPr>
        <w:keepNext w:val="0"/>
        <w:keepLines w:val="0"/>
        <w:pageBreakBefore w:val="0"/>
        <w:widowControl/>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4）审查报告应突出重点、简明扼要、图文并茂，汇报中应说明咨询过程中哪些意见被采纳或哪些问题还存在争议需进一步讨论等。</w:t>
      </w:r>
    </w:p>
    <w:p w14:paraId="193250AB">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二、合同价款及付款方式</w:t>
      </w:r>
    </w:p>
    <w:p w14:paraId="7BCF85BA">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1.本合同采用</w:t>
      </w:r>
      <w:r>
        <w:rPr>
          <w:rFonts w:hint="eastAsia" w:ascii="宋体" w:hAnsi="宋体" w:cs="宋体"/>
          <w:color w:val="auto"/>
          <w:sz w:val="21"/>
          <w:szCs w:val="21"/>
          <w:highlight w:val="none"/>
          <w:lang w:val="en-US" w:eastAsia="zh-CN"/>
        </w:rPr>
        <w:t>固定总价</w:t>
      </w:r>
      <w:r>
        <w:rPr>
          <w:rFonts w:hint="eastAsia" w:ascii="宋体" w:hAnsi="宋体" w:eastAsia="宋体" w:cs="宋体"/>
          <w:color w:val="auto"/>
          <w:sz w:val="21"/>
          <w:szCs w:val="21"/>
          <w:highlight w:val="none"/>
        </w:rPr>
        <w:t>合同，</w:t>
      </w:r>
      <w:r>
        <w:rPr>
          <w:rFonts w:hint="eastAsia" w:ascii="宋体" w:hAnsi="宋体" w:cs="宋体"/>
          <w:color w:val="auto"/>
          <w:sz w:val="21"/>
          <w:szCs w:val="21"/>
          <w:highlight w:val="none"/>
          <w:lang w:val="en-US" w:eastAsia="zh-CN"/>
        </w:rPr>
        <w:t>合同金额（人民币）</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大写：</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 xml:space="preserve"> ,小写：</w:t>
      </w:r>
      <w:r>
        <w:rPr>
          <w:rFonts w:hint="eastAsia" w:ascii="宋体"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w:t>
      </w:r>
    </w:p>
    <w:p w14:paraId="56E90281">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2.支付方式</w:t>
      </w:r>
      <w:r>
        <w:rPr>
          <w:rFonts w:hint="eastAsia" w:ascii="宋体" w:hAnsi="宋体" w:eastAsia="宋体" w:cs="宋体"/>
          <w:color w:val="auto"/>
          <w:sz w:val="21"/>
          <w:szCs w:val="21"/>
          <w:highlight w:val="none"/>
          <w:lang w:val="en-US" w:eastAsia="zh-CN"/>
        </w:rPr>
        <w:t>:</w:t>
      </w:r>
    </w:p>
    <w:p w14:paraId="5437D175">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 预付款，合同签订后，达到付款条件起7个工作日内，支付合同总金额的40.0%</w:t>
      </w:r>
      <w:r>
        <w:rPr>
          <w:rFonts w:hint="eastAsia" w:ascii="宋体" w:hAnsi="宋体" w:cs="宋体"/>
          <w:color w:val="auto"/>
          <w:sz w:val="21"/>
          <w:szCs w:val="21"/>
          <w:highlight w:val="none"/>
          <w:lang w:eastAsia="zh-CN"/>
        </w:rPr>
        <w:t>；</w:t>
      </w:r>
    </w:p>
    <w:p w14:paraId="331EF2DD">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进度款，各项工作完成并通过验收后，达到付款条件起15个工作日内，支付合同总金额的60.0%。</w:t>
      </w:r>
    </w:p>
    <w:p w14:paraId="36434849">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三、甲方权利及义务</w:t>
      </w:r>
    </w:p>
    <w:p w14:paraId="7430EA18">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1.为乙方提供设计审查的原始资料，为乙方与相关设计单位搭建相互沟通平台；</w:t>
      </w:r>
    </w:p>
    <w:p w14:paraId="2172C5EB">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.按时支付设计审查费用。</w:t>
      </w:r>
    </w:p>
    <w:p w14:paraId="67F6EEB3">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四、乙方权利及义务</w:t>
      </w:r>
    </w:p>
    <w:p w14:paraId="63F14981">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1.按现行标准、规范、规程和技术条例进行现场勘查、文件审查，按期保质提交意见；</w:t>
      </w:r>
    </w:p>
    <w:p w14:paraId="7BB7F05A">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2.在文件审查过程中发现的相关重大技术问题应及时向甲方提出专题报告；</w:t>
      </w:r>
    </w:p>
    <w:p w14:paraId="64C5A9A3">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3.对在现场勘查和文件审查工作过程中自身的人身安全和财产安全负完全责任。</w:t>
      </w:r>
    </w:p>
    <w:p w14:paraId="42CE2F48">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4.甲方变更资料，</w:t>
      </w:r>
      <w:r>
        <w:rPr>
          <w:rFonts w:hint="eastAsia" w:ascii="宋体" w:hAnsi="宋体" w:eastAsia="宋体" w:cs="宋体"/>
          <w:color w:val="auto"/>
          <w:sz w:val="21"/>
          <w:szCs w:val="21"/>
          <w:highlight w:val="none"/>
        </w:rPr>
        <w:t>或所提供资料有较大修改，以致造成乙方需返工重审时，乙方应积极主动地进行重审，重审及重审相</w:t>
      </w:r>
      <w:r>
        <w:rPr>
          <w:rFonts w:hint="eastAsia" w:ascii="宋体" w:hAnsi="宋体" w:eastAsia="宋体" w:cs="宋体"/>
          <w:color w:val="auto"/>
          <w:kern w:val="0"/>
          <w:sz w:val="21"/>
          <w:szCs w:val="21"/>
          <w:highlight w:val="none"/>
        </w:rPr>
        <w:t>关费用均已包含在合同价格中；</w:t>
      </w:r>
    </w:p>
    <w:p w14:paraId="66F5D7A1">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5.甲方提供的文件资料仅供乙方咨询人员使用，乙方人员应做好保密工作。</w:t>
      </w:r>
    </w:p>
    <w:p w14:paraId="7E293A6D">
      <w:pPr>
        <w:pStyle w:val="7"/>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五、违约责任</w:t>
      </w:r>
    </w:p>
    <w:p w14:paraId="765FF899">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1.按《中华人民共和国民法典》中的相关条款执行。</w:t>
      </w:r>
    </w:p>
    <w:p w14:paraId="6D2830C0">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2.甲方如在合同签订后及乙方提供服务前因自身原因取消服务，或在合同履行中因非法定事由单方面解除合同的，须向对方支付合同金额的</w:t>
      </w:r>
      <w:r>
        <w:rPr>
          <w:rFonts w:hint="eastAsia" w:ascii="宋体" w:hAnsi="宋体" w:eastAsia="宋体" w:cs="宋体"/>
          <w:bCs/>
          <w:color w:val="auto"/>
          <w:sz w:val="21"/>
          <w:szCs w:val="21"/>
          <w:highlight w:val="none"/>
          <w:lang w:val="en-US" w:eastAsia="zh-CN"/>
        </w:rPr>
        <w:t>10</w:t>
      </w:r>
      <w:r>
        <w:rPr>
          <w:rFonts w:hint="eastAsia" w:ascii="宋体" w:hAnsi="宋体" w:eastAsia="宋体" w:cs="宋体"/>
          <w:bCs/>
          <w:color w:val="auto"/>
          <w:sz w:val="21"/>
          <w:szCs w:val="21"/>
          <w:highlight w:val="none"/>
        </w:rPr>
        <w:t>%作为违约金。</w:t>
      </w:r>
    </w:p>
    <w:p w14:paraId="21F96A64">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3.甲方如未能按合同约定支付所应付之款项，则自应付款之日起按应付款金额的日千分之三支付滞纳金，直至甲方支付完所有应付款之日止，且乙方有权随时终止本合同。</w:t>
      </w:r>
    </w:p>
    <w:p w14:paraId="167CBF3B">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4.乙</w:t>
      </w:r>
      <w:r>
        <w:rPr>
          <w:rFonts w:hint="eastAsia" w:ascii="宋体" w:hAnsi="宋体" w:eastAsia="宋体" w:cs="宋体"/>
          <w:color w:val="auto"/>
          <w:sz w:val="21"/>
          <w:szCs w:val="21"/>
          <w:highlight w:val="none"/>
        </w:rPr>
        <w:t>方逾期完成本合同约定工作，自逾期之日起，承担合同总价款1%/日的逾期违约金，逾期达7日，甲方有权解除合同，乙方向甲方承担合同总价款20%的合同解除违约金。</w:t>
      </w:r>
    </w:p>
    <w:p w14:paraId="74DA9F0D">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 乙方未对重要结构物进行结构验算，每发现一处，核减阶段咨询费3～5%。</w:t>
      </w:r>
    </w:p>
    <w:p w14:paraId="50A00E6B">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6.若设计深度不够或错误的，导致较大设计变更，乙方未提出的，核减咨询费的3～5%。</w:t>
      </w:r>
    </w:p>
    <w:p w14:paraId="7E15FC43">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7</w:t>
      </w:r>
      <w:r>
        <w:rPr>
          <w:rFonts w:hint="eastAsia" w:ascii="宋体" w:hAnsi="宋体" w:cs="宋体"/>
          <w:bCs/>
          <w:color w:val="auto"/>
          <w:sz w:val="21"/>
          <w:szCs w:val="21"/>
          <w:highlight w:val="none"/>
          <w:lang w:val="en-US" w:eastAsia="zh-CN"/>
        </w:rPr>
        <w:t>.</w:t>
      </w:r>
      <w:r>
        <w:rPr>
          <w:rFonts w:hint="eastAsia" w:ascii="宋体" w:hAnsi="宋体" w:eastAsia="宋体" w:cs="宋体"/>
          <w:bCs/>
          <w:color w:val="auto"/>
          <w:sz w:val="21"/>
          <w:szCs w:val="21"/>
          <w:highlight w:val="none"/>
        </w:rPr>
        <w:t>若设计图纸的勘察质量不满足要求，导致设计图纸与施工现场实际情况严重不符，乙方未发现的，并引起较大设计变更时，每发现一处，核减咨询费3～5%。</w:t>
      </w:r>
    </w:p>
    <w:p w14:paraId="4408F406">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六、争议解决</w:t>
      </w:r>
    </w:p>
    <w:p w14:paraId="6C336B10">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双方约定，凡因执行本合同所发生的与本合同有关的一切争议，当和解或调</w:t>
      </w:r>
      <w:r>
        <w:rPr>
          <w:rFonts w:hint="eastAsia" w:ascii="宋体" w:hAnsi="宋体" w:cs="宋体"/>
          <w:color w:val="auto"/>
          <w:sz w:val="21"/>
          <w:szCs w:val="21"/>
          <w:highlight w:val="none"/>
        </w:rPr>
        <w:t>解不成时，将争议提交</w:t>
      </w:r>
      <w:r>
        <w:rPr>
          <w:rFonts w:hint="eastAsia" w:ascii="宋体" w:hAnsi="宋体" w:cs="宋体"/>
          <w:color w:val="auto"/>
          <w:sz w:val="21"/>
          <w:szCs w:val="21"/>
          <w:highlight w:val="none"/>
          <w:u w:val="single"/>
        </w:rPr>
        <w:t xml:space="preserve"> 西安市 </w:t>
      </w:r>
      <w:r>
        <w:rPr>
          <w:rFonts w:hint="eastAsia" w:ascii="宋体" w:hAnsi="宋体" w:cs="宋体"/>
          <w:color w:val="auto"/>
          <w:sz w:val="21"/>
          <w:szCs w:val="21"/>
          <w:highlight w:val="none"/>
        </w:rPr>
        <w:t>仲裁委员会仲裁。</w:t>
      </w:r>
    </w:p>
    <w:p w14:paraId="105223F5">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七、其他</w:t>
      </w:r>
    </w:p>
    <w:p w14:paraId="718C4C61">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cs="宋体"/>
          <w:color w:val="auto"/>
          <w:spacing w:val="-8"/>
          <w:sz w:val="21"/>
          <w:szCs w:val="21"/>
          <w:highlight w:val="none"/>
        </w:rPr>
      </w:pPr>
      <w:r>
        <w:rPr>
          <w:rFonts w:hint="eastAsia" w:ascii="宋体" w:hAnsi="宋体" w:cs="宋体"/>
          <w:color w:val="auto"/>
          <w:sz w:val="21"/>
          <w:szCs w:val="21"/>
          <w:highlight w:val="none"/>
        </w:rPr>
        <w:t>1.</w:t>
      </w:r>
      <w:r>
        <w:rPr>
          <w:rFonts w:hint="eastAsia" w:ascii="宋体" w:hAnsi="宋体" w:cs="宋体"/>
          <w:color w:val="auto"/>
          <w:spacing w:val="-8"/>
          <w:sz w:val="21"/>
          <w:szCs w:val="21"/>
          <w:highlight w:val="none"/>
        </w:rPr>
        <w:t>甲方需要乙方承担本合同内容以外的服务，应另行协商。</w:t>
      </w:r>
    </w:p>
    <w:p w14:paraId="2CCCB615">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2.由于不可抗力因素，致使合同无法履行时，双方应及时协商解决。</w:t>
      </w:r>
    </w:p>
    <w:p w14:paraId="426A403D">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3.本合同未尽事宜，由双方协商签订补充协议，补充协议与本合同具有同等法律效力。</w:t>
      </w:r>
    </w:p>
    <w:p w14:paraId="6059CDA4">
      <w:pPr>
        <w:keepNext w:val="0"/>
        <w:keepLines w:val="0"/>
        <w:pageBreakBefore w:val="0"/>
        <w:kinsoku/>
        <w:wordWrap/>
        <w:overflowPunct/>
        <w:topLinePunct w:val="0"/>
        <w:bidi w:val="0"/>
        <w:adjustRightInd w:val="0"/>
        <w:snapToGrid w:val="0"/>
        <w:spacing w:line="360" w:lineRule="auto"/>
        <w:ind w:left="0"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4.本合同经双方签字并盖章即生效。双方履行完毕合同约定义务后，本合同即行终止。</w:t>
      </w:r>
    </w:p>
    <w:p w14:paraId="5DC35AF3">
      <w:pPr>
        <w:pStyle w:val="3"/>
        <w:keepNext w:val="0"/>
        <w:keepLines w:val="0"/>
        <w:pageBreakBefore w:val="0"/>
        <w:kinsoku/>
        <w:wordWrap/>
        <w:overflowPunct/>
        <w:topLinePunct w:val="0"/>
        <w:bidi w:val="0"/>
        <w:adjustRightInd w:val="0"/>
        <w:snapToGrid w:val="0"/>
        <w:spacing w:line="360" w:lineRule="auto"/>
        <w:ind w:left="0" w:firstLine="420" w:firstLineChars="200"/>
        <w:textAlignment w:val="auto"/>
        <w:rPr>
          <w:rFonts w:hint="default" w:ascii="宋体" w:hAnsi="宋体" w:eastAsia="宋体" w:cs="Times New Roman"/>
          <w:color w:val="auto"/>
          <w:kern w:val="2"/>
          <w:sz w:val="21"/>
          <w:szCs w:val="21"/>
          <w:highlight w:val="none"/>
          <w:lang w:val="en-US" w:eastAsia="zh-CN" w:bidi="ar-SA"/>
        </w:rPr>
      </w:pPr>
      <w:r>
        <w:rPr>
          <w:rFonts w:hint="eastAsia" w:ascii="宋体" w:hAnsi="宋体" w:cs="宋体"/>
          <w:color w:val="auto"/>
          <w:sz w:val="21"/>
          <w:szCs w:val="21"/>
          <w:highlight w:val="none"/>
        </w:rPr>
        <w:t>5.本合同共</w:t>
      </w:r>
      <w:r>
        <w:rPr>
          <w:rFonts w:hint="eastAsia" w:ascii="宋体"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rPr>
        <w:t>份，其中正本</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rPr>
        <w:t>份，副本</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rPr>
        <w:t>份。甲方执</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rPr>
        <w:t>份，乙方执</w:t>
      </w:r>
      <w:r>
        <w:rPr>
          <w:rFonts w:hint="eastAsia"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rPr>
        <w:t>份，具有同等法律效力；正本与副本不一致之处，以正本为准。</w:t>
      </w:r>
    </w:p>
    <w:p w14:paraId="024C409B">
      <w:pPr>
        <w:shd w:val="clea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p>
    <w:p w14:paraId="38272FE0">
      <w:pPr>
        <w:autoSpaceDE w:val="0"/>
        <w:autoSpaceDN w:val="0"/>
        <w:adjustRightInd w:val="0"/>
        <w:snapToGrid w:val="0"/>
        <w:spacing w:line="360" w:lineRule="auto"/>
        <w:ind w:firstLine="420" w:firstLineChars="200"/>
        <w:rPr>
          <w:rFonts w:hint="eastAsia" w:ascii="宋体" w:hAnsi="宋体"/>
          <w:color w:val="auto"/>
          <w:sz w:val="21"/>
          <w:szCs w:val="21"/>
          <w:highlight w:val="none"/>
          <w:lang w:val="zh-CN"/>
        </w:rPr>
      </w:pPr>
    </w:p>
    <w:p w14:paraId="6198E223">
      <w:pPr>
        <w:autoSpaceDE w:val="0"/>
        <w:autoSpaceDN w:val="0"/>
        <w:adjustRightInd w:val="0"/>
        <w:snapToGrid w:val="0"/>
        <w:spacing w:line="72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zh-CN"/>
        </w:rPr>
        <w:t>甲方名称（盖章）:</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zh-CN"/>
        </w:rPr>
        <w:t>乙方名称（盖章）:</w:t>
      </w:r>
    </w:p>
    <w:p w14:paraId="7F88231B">
      <w:pPr>
        <w:autoSpaceDE w:val="0"/>
        <w:autoSpaceDN w:val="0"/>
        <w:adjustRightInd w:val="0"/>
        <w:snapToGrid w:val="0"/>
        <w:spacing w:line="72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zh-CN"/>
        </w:rPr>
        <w:t>地址：</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zh-CN"/>
        </w:rPr>
        <w:t>地址：</w:t>
      </w:r>
    </w:p>
    <w:p w14:paraId="39615001">
      <w:pPr>
        <w:autoSpaceDE w:val="0"/>
        <w:autoSpaceDN w:val="0"/>
        <w:adjustRightInd w:val="0"/>
        <w:snapToGrid w:val="0"/>
        <w:spacing w:line="72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zh-CN"/>
        </w:rPr>
        <w:t>代表人（签字）：</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zh-CN"/>
        </w:rPr>
        <w:t>代表人（签字）：</w:t>
      </w:r>
    </w:p>
    <w:p w14:paraId="5976F40C">
      <w:pPr>
        <w:autoSpaceDE w:val="0"/>
        <w:autoSpaceDN w:val="0"/>
        <w:adjustRightInd w:val="0"/>
        <w:snapToGrid w:val="0"/>
        <w:spacing w:line="72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zh-CN"/>
        </w:rPr>
        <w:t>电话：</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zh-CN"/>
        </w:rPr>
        <w:t>电话：</w:t>
      </w:r>
    </w:p>
    <w:p w14:paraId="0094B149">
      <w:pPr>
        <w:autoSpaceDE w:val="0"/>
        <w:autoSpaceDN w:val="0"/>
        <w:adjustRightInd w:val="0"/>
        <w:snapToGrid w:val="0"/>
        <w:spacing w:line="72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lang w:val="zh-CN"/>
        </w:rPr>
        <w:t>开户银行：</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zh-CN"/>
        </w:rPr>
        <w:t>开户银行：</w:t>
      </w:r>
    </w:p>
    <w:p w14:paraId="719D80ED">
      <w:pPr>
        <w:ind w:firstLine="420" w:firstLineChars="200"/>
        <w:rPr>
          <w:color w:val="auto"/>
        </w:rPr>
      </w:pPr>
      <w:r>
        <w:rPr>
          <w:rFonts w:hint="eastAsia" w:ascii="宋体" w:hAnsi="宋体"/>
          <w:color w:val="auto"/>
          <w:sz w:val="21"/>
          <w:szCs w:val="21"/>
          <w:highlight w:val="none"/>
          <w:lang w:val="en-US" w:eastAsia="zh-CN"/>
        </w:rPr>
        <w:t>账</w:t>
      </w:r>
      <w:r>
        <w:rPr>
          <w:rFonts w:hint="eastAsia" w:ascii="宋体" w:hAnsi="宋体"/>
          <w:color w:val="auto"/>
          <w:sz w:val="21"/>
          <w:szCs w:val="21"/>
          <w:highlight w:val="none"/>
          <w:lang w:val="zh-CN"/>
        </w:rPr>
        <w:t>号：</w:t>
      </w:r>
      <w:r>
        <w:rPr>
          <w:rFonts w:hint="eastAsia" w:ascii="宋体" w:hAnsi="宋体"/>
          <w:color w:val="auto"/>
          <w:sz w:val="21"/>
          <w:szCs w:val="21"/>
          <w:highlight w:val="none"/>
          <w:lang w:val="en-US" w:eastAsia="zh-CN"/>
        </w:rPr>
        <w:t xml:space="preserve">                              账</w:t>
      </w:r>
      <w:r>
        <w:rPr>
          <w:rFonts w:hint="eastAsia" w:ascii="宋体" w:hAnsi="宋体"/>
          <w:color w:val="auto"/>
          <w:sz w:val="21"/>
          <w:szCs w:val="21"/>
          <w:highlight w:val="none"/>
          <w:lang w:val="zh-CN"/>
        </w:rPr>
        <w:t>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B266D"/>
    <w:rsid w:val="065F10D4"/>
    <w:rsid w:val="21556A3C"/>
    <w:rsid w:val="32BA6E40"/>
    <w:rsid w:val="362C2EF1"/>
    <w:rsid w:val="3C8B2FF3"/>
    <w:rsid w:val="3F1509DC"/>
    <w:rsid w:val="44DB266D"/>
    <w:rsid w:val="4E984750"/>
    <w:rsid w:val="52BC6534"/>
    <w:rsid w:val="54D152BE"/>
    <w:rsid w:val="6FEE246B"/>
    <w:rsid w:val="76572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1"/>
    <w:pPr>
      <w:spacing w:after="120"/>
    </w:pPr>
  </w:style>
  <w:style w:type="paragraph" w:styleId="3">
    <w:name w:val="Body Text Indent"/>
    <w:basedOn w:val="1"/>
    <w:next w:val="2"/>
    <w:qFormat/>
    <w:uiPriority w:val="0"/>
    <w:pPr>
      <w:ind w:firstLine="552"/>
    </w:pPr>
    <w:rPr>
      <w:rFonts w:ascii="宋体"/>
      <w:sz w:val="28"/>
    </w:rPr>
  </w:style>
  <w:style w:type="paragraph" w:styleId="4">
    <w:name w:val="Normal (Web)"/>
    <w:basedOn w:val="1"/>
    <w:qFormat/>
    <w:uiPriority w:val="0"/>
    <w:pPr>
      <w:jc w:val="left"/>
    </w:pPr>
    <w:rPr>
      <w:kern w:val="0"/>
      <w:sz w:val="24"/>
    </w:rPr>
  </w:style>
  <w:style w:type="paragraph" w:customStyle="1" w:styleId="7">
    <w:name w:val="Default"/>
    <w:qFormat/>
    <w:uiPriority w:val="0"/>
    <w:pPr>
      <w:widowControl w:val="0"/>
      <w:autoSpaceDE w:val="0"/>
      <w:autoSpaceDN w:val="0"/>
      <w:adjustRightInd w:val="0"/>
    </w:pPr>
    <w:rPr>
      <w:rFonts w:ascii="楷体" w:hAnsi="楷体" w:eastAsia="宋体" w:cs="楷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2077</Words>
  <Characters>2125</Characters>
  <Lines>0</Lines>
  <Paragraphs>0</Paragraphs>
  <TotalTime>5</TotalTime>
  <ScaleCrop>false</ScaleCrop>
  <LinksUpToDate>false</LinksUpToDate>
  <CharactersWithSpaces>2514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2026-07-03T06:48:00Z</dcterms:created>
  <dc:creator>123</dc:creator>
  <cp:lastModifiedBy>123</cp:lastModifiedBy>
  <dcterms:modified xsi:type="dcterms:W3CDTF">2026-07-03T07:50:39Z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5B9442F91D664470840A393489DE66AC_11</vt:lpwstr>
  </property>
  <property fmtid="{D5CDD505-2E9C-101B-9397-08002B2CF9AE}" pid="4" name="KSOTemplateDocerSaveRecord">
    <vt:lpwstr>eyJoZGlkIjoiMjE2OTk4OWJkMjBiYTAyZjY0NjdmMWI1ZjBmOWVmYzEiLCJ1c2VySWQiOiIxNTI3NjExNTk1In0=</vt:lpwstr>
  </property>
</Properties>
</file>