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版本号：HXCG2026-07-0320260703001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项目咨询评估审查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HXCG2026-07-03</w:t>
      </w:r>
      <w:r>
        <w:br/>
      </w:r>
      <w:r>
        <w:br/>
      </w:r>
      <w:r>
        <w:br/>
      </w:r>
    </w:p>
    <w:p>
      <w:pPr>
        <w:pStyle w:val="null3"/>
        <w:jc w:val="center"/>
        <w:outlineLvl w:val="2"/>
      </w:pPr>
      <w:r>
        <w:rPr>
          <w:rFonts w:ascii="仿宋_GB2312" w:hAnsi="仿宋_GB2312" w:cs="仿宋_GB2312" w:eastAsia="仿宋_GB2312"/>
          <w:sz w:val="28"/>
          <w:b/>
        </w:rPr>
        <w:t>西安市交通运输局（本级）</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西安市交通运输局（本级）</w:t>
      </w:r>
      <w:r>
        <w:rPr>
          <w:rFonts w:ascii="仿宋_GB2312" w:hAnsi="仿宋_GB2312" w:cs="仿宋_GB2312" w:eastAsia="仿宋_GB2312"/>
        </w:rPr>
        <w:t>委托，拟对</w:t>
      </w:r>
      <w:r>
        <w:rPr>
          <w:rFonts w:ascii="仿宋_GB2312" w:hAnsi="仿宋_GB2312" w:cs="仿宋_GB2312" w:eastAsia="仿宋_GB2312"/>
        </w:rPr>
        <w:t>项目咨询评估审查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HXCG2026-07-03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项目咨询评估审查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对市交通局负责审批的普通国省干线公路养护工程等项目施工图设计、变更设计，农村公路建设工程、养护工程等项目施工图设计、变更设计，危桥改造工程施工图设计等进行评审，并出具正式技术审查意见。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采购包1（项目咨询评估审查）：属于专门面向中小企业采购。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2、资质要求：供应商应在“全国投资项目在线审批监管平台”中的工程咨询单位备案名录中可查（咨询专业和服务范围包括“公路”）</w:t>
      </w:r>
    </w:p>
    <w:p>
      <w:pPr>
        <w:pStyle w:val="null3"/>
      </w:pPr>
      <w:r>
        <w:rPr>
          <w:rFonts w:ascii="仿宋_GB2312" w:hAnsi="仿宋_GB2312" w:cs="仿宋_GB2312" w:eastAsia="仿宋_GB2312"/>
        </w:rPr>
        <w:t>3、供应商授权合法的人员参加投标全过程：法定代表人直接参加磋商的，须出具法定代表人身份证明及法定代表人身份证；法定代表人授权代表参加磋商的，须出具法定代表人授权书及授权代表身份证。</w:t>
      </w:r>
    </w:p>
    <w:p>
      <w:pPr>
        <w:pStyle w:val="null3"/>
      </w:pPr>
      <w:r>
        <w:rPr>
          <w:rFonts w:ascii="仿宋_GB2312" w:hAnsi="仿宋_GB2312" w:cs="仿宋_GB2312" w:eastAsia="仿宋_GB2312"/>
        </w:rPr>
        <w:t>4、财务状况报告：提供2025年度的财务会计报告（至少包括资产负债表和利润表，成立时间至提交首次响应文件截止时间不足一年的可提供成立后任意时段的资产负债表），或开标前三个月内基本开户银行出具的资信证明（附基本存款账户信息）。</w:t>
      </w:r>
    </w:p>
    <w:p>
      <w:pPr>
        <w:pStyle w:val="null3"/>
      </w:pPr>
      <w:r>
        <w:rPr>
          <w:rFonts w:ascii="仿宋_GB2312" w:hAnsi="仿宋_GB2312" w:cs="仿宋_GB2312" w:eastAsia="仿宋_GB2312"/>
        </w:rPr>
        <w:t>5、税收缴纳证明：提供2026年1月1日至今已缴纳的至少一个月的纳税证明或完税证明，依法免税的单位应提供相关证明材料。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6、社会保障资金缴纳证明：提供2026年1月1日至今已缴存的至少一个月的社会保障资金缴存单据或社保机构开具的社会保险参保缴费情况证明，依法不需要缴纳社会保障资金的单位应提供相关证明材料。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7、企业信用：供应商不得为“信用中国”网站（www.creditchina.gov.cn）中列入失信被执行人和重大税收违法案件当事人名单，不得为中国政府采购网（www.ccgp.gov.cn）政府采购严重违法失信行为记录名单。</w:t>
      </w:r>
    </w:p>
    <w:p>
      <w:pPr>
        <w:pStyle w:val="null3"/>
      </w:pPr>
      <w:r>
        <w:rPr>
          <w:rFonts w:ascii="仿宋_GB2312" w:hAnsi="仿宋_GB2312" w:cs="仿宋_GB2312" w:eastAsia="仿宋_GB2312"/>
        </w:rPr>
        <w:t>8、违法记录声明：参加政府采购活动前三年内在经营活动中没有重大违法记录的书面承诺。</w:t>
      </w:r>
    </w:p>
    <w:p>
      <w:pPr>
        <w:pStyle w:val="null3"/>
      </w:pPr>
      <w:r>
        <w:rPr>
          <w:rFonts w:ascii="仿宋_GB2312" w:hAnsi="仿宋_GB2312" w:cs="仿宋_GB2312" w:eastAsia="仿宋_GB2312"/>
        </w:rPr>
        <w:t>9、履行合同的能力：供应商须提供具有履行合同所必需的设备和专业技术能力的承诺。</w:t>
      </w:r>
    </w:p>
    <w:p>
      <w:pPr>
        <w:pStyle w:val="null3"/>
      </w:pPr>
      <w:r>
        <w:rPr>
          <w:rFonts w:ascii="仿宋_GB2312" w:hAnsi="仿宋_GB2312" w:cs="仿宋_GB2312" w:eastAsia="仿宋_GB2312"/>
        </w:rPr>
        <w:t>10、联合体要求：本项目不接受联合体磋商（提供书面声明材料）。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陕西省西安市经济技术开发区凤城十二路与文景路交汇处首创国际城八期64栋楼307室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18091783671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代理服务费收费标准：代理服务费由成交供应商按照国家计委颁布的《招标代理服务收费管理暂行办法》（计价格『2002』1980 号）文中规定的收费标准下浮10%向采购代理机构一次性全额支付。 代理服务费账号信息如下： 公司名称：横信项目管理有限公司 开户行：中国农业银行股份有限公司西安市长安区航开路支行 账号：26156801040003827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西安市交通运输局（本级）</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符合国家法律法规的规定与相关技术标准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联系人：辛工</w:t>
      </w:r>
    </w:p>
    <w:p>
      <w:pPr>
        <w:pStyle w:val="null3"/>
      </w:pPr>
      <w:r>
        <w:rPr>
          <w:rFonts w:ascii="仿宋_GB2312" w:hAnsi="仿宋_GB2312" w:cs="仿宋_GB2312" w:eastAsia="仿宋_GB2312"/>
        </w:rPr>
        <w:t>联系电话：18091783671</w:t>
      </w:r>
    </w:p>
    <w:p>
      <w:pPr>
        <w:pStyle w:val="null3"/>
      </w:pPr>
      <w:r>
        <w:rPr>
          <w:rFonts w:ascii="仿宋_GB2312" w:hAnsi="仿宋_GB2312" w:cs="仿宋_GB2312" w:eastAsia="仿宋_GB2312"/>
        </w:rPr>
        <w:t>地址：陕西省西安市经济技术开发区凤城十二路与文景路交汇处首创国际城八期64栋楼307室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对市交通局负责审批的普通国省干线公路养护工程等项目施工图设计、变更设计，农村公路建设工程、养护工程等项目施工图设计、变更设计，危桥改造工程施工图设计等进行评审，并出具正式技术审查意见。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项目咨询评估审查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标的名称：项目咨询评估审查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r>
              <w:br/>
            </w:r>
            <w:r>
              <w:rPr>
                <w:rFonts w:ascii="仿宋_GB2312" w:hAnsi="仿宋_GB2312" w:cs="仿宋_GB2312" w:eastAsia="仿宋_GB2312"/>
              </w:rPr>
              <w:t xml:space="preserve"> 对市交通局负责审批的普通国省干线公路养护工程等项目施工图设计、变更设计，农村公路建设工程、养护工程等项目施工图设计、变更设计，危桥改造工程施工图设计等进行评审，并出具正式技术审查意见。</w:t>
            </w:r>
            <w:r>
              <w:br/>
            </w:r>
            <w:r>
              <w:rPr>
                <w:rFonts w:ascii="仿宋_GB2312" w:hAnsi="仿宋_GB2312" w:cs="仿宋_GB2312" w:eastAsia="仿宋_GB2312"/>
              </w:rPr>
              <w:t xml:space="preserve"> 二、服务期限</w:t>
            </w:r>
            <w:r>
              <w:br/>
            </w:r>
            <w:r>
              <w:rPr>
                <w:rFonts w:ascii="仿宋_GB2312" w:hAnsi="仿宋_GB2312" w:cs="仿宋_GB2312" w:eastAsia="仿宋_GB2312"/>
              </w:rPr>
              <w:t xml:space="preserve"> 自合同签订后一年</w:t>
            </w:r>
            <w:r>
              <w:br/>
            </w:r>
            <w:r>
              <w:rPr>
                <w:rFonts w:ascii="仿宋_GB2312" w:hAnsi="仿宋_GB2312" w:cs="仿宋_GB2312" w:eastAsia="仿宋_GB2312"/>
              </w:rPr>
              <w:t xml:space="preserve"> 三、质量标准</w:t>
            </w:r>
            <w:r>
              <w:br/>
            </w:r>
            <w:r>
              <w:rPr>
                <w:rFonts w:ascii="仿宋_GB2312" w:hAnsi="仿宋_GB2312" w:cs="仿宋_GB2312" w:eastAsia="仿宋_GB2312"/>
              </w:rPr>
              <w:t xml:space="preserve"> 符合国家及行业现行技术标准、规范、规程、编制办法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根据项目需求合理配备相关专业背景的相关技术人员，组建综合型技术团队，满足项目服务要求。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进度款，各项工作完成并通过验收后，达到付款条件起15个工作日内，支付合同总金额的60.0%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根据合同，按照《中华人民共和国民法典》中的相关条款执行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供应商应在“全国投资项目在线审批监管平台”中的工程咨询单位备案名录中可查（咨询专业和服务范围包括“公路”）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法定代表人直接参加磋商的，须出具法定代表人身份证明及法定代表人身份证；法定代表人授权代表参加磋商的，须出具法定代表人授权书及授权代表身份证。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授权委托书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会计报告（至少包括资产负债表和利润表，成立时间至提交首次响应文件截止时间不足一年的可提供成立后任意时段的资产负债表），或开标前三个月内基本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供应商不得为“信用中国”网站（www.creditchina.gov.cn）中列入失信被执行人和重大税收违法案件当事人名单，不得为中国政府采购网（www.ccgp.gov.cn）政府采购严重违法失信行为记录名单。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履行合同的能力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商务应答表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授权委托书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中小企业声明函 授权委托书 商务应答表 供应商应提交的相关资格证明材料 服务内容及服务要求应答表 报价表 响应文件封面 供应商认为有必要补充说明的事项 项目管理机构组成表 残疾人福利性单位声明函 服务方案 标的清单 供应商类似项目业绩一览表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对项目的整体认识</w:t>
            </w:r>
          </w:p>
        </w:tc>
        <w:tc>
          <w:tcPr>
            <w:tcW w:type="dxa" w:w="2492"/>
          </w:tcPr>
          <w:p>
            <w:pPr>
              <w:pStyle w:val="null3"/>
            </w:pPr>
            <w:r>
              <w:rPr>
                <w:rFonts w:ascii="仿宋_GB2312" w:hAnsi="仿宋_GB2312" w:cs="仿宋_GB2312" w:eastAsia="仿宋_GB2312"/>
              </w:rPr>
              <w:t>内容至少包括①政策解读；②项目的理解程度；③服务目标的理解。以上内容专门针对本项目且阐述明晰、全面、合理得6分，每缺一项内容扣2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至少包括①工作思路；②工作阶段划分及各阶段的工作内容；③评估论证执行的规范、标准和依据解读；④评估论证办法；⑤评估论证指标缺陷时处理方案。以上内容专门针对本项目且阐述明晰、全面、合理得10分，每缺一项内容扣2分，若上述内容存在瑕疵，每出现一处瑕疵扣0.5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内容至少包括①项目实施进度目标分析；②项目进度计划安排方案；③项目进度保障等。以上内容专门针对本项目且阐述明晰、全面、合理得9分，每缺一项内容扣3分，若上述内容存在瑕疵，每出现一处瑕疵扣0.5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内容至少包括①保密管理制度；②保密责任；③具体工作保密措施；④保密承诺等。 以上内容专门针对本项目且阐述明晰、全面、合理得4分，每缺一项内容扣1分，若上述内容存在瑕疵，每出现一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内容至少包括①积极配合采购人服务要求；②廉洁从业的承诺；③重难点分析；④合理化建议等。以上内容专门针对本项目且阐述明晰、全面、合理得4分，每缺一项内容扣1分，若上述内容存在瑕疵，每出现一处瑕疵扣0.5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内容至少包括①质量保障方案；②质量目标；③成果文件质量控制措施等。以上内容专门针对本项目且阐述明晰、全面、合理得6分，每缺一项内容扣2分， 若上述内容存在瑕疵，每出现一处瑕疵扣0.5分，扣完为止。“瑕疵”指内容明显错误，或内容表述前后矛盾或内容不完整或表达简单笼统或缺少关键点，或不适用本项目特性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①拟派项目负责人具有相关专业高级及以上技术职称得3分，其他不得分。 ②拟派项目负责人具有自2021年1月1日（以合同签订的时间为准）至今类似项目的负责人业绩，每提供1项得5分，满分15分。 注：提供人员相关证书复印件、类似业绩合同复印件（合同应明确显示项目负责人姓名及担任角色，如合同无法清楚证明则需再附其他佐证资料），未提供或提供不全不得分。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团队人员配置（除项目负责人外）</w:t>
            </w:r>
          </w:p>
        </w:tc>
        <w:tc>
          <w:tcPr>
            <w:tcW w:type="dxa" w:w="2492"/>
          </w:tcPr>
          <w:p>
            <w:pPr>
              <w:pStyle w:val="null3"/>
            </w:pPr>
            <w:r>
              <w:rPr>
                <w:rFonts w:ascii="仿宋_GB2312" w:hAnsi="仿宋_GB2312" w:cs="仿宋_GB2312" w:eastAsia="仿宋_GB2312"/>
              </w:rPr>
              <w:t>①拟派项目组成员具备相关专业高级及以上技术职称的，每提供一人得2分，最高得4分； ②拟派项目组成员具备注册咨询工程师资格的，每提供一人得2分，最高得4分。 注：提供人员相关证书复印件（同一人同时具有高级技术职称及注册咨询工程师证书的，可重复计算），未提供或提供不全不得分。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提供2021年1月1日（以合同签订的时间为准）至今的类似项目业绩。每提供1项得5分，满分20分。 注：提供类似业绩合同复印件，企业业绩与项目负责人业绩可重复得分，未提供或提供不全不得分。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一、经资格审查、符合性审查合格的磋商响应文件，其磋商报价为有效磋商报价。 二、满足磋商文件实质性要求且最后报价最低的供应商的价格为磋商基准价，其价格分为满分15分。 三、磋商报价得分=(磋商基准价/最终磋商报价）×15的公式计算得分。 四、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详见附件：授权委托书</w:t>
      </w:r>
    </w:p>
    <w:p>
      <w:pPr>
        <w:pStyle w:val="null3"/>
        <w:ind w:firstLine="960"/>
      </w:pPr>
      <w:r>
        <w:rPr>
          <w:rFonts w:ascii="仿宋_GB2312" w:hAnsi="仿宋_GB2312" w:cs="仿宋_GB2312" w:eastAsia="仿宋_GB2312"/>
        </w:rPr>
        <w:t>详见附件：供应商认为有必要补充说明的事项</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