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版本号：ZB2026-ZB022（CGB）20260605001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临潼区代王街办李河村至西柳村道路硬化项目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ZB2026-ZB022（CGB）</w:t>
      </w:r>
      <w:r>
        <w:br/>
      </w:r>
      <w:r>
        <w:br/>
      </w:r>
      <w:r>
        <w:br/>
      </w:r>
    </w:p>
    <w:p>
      <w:pPr>
        <w:pStyle w:val="null3"/>
        <w:jc w:val="center"/>
        <w:outlineLvl w:val="2"/>
      </w:pPr>
      <w:r>
        <w:rPr>
          <w:rFonts w:ascii="仿宋_GB2312" w:hAnsi="仿宋_GB2312" w:cs="仿宋_GB2312" w:eastAsia="仿宋_GB2312"/>
          <w:sz w:val="28"/>
          <w:b/>
        </w:rPr>
        <w:t>西安市临潼区代王街道办事处</w:t>
      </w:r>
    </w:p>
    <w:p>
      <w:pPr>
        <w:pStyle w:val="null3"/>
        <w:jc w:val="center"/>
        <w:outlineLvl w:val="2"/>
      </w:pPr>
      <w:r>
        <w:rPr>
          <w:rFonts w:ascii="仿宋_GB2312" w:hAnsi="仿宋_GB2312" w:cs="仿宋_GB2312" w:eastAsia="仿宋_GB2312"/>
          <w:sz w:val="28"/>
          <w:b/>
        </w:rPr>
        <w:t>西安梓搏咨询管理有限公司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2026年06月05日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西安梓搏咨询管理有限公司</w:t>
      </w:r>
      <w:r>
        <w:rPr>
          <w:rFonts w:ascii="仿宋_GB2312" w:hAnsi="仿宋_GB2312" w:cs="仿宋_GB2312" w:eastAsia="仿宋_GB2312"/>
        </w:rPr>
        <w:t>（以下简称“代理机构”）受</w:t>
      </w:r>
      <w:r>
        <w:rPr>
          <w:rFonts w:ascii="仿宋_GB2312" w:hAnsi="仿宋_GB2312" w:cs="仿宋_GB2312" w:eastAsia="仿宋_GB2312"/>
        </w:rPr>
        <w:t>西安市临潼区代王街道办事处</w:t>
      </w:r>
      <w:r>
        <w:rPr>
          <w:rFonts w:ascii="仿宋_GB2312" w:hAnsi="仿宋_GB2312" w:cs="仿宋_GB2312" w:eastAsia="仿宋_GB2312"/>
        </w:rPr>
        <w:t>委托，拟对</w:t>
      </w:r>
      <w:r>
        <w:rPr>
          <w:rFonts w:ascii="仿宋_GB2312" w:hAnsi="仿宋_GB2312" w:cs="仿宋_GB2312" w:eastAsia="仿宋_GB2312"/>
        </w:rPr>
        <w:t>临潼区代王街办李河村至西柳村道路硬化项目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ZB2026-ZB022（CGB）</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临潼区代王街办李河村至西柳村道路硬化项目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临潼区代王街办李河村至西柳村道路硬化项目位于西安市临潼区代王街办李河村至西柳村，工作内容为新建18厘米厚混凝土道路3600平方米，铺设钢筋混凝土管12米，详见工程量清单。</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采购包1（临潼区代王街办李河村至西柳村道路硬化项目）：属于专门面向中小企业采购。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1、法定代表人身份证明书或法人授权委托书：法定代表人身份证明书或法人授权委托书，后附法人及被委托人身份证（法定代表人直接参加投标的，须提供法定代表人证明书）。</w:t>
      </w:r>
    </w:p>
    <w:p>
      <w:pPr>
        <w:pStyle w:val="null3"/>
      </w:pPr>
      <w:r>
        <w:rPr>
          <w:rFonts w:ascii="仿宋_GB2312" w:hAnsi="仿宋_GB2312" w:cs="仿宋_GB2312" w:eastAsia="仿宋_GB2312"/>
        </w:rPr>
        <w:t>2、资质要求：供应商须具备市政公用工程施工总承包二级及以上资质，具有有效的安全生产许可证。</w:t>
      </w:r>
    </w:p>
    <w:p>
      <w:pPr>
        <w:pStyle w:val="null3"/>
      </w:pPr>
      <w:r>
        <w:rPr>
          <w:rFonts w:ascii="仿宋_GB2312" w:hAnsi="仿宋_GB2312" w:cs="仿宋_GB2312" w:eastAsia="仿宋_GB2312"/>
        </w:rPr>
        <w:t>3、项目经理要求：拟派项目经理须具备市政公用工程二级及以上注册建造师执业资格，具有安全生产考核合格证，且在本单位注册，无在建工程。</w:t>
      </w:r>
    </w:p>
    <w:p>
      <w:pPr>
        <w:pStyle w:val="null3"/>
      </w:pPr>
      <w:r>
        <w:rPr>
          <w:rFonts w:ascii="仿宋_GB2312" w:hAnsi="仿宋_GB2312" w:cs="仿宋_GB2312" w:eastAsia="仿宋_GB2312"/>
        </w:rPr>
        <w:t>4、供应商信誉要求：供应商需以书面形式提供规定格式的《基本资格条件承诺函》，并对承诺内容的真实性负责。未提供《基本资格条件承诺函》的，须提供以下网站查询结果截图，供应商不得为“信用中国”网站（www.creditchina.gov.cn）列入的失信被执行人（中国执行信息公开网http://zxgk.court.gov.cn）、重大税收违法失信主体，不得为中国政府采购网（www.ccgp.gov.cn）政府采购严重违法失信行为记录名单中被财政部门禁止参加政府采购活动的供应商。</w:t>
      </w:r>
    </w:p>
    <w:p>
      <w:pPr>
        <w:pStyle w:val="null3"/>
      </w:pPr>
      <w:r>
        <w:rPr>
          <w:rFonts w:ascii="仿宋_GB2312" w:hAnsi="仿宋_GB2312" w:cs="仿宋_GB2312" w:eastAsia="仿宋_GB2312"/>
        </w:rPr>
        <w:t>5、供应商关联关系承诺书：单位负责人为同一人或者存在直接控股、管理关系的不同供应商，不得参加同一合同项下的投标活动。</w:t>
      </w:r>
    </w:p>
    <w:p>
      <w:pPr>
        <w:pStyle w:val="null3"/>
      </w:pPr>
      <w:r>
        <w:rPr>
          <w:rFonts w:ascii="仿宋_GB2312" w:hAnsi="仿宋_GB2312" w:cs="仿宋_GB2312" w:eastAsia="仿宋_GB2312"/>
        </w:rPr>
        <w:t>6、非联合体投标声明：本项目不接受联合体投标。</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西安市临潼区代王街道办事处</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西安市临潼区代王街道</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710611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张富平</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13891863748</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西安梓搏咨询管理有限公司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西安市临潼区环城东路东环路小区4号楼101室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710600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宋利利</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029-83992983</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西安市临潼区政府采购管理股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马明</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029-83825758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采购包1：890,000.00元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中标供应商领取中标通知书时，代理服务费参照计价格【2002】1980号及发改价格【2011】534号文件规定标准计算；工程量清单及招标控制价编制费率参照陕价行发【2014】88号取费标准计算，向“西安梓搏咨询管理有限公司”交纳。户 名：西安梓搏咨询管理有限公司 开户行：工商银行西安临潼区支行 账 号：3700 1733 092 0000 1856</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西安市临潼区代王街道办事处</w:t>
      </w:r>
      <w:r>
        <w:rPr>
          <w:rFonts w:ascii="仿宋_GB2312" w:hAnsi="仿宋_GB2312" w:cs="仿宋_GB2312" w:eastAsia="仿宋_GB2312"/>
        </w:rPr>
        <w:t>和</w:t>
      </w:r>
      <w:r>
        <w:rPr>
          <w:rFonts w:ascii="仿宋_GB2312" w:hAnsi="仿宋_GB2312" w:cs="仿宋_GB2312" w:eastAsia="仿宋_GB2312"/>
        </w:rPr>
        <w:t>西安梓搏咨询管理有限公司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西安市临潼区代王街道办事处</w:t>
      </w:r>
      <w:r>
        <w:rPr>
          <w:rFonts w:ascii="仿宋_GB2312" w:hAnsi="仿宋_GB2312" w:cs="仿宋_GB2312" w:eastAsia="仿宋_GB2312"/>
        </w:rPr>
        <w:t>负责解释。除上述磋商文件内容，其他内容由</w:t>
      </w:r>
      <w:r>
        <w:rPr>
          <w:rFonts w:ascii="仿宋_GB2312" w:hAnsi="仿宋_GB2312" w:cs="仿宋_GB2312" w:eastAsia="仿宋_GB2312"/>
        </w:rPr>
        <w:t>西安梓搏咨询管理有限公司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西安市临潼区代王街道办事处</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西安梓搏咨询管理有限公司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符合国家现行有关施工质量验收规范“合格”要求。</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西安梓搏咨询管理有限公司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西安梓搏咨询管理有限公司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西安梓搏咨询管理有限公司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联系人：宋利利</w:t>
      </w:r>
    </w:p>
    <w:p>
      <w:pPr>
        <w:pStyle w:val="null3"/>
      </w:pPr>
      <w:r>
        <w:rPr>
          <w:rFonts w:ascii="仿宋_GB2312" w:hAnsi="仿宋_GB2312" w:cs="仿宋_GB2312" w:eastAsia="仿宋_GB2312"/>
        </w:rPr>
        <w:t>联系电话：029-83992983</w:t>
      </w:r>
    </w:p>
    <w:p>
      <w:pPr>
        <w:pStyle w:val="null3"/>
      </w:pPr>
      <w:r>
        <w:rPr>
          <w:rFonts w:ascii="仿宋_GB2312" w:hAnsi="仿宋_GB2312" w:cs="仿宋_GB2312" w:eastAsia="仿宋_GB2312"/>
        </w:rPr>
        <w:t>地址：西安市临潼区环城东路东环路小区4号楼101室</w:t>
      </w:r>
    </w:p>
    <w:p>
      <w:pPr>
        <w:pStyle w:val="null3"/>
      </w:pPr>
      <w:r>
        <w:rPr>
          <w:rFonts w:ascii="仿宋_GB2312" w:hAnsi="仿宋_GB2312" w:cs="仿宋_GB2312" w:eastAsia="仿宋_GB2312"/>
        </w:rPr>
        <w:t>邮编：710600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890,000.00</w:t>
      </w:r>
    </w:p>
    <w:p>
      <w:pPr>
        <w:pStyle w:val="null3"/>
      </w:pPr>
      <w:r>
        <w:rPr>
          <w:rFonts w:ascii="仿宋_GB2312" w:hAnsi="仿宋_GB2312" w:cs="仿宋_GB2312" w:eastAsia="仿宋_GB2312"/>
        </w:rPr>
        <w:t>采购包最高限价（元）: 890,000.00</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临潼区代王街办李河村至西柳村道路硬化项目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890,000.00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标的名称：临潼区代王街办李河村至西柳村道路硬化项目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4"/>
                <w:color w:val="000000"/>
              </w:rPr>
              <w:t>工程内容：新建</w:t>
            </w:r>
            <w:r>
              <w:rPr>
                <w:rFonts w:ascii="仿宋_GB2312" w:hAnsi="仿宋_GB2312" w:cs="仿宋_GB2312" w:eastAsia="仿宋_GB2312"/>
                <w:sz w:val="24"/>
                <w:color w:val="000000"/>
              </w:rPr>
              <w:t>18厘米厚混凝土道路3600平方米，铺设钢筋混凝土管12米，详见工程量清单。</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sz w:val="24"/>
                <w:color w:val="000000"/>
              </w:rPr>
              <w:t>工程地点：</w:t>
            </w:r>
            <w:r>
              <w:rPr>
                <w:rFonts w:ascii="仿宋_GB2312" w:hAnsi="仿宋_GB2312" w:cs="仿宋_GB2312" w:eastAsia="仿宋_GB2312"/>
                <w:sz w:val="24"/>
                <w:color w:val="000000"/>
              </w:rPr>
              <w:t>西安市临潼区代王街办李河村至西柳村</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sz w:val="24"/>
                <w:color w:val="000000"/>
              </w:rPr>
              <w:t>★计划工期：</w:t>
            </w:r>
            <w:r>
              <w:rPr>
                <w:rFonts w:ascii="仿宋_GB2312" w:hAnsi="仿宋_GB2312" w:cs="仿宋_GB2312" w:eastAsia="仿宋_GB2312"/>
                <w:sz w:val="24"/>
                <w:color w:val="000000"/>
              </w:rPr>
              <w:t>60</w:t>
            </w:r>
            <w:r>
              <w:rPr>
                <w:rFonts w:ascii="仿宋_GB2312" w:hAnsi="仿宋_GB2312" w:cs="仿宋_GB2312" w:eastAsia="仿宋_GB2312"/>
                <w:sz w:val="24"/>
                <w:color w:val="000000"/>
              </w:rPr>
              <w:t>日历</w:t>
            </w:r>
            <w:r>
              <w:rPr>
                <w:rFonts w:ascii="仿宋_GB2312" w:hAnsi="仿宋_GB2312" w:cs="仿宋_GB2312" w:eastAsia="仿宋_GB2312"/>
                <w:sz w:val="24"/>
                <w:color w:val="000000"/>
              </w:rPr>
              <w:t>天</w:t>
            </w:r>
            <w:r>
              <w:rPr>
                <w:rFonts w:ascii="仿宋_GB2312" w:hAnsi="仿宋_GB2312" w:cs="仿宋_GB2312" w:eastAsia="仿宋_GB2312"/>
                <w:sz w:val="24"/>
                <w:color w:val="000000"/>
              </w:rPr>
              <w:t>。</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pPr>
            <w:r>
              <w:rPr>
                <w:rFonts w:ascii="仿宋_GB2312" w:hAnsi="仿宋_GB2312" w:cs="仿宋_GB2312" w:eastAsia="仿宋_GB2312"/>
                <w:sz w:val="24"/>
                <w:color w:val="000000"/>
              </w:rPr>
              <w:t>★质量要求：符合国家现行有关施工质量验收规范“合格”要求。</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jc w:val="left"/>
            </w:pPr>
            <w:r>
              <w:rPr>
                <w:rFonts w:ascii="仿宋_GB2312" w:hAnsi="仿宋_GB2312" w:cs="仿宋_GB2312" w:eastAsia="仿宋_GB2312"/>
                <w:sz w:val="24"/>
                <w:color w:val="000000"/>
              </w:rPr>
              <w:t>★付款要求：</w:t>
            </w:r>
          </w:p>
          <w:p>
            <w:pPr>
              <w:pStyle w:val="null3"/>
              <w:ind w:firstLine="480"/>
              <w:jc w:val="left"/>
            </w:pPr>
            <w:r>
              <w:rPr>
                <w:rFonts w:ascii="仿宋_GB2312" w:hAnsi="仿宋_GB2312" w:cs="仿宋_GB2312" w:eastAsia="仿宋_GB2312"/>
                <w:sz w:val="24"/>
                <w:color w:val="000000"/>
              </w:rPr>
              <w:t>1、合同签订后，达到付款条件起30日内，支付合同总金额的30%；</w:t>
            </w:r>
          </w:p>
          <w:p>
            <w:pPr>
              <w:pStyle w:val="null3"/>
              <w:ind w:firstLine="480"/>
              <w:jc w:val="left"/>
            </w:pPr>
            <w:r>
              <w:rPr>
                <w:rFonts w:ascii="仿宋_GB2312" w:hAnsi="仿宋_GB2312" w:cs="仿宋_GB2312" w:eastAsia="仿宋_GB2312"/>
                <w:sz w:val="24"/>
                <w:color w:val="000000"/>
              </w:rPr>
              <w:t>2、工程竣工，验收合格后，达到付款条件起15日内，支付合同总金额的55%。</w:t>
            </w:r>
          </w:p>
          <w:p>
            <w:pPr>
              <w:pStyle w:val="null3"/>
              <w:ind w:firstLine="480"/>
              <w:jc w:val="left"/>
            </w:pPr>
            <w:r>
              <w:rPr>
                <w:rFonts w:ascii="仿宋_GB2312" w:hAnsi="仿宋_GB2312" w:cs="仿宋_GB2312" w:eastAsia="仿宋_GB2312"/>
                <w:sz w:val="24"/>
                <w:color w:val="000000"/>
              </w:rPr>
              <w:t>3、审计部门审计完成后，达到付款条件起15日内，支付合同总金额的12%。</w:t>
            </w:r>
          </w:p>
          <w:p>
            <w:pPr>
              <w:pStyle w:val="null3"/>
              <w:ind w:firstLine="480"/>
              <w:jc w:val="left"/>
            </w:pPr>
            <w:r>
              <w:rPr>
                <w:rFonts w:ascii="仿宋_GB2312" w:hAnsi="仿宋_GB2312" w:cs="仿宋_GB2312" w:eastAsia="仿宋_GB2312"/>
                <w:sz w:val="24"/>
                <w:color w:val="000000"/>
              </w:rPr>
              <w:t>4、缺陷责任期满后，达到付款条件起15日内，支付合同总金额的3%。</w:t>
            </w:r>
          </w:p>
        </w:tc>
      </w:tr>
      <w:tr>
        <w:tc>
          <w:tcPr>
            <w:tcW w:type="dxa" w:w="2769"/>
          </w:tcPr>
          <w:p>
            <w:pPr>
              <w:pStyle w:val="null3"/>
            </w:pPr>
            <w:r>
              <w:rPr>
                <w:rFonts w:ascii="仿宋_GB2312" w:hAnsi="仿宋_GB2312" w:cs="仿宋_GB2312" w:eastAsia="仿宋_GB2312"/>
              </w:rPr>
              <w:t>6</w:t>
            </w:r>
          </w:p>
        </w:tc>
        <w:tc>
          <w:tcPr>
            <w:tcW w:type="dxa" w:w="2769"/>
          </w:tcPr>
          <w:p/>
        </w:tc>
        <w:tc>
          <w:tcPr>
            <w:tcW w:type="dxa" w:w="2769"/>
          </w:tcPr>
          <w:p>
            <w:pPr>
              <w:pStyle w:val="null3"/>
              <w:jc w:val="left"/>
            </w:pPr>
            <w:r>
              <w:rPr>
                <w:rFonts w:ascii="仿宋_GB2312" w:hAnsi="仿宋_GB2312" w:cs="仿宋_GB2312" w:eastAsia="仿宋_GB2312"/>
                <w:sz w:val="24"/>
                <w:color w:val="000000"/>
              </w:rPr>
              <w:t>计价依据：</w:t>
            </w:r>
          </w:p>
          <w:p>
            <w:pPr>
              <w:pStyle w:val="null3"/>
              <w:ind w:firstLine="480"/>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《陕西省建设工程费用规则（</w:t>
            </w:r>
            <w:r>
              <w:rPr>
                <w:rFonts w:ascii="仿宋_GB2312" w:hAnsi="仿宋_GB2312" w:cs="仿宋_GB2312" w:eastAsia="仿宋_GB2312"/>
                <w:sz w:val="24"/>
                <w:color w:val="000000"/>
              </w:rPr>
              <w:t>2025）》、《陕西省市政工程基价表（2025）》、《陕西省通用安装工程基价表（2025）》、《陕西省通用安装工程消耗量定额（2025）》、《陕西省市政工程消耗量定额（2025）》、《陕西省建设工程施工机械台班费用定额(2025)》、《陕西省建设工程施工仪器仪表台班费用定额(2025)》等计价文件配套使用</w:t>
            </w:r>
            <w:r>
              <w:rPr>
                <w:rFonts w:ascii="仿宋_GB2312" w:hAnsi="仿宋_GB2312" w:cs="仿宋_GB2312" w:eastAsia="仿宋_GB2312"/>
                <w:sz w:val="24"/>
                <w:color w:val="000000"/>
              </w:rPr>
              <w:t>；</w:t>
            </w:r>
          </w:p>
          <w:p>
            <w:pPr>
              <w:pStyle w:val="null3"/>
              <w:ind w:firstLine="480"/>
              <w:jc w:val="left"/>
            </w:pPr>
            <w:r>
              <w:rPr>
                <w:rFonts w:ascii="仿宋_GB2312" w:hAnsi="仿宋_GB2312" w:cs="仿宋_GB2312" w:eastAsia="仿宋_GB2312"/>
                <w:sz w:val="24"/>
                <w:color w:val="000000"/>
              </w:rPr>
              <w:t>2.陕建管发〔2025〕10号《关于印发2025陕西省建设工程费用规则等计价依据的通知》；</w:t>
            </w:r>
          </w:p>
          <w:p>
            <w:pPr>
              <w:pStyle w:val="null3"/>
              <w:ind w:firstLine="480"/>
              <w:jc w:val="left"/>
            </w:pPr>
            <w:r>
              <w:rPr>
                <w:rFonts w:ascii="仿宋_GB2312" w:hAnsi="仿宋_GB2312" w:cs="仿宋_GB2312" w:eastAsia="仿宋_GB2312"/>
                <w:sz w:val="24"/>
                <w:color w:val="000000"/>
              </w:rPr>
              <w:t>3.在本工程实施期间，政府及相关部门颁布新的规范、规则、定额、调价文件等，按照新规范、规则、定额、调价文件执行。</w:t>
            </w:r>
          </w:p>
          <w:p>
            <w:pPr>
              <w:pStyle w:val="null3"/>
              <w:ind w:firstLine="480"/>
              <w:jc w:val="left"/>
            </w:pPr>
            <w:r>
              <w:rPr>
                <w:rFonts w:ascii="仿宋_GB2312" w:hAnsi="仿宋_GB2312" w:cs="仿宋_GB2312" w:eastAsia="仿宋_GB2312"/>
                <w:sz w:val="24"/>
                <w:color w:val="000000"/>
              </w:rPr>
              <w:t>4.与本工程有关的标准文件（包括标准图集）、规范、技术资料等；</w:t>
            </w:r>
          </w:p>
          <w:p>
            <w:pPr>
              <w:pStyle w:val="null3"/>
              <w:ind w:firstLine="480"/>
              <w:jc w:val="left"/>
            </w:pPr>
            <w:r>
              <w:rPr>
                <w:rFonts w:ascii="仿宋_GB2312" w:hAnsi="仿宋_GB2312" w:cs="仿宋_GB2312" w:eastAsia="仿宋_GB2312"/>
                <w:sz w:val="24"/>
                <w:color w:val="000000"/>
              </w:rPr>
              <w:t>5.施工现场情况、工程特点及常规施工方案；</w:t>
            </w:r>
          </w:p>
          <w:p>
            <w:pPr>
              <w:pStyle w:val="null3"/>
              <w:ind w:firstLine="480"/>
              <w:jc w:val="left"/>
            </w:pPr>
            <w:r>
              <w:rPr>
                <w:rFonts w:ascii="仿宋_GB2312" w:hAnsi="仿宋_GB2312" w:cs="仿宋_GB2312" w:eastAsia="仿宋_GB2312"/>
                <w:sz w:val="24"/>
                <w:color w:val="000000"/>
              </w:rPr>
              <w:t>6.其他有关文件、资料；</w:t>
            </w:r>
          </w:p>
          <w:p>
            <w:pPr>
              <w:pStyle w:val="null3"/>
              <w:ind w:firstLine="480"/>
              <w:jc w:val="left"/>
            </w:pPr>
            <w:r>
              <w:rPr>
                <w:rFonts w:ascii="仿宋_GB2312" w:hAnsi="仿宋_GB2312" w:cs="仿宋_GB2312" w:eastAsia="仿宋_GB2312"/>
                <w:sz w:val="24"/>
                <w:color w:val="000000"/>
              </w:rPr>
              <w:t>7.本⼯程采⽤⼴联达云计价软件GCCP7.0</w:t>
            </w:r>
            <w:r>
              <w:rPr>
                <w:rFonts w:ascii="仿宋_GB2312" w:hAnsi="仿宋_GB2312" w:cs="仿宋_GB2312" w:eastAsia="仿宋_GB2312"/>
                <w:sz w:val="24"/>
                <w:color w:val="000000"/>
              </w:rPr>
              <w:t>（版本号：</w:t>
            </w:r>
            <w:r>
              <w:rPr>
                <w:rFonts w:ascii="仿宋_GB2312" w:hAnsi="仿宋_GB2312" w:cs="仿宋_GB2312" w:eastAsia="仿宋_GB2312"/>
                <w:sz w:val="24"/>
                <w:color w:val="000000"/>
              </w:rPr>
              <w:t>7.5000.23.</w:t>
            </w:r>
            <w:r>
              <w:rPr>
                <w:rFonts w:ascii="仿宋_GB2312" w:hAnsi="仿宋_GB2312" w:cs="仿宋_GB2312" w:eastAsia="仿宋_GB2312"/>
                <w:sz w:val="24"/>
                <w:color w:val="000000"/>
              </w:rPr>
              <w:t>2</w:t>
            </w:r>
            <w:r>
              <w:rPr>
                <w:rFonts w:ascii="仿宋_GB2312" w:hAnsi="仿宋_GB2312" w:cs="仿宋_GB2312" w:eastAsia="仿宋_GB2312"/>
                <w:sz w:val="24"/>
                <w:color w:val="000000"/>
              </w:rPr>
              <w:t>）编制。</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符合国家现行有关施工质量验收规范“合格”要求。</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（1）所有施工和材料所涉及的标准规范（如产品标准/规范、工程标准/规范、验收标准/规范等）须完全符合所有中华人民共和国的标准及规范。 （2）在施工期间，中标供应商必须注意人员安全，加强安全措施，并对施工人员进行安全教育。施工人员必须持证上岗。</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供应商应对其承诺内容的真实性、合法性、有效性负责如作出虚假承诺，视同“提供虚假材料谋取中标、成交”的违法行为。经调查核实后，按照《中华人民共和国政府采购法》第七十七条，处以采购金额千分之五以上千分之十以下的罚款列入不良行为记录名单，在一至三年内禁止参加政府采购活动，有违法所得的，并处没收违法所得，情节严重的，由市场监管部门吊销营业执照;构成犯罪的，依法追究刑事责任。 2、本项目采购标的所属行业为：建筑业。3、本项⽬专⻔⾯向中小企业采购，（按照《工信部 国家统计局 发改委 财政部 工信部联企业》中小企业划型标准（〔2011〕300号）规定：营业收入80000万元以下或资产总额80000万元以下的为中小微型企业。其中，营业收入6000万元及以上，且资产总额5000万元及以上的为中型企业；营业收入300万元及以上，且资产总额300万元及以上的为小型企业；营业收入300万元以下或资产总额300万元以下的为微型企业。 4.供应商需要在线提交所有通过电子化交易平台实施的政府采购项目的响应文件，同时，线下递交纸质响应文件，正本壹份、副本壹份， 电子文件壹份（U盘存储，内容包括与系统上传后导出完全一致的PDF版响应文件，工程量清单报价的广联达电子版）。所有纸质文件封面须加盖供应商公章鲜章，U盘标明供应商名称后随正本密封。若线上电子响应文件与纸质响应文件不一致以电子响应文件为准;若正本和副本不一致，以正本为准。 线下递交时间同线上响应文件递交截止时间;线下递交文件地点:西安市临潼区环城东路东环路小区4号楼101室。</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营业执照：供应商应是合法注册的法人或其他组织，并出具合法有效的营业执照;（2）税收和社保证明：提供基本资格条件承诺函或自2025年12月1日以来任意一个月的依法缴纳的税收和社保证明（社会保障资金缴存单据或社保机构开具的社会保险参保缴费情况证明），依法免税或不需要缴纳社会保障资金的应提供相关证明材料（以税款所属期时间为准）；（3）无重大违法记录的书面声明：提供基本资格条件承诺函或参加政府采购活动前三年内，在经营活动中没有重大违法记录的书面声明；（4）履行合同能力的承诺书：提供基本资格条件承诺函或履行合同所必需的设备和专业技术能力的承诺书；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供应商资格证明资料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财务会计制度的证明材料，满足以下任意一项即可：①基本资格条件承诺函；②2024年/2025年经审计的完整财务审计报告（成立时间至开标时间不足一年的，可提供成立后任意时段的资产负债表）；③投标截止时间前六个月内其基本账户银行出具的资信证明；④可提供政府采购信用担保机构出具的担保函。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供应商资格证明资料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供应商资格证明资料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法定代表人身份证明书或法人授权委托书</w:t>
            </w:r>
          </w:p>
        </w:tc>
        <w:tc>
          <w:tcPr>
            <w:tcW w:type="dxa" w:w="3322"/>
          </w:tcPr>
          <w:p>
            <w:pPr>
              <w:pStyle w:val="null3"/>
            </w:pPr>
            <w:r>
              <w:rPr>
                <w:rFonts w:ascii="仿宋_GB2312" w:hAnsi="仿宋_GB2312" w:cs="仿宋_GB2312" w:eastAsia="仿宋_GB2312"/>
              </w:rPr>
              <w:t>法定代表人身份证明书或法人授权委托书，后附法人及被委托人身份证（法定代表人直接参加投标的，须提供法定代表人证明书）。</w:t>
            </w:r>
          </w:p>
        </w:tc>
        <w:tc>
          <w:tcPr>
            <w:tcW w:type="dxa" w:w="1661"/>
          </w:tcPr>
          <w:p>
            <w:pPr>
              <w:pStyle w:val="null3"/>
            </w:pPr>
            <w:r>
              <w:rPr>
                <w:rFonts w:ascii="仿宋_GB2312" w:hAnsi="仿宋_GB2312" w:cs="仿宋_GB2312" w:eastAsia="仿宋_GB2312"/>
              </w:rPr>
              <w:t>供应商资格证明资料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资质要求</w:t>
            </w:r>
          </w:p>
        </w:tc>
        <w:tc>
          <w:tcPr>
            <w:tcW w:type="dxa" w:w="3322"/>
          </w:tcPr>
          <w:p>
            <w:pPr>
              <w:pStyle w:val="null3"/>
            </w:pPr>
            <w:r>
              <w:rPr>
                <w:rFonts w:ascii="仿宋_GB2312" w:hAnsi="仿宋_GB2312" w:cs="仿宋_GB2312" w:eastAsia="仿宋_GB2312"/>
              </w:rPr>
              <w:t>供应商须具备市政公用工程施工总承包二级及以上资质，具有有效的安全生产许可证。</w:t>
            </w:r>
          </w:p>
        </w:tc>
        <w:tc>
          <w:tcPr>
            <w:tcW w:type="dxa" w:w="1661"/>
          </w:tcPr>
          <w:p>
            <w:pPr>
              <w:pStyle w:val="null3"/>
            </w:pPr>
            <w:r>
              <w:rPr>
                <w:rFonts w:ascii="仿宋_GB2312" w:hAnsi="仿宋_GB2312" w:cs="仿宋_GB2312" w:eastAsia="仿宋_GB2312"/>
              </w:rPr>
              <w:t>供应商资格证明资料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项目经理要求</w:t>
            </w:r>
          </w:p>
        </w:tc>
        <w:tc>
          <w:tcPr>
            <w:tcW w:type="dxa" w:w="3322"/>
          </w:tcPr>
          <w:p>
            <w:pPr>
              <w:pStyle w:val="null3"/>
            </w:pPr>
            <w:r>
              <w:rPr>
                <w:rFonts w:ascii="仿宋_GB2312" w:hAnsi="仿宋_GB2312" w:cs="仿宋_GB2312" w:eastAsia="仿宋_GB2312"/>
              </w:rPr>
              <w:t>拟派项目经理须具备市政公用工程二级及以上注册建造师执业资格，具有安全生产考核合格证，且在本单位注册，无在建工程。</w:t>
            </w:r>
          </w:p>
        </w:tc>
        <w:tc>
          <w:tcPr>
            <w:tcW w:type="dxa" w:w="1661"/>
          </w:tcPr>
          <w:p>
            <w:pPr>
              <w:pStyle w:val="null3"/>
            </w:pPr>
            <w:r>
              <w:rPr>
                <w:rFonts w:ascii="仿宋_GB2312" w:hAnsi="仿宋_GB2312" w:cs="仿宋_GB2312" w:eastAsia="仿宋_GB2312"/>
              </w:rPr>
              <w:t>供应商资格证明资料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供应商信誉要求</w:t>
            </w:r>
          </w:p>
        </w:tc>
        <w:tc>
          <w:tcPr>
            <w:tcW w:type="dxa" w:w="3322"/>
          </w:tcPr>
          <w:p>
            <w:pPr>
              <w:pStyle w:val="null3"/>
            </w:pPr>
            <w:r>
              <w:rPr>
                <w:rFonts w:ascii="仿宋_GB2312" w:hAnsi="仿宋_GB2312" w:cs="仿宋_GB2312" w:eastAsia="仿宋_GB2312"/>
              </w:rPr>
              <w:t>供应商需以书面形式提供规定格式的《基本资格条件承诺函》，并对承诺内容的真实性负责。未提供《基本资格条件承诺函》的，须提供以下网站查询结果截图，供应商不得为“信用中国”网站（www.creditchina.gov.cn）列入的失信被执行人（中国执行信息公开网http://zxgk.court.gov.cn）、重大税收违法失信主体，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供应商资格证明资料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供应商关联关系承诺书</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单位负责人为同一人或者存在直接控股、管理关系的不同供应商，不得参加同一合同项下的投标活动。</w:t>
            </w:r>
          </w:p>
        </w:tc>
        <w:tc>
          <w:tcPr>
            <w:tcW w:type="dxa" w:w="1661"/>
          </w:tcPr>
          <w:p>
            <w:pPr>
              <w:pStyle w:val="null3"/>
            </w:pPr>
            <w:r>
              <w:rPr>
                <w:rFonts w:ascii="仿宋_GB2312" w:hAnsi="仿宋_GB2312" w:cs="仿宋_GB2312" w:eastAsia="仿宋_GB2312"/>
              </w:rPr>
              <w:t>供应商资格证明资料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非联合体投标声明</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供应商资格证明资料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响应文件签字盖章</w:t>
            </w:r>
          </w:p>
        </w:tc>
        <w:tc>
          <w:tcPr>
            <w:tcW w:type="dxa" w:w="3322"/>
          </w:tcPr>
          <w:p>
            <w:pPr>
              <w:pStyle w:val="null3"/>
            </w:pPr>
            <w:r>
              <w:rPr>
                <w:rFonts w:ascii="仿宋_GB2312" w:hAnsi="仿宋_GB2312" w:cs="仿宋_GB2312" w:eastAsia="仿宋_GB2312"/>
              </w:rPr>
              <w:t>满⾜磋商⽂件要求</w:t>
            </w:r>
          </w:p>
        </w:tc>
        <w:tc>
          <w:tcPr>
            <w:tcW w:type="dxa" w:w="1661"/>
          </w:tcPr>
          <w:p>
            <w:pPr>
              <w:pStyle w:val="null3"/>
            </w:pPr>
            <w:r>
              <w:rPr>
                <w:rFonts w:ascii="仿宋_GB2312" w:hAnsi="仿宋_GB2312" w:cs="仿宋_GB2312" w:eastAsia="仿宋_GB2312"/>
              </w:rPr>
              <w:t>已标价工程量清单 施工组织设计 供应商资格证明资料 中小企业声明函 技术服务合同条款及其他商务要求应答表 强制优先采购产品承诺函 响应文件封面 残疾人福利性单位声明函 报价函 标的清单 供应商类似项目业绩一览表 供应商承诺书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响应⽂件格式</w:t>
            </w:r>
          </w:p>
        </w:tc>
        <w:tc>
          <w:tcPr>
            <w:tcW w:type="dxa" w:w="3322"/>
          </w:tcPr>
          <w:p>
            <w:pPr>
              <w:pStyle w:val="null3"/>
            </w:pPr>
            <w:r>
              <w:rPr>
                <w:rFonts w:ascii="仿宋_GB2312" w:hAnsi="仿宋_GB2312" w:cs="仿宋_GB2312" w:eastAsia="仿宋_GB2312"/>
              </w:rPr>
              <w:t>满⾜磋商⽂件要求</w:t>
            </w:r>
          </w:p>
        </w:tc>
        <w:tc>
          <w:tcPr>
            <w:tcW w:type="dxa" w:w="1661"/>
          </w:tcPr>
          <w:p>
            <w:pPr>
              <w:pStyle w:val="null3"/>
            </w:pPr>
            <w:r>
              <w:rPr>
                <w:rFonts w:ascii="仿宋_GB2312" w:hAnsi="仿宋_GB2312" w:cs="仿宋_GB2312" w:eastAsia="仿宋_GB2312"/>
              </w:rPr>
              <w:t>已标价工程量清单 施工组织设计 供应商资格证明资料 中小企业声明函 技术服务合同条款及其他商务要求应答表 强制优先采购产品承诺函 响应文件封面 残疾人福利性单位声明函 报价函 标的清单 供应商类似项目业绩一览表 供应商承诺书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满足磋商文件要求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满足磋商文件要求</w:t>
            </w:r>
          </w:p>
        </w:tc>
        <w:tc>
          <w:tcPr>
            <w:tcW w:type="dxa" w:w="1661"/>
          </w:tcPr>
          <w:p>
            <w:pPr>
              <w:pStyle w:val="null3"/>
            </w:pPr>
            <w:r>
              <w:rPr>
                <w:rFonts w:ascii="仿宋_GB2312" w:hAnsi="仿宋_GB2312" w:cs="仿宋_GB2312" w:eastAsia="仿宋_GB2312"/>
              </w:rPr>
              <w:t>报价函 标的清单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工程质量</w:t>
            </w:r>
          </w:p>
        </w:tc>
        <w:tc>
          <w:tcPr>
            <w:tcW w:type="dxa" w:w="3322"/>
          </w:tcPr>
          <w:p>
            <w:pPr>
              <w:pStyle w:val="null3"/>
            </w:pPr>
            <w:r>
              <w:rPr>
                <w:rFonts w:ascii="仿宋_GB2312" w:hAnsi="仿宋_GB2312" w:cs="仿宋_GB2312" w:eastAsia="仿宋_GB2312"/>
              </w:rPr>
              <w:t>满足磋商文件要求</w:t>
            </w:r>
          </w:p>
        </w:tc>
        <w:tc>
          <w:tcPr>
            <w:tcW w:type="dxa" w:w="1661"/>
          </w:tcPr>
          <w:p>
            <w:pPr>
              <w:pStyle w:val="null3"/>
            </w:pPr>
            <w:r>
              <w:rPr>
                <w:rFonts w:ascii="仿宋_GB2312" w:hAnsi="仿宋_GB2312" w:cs="仿宋_GB2312" w:eastAsia="仿宋_GB2312"/>
              </w:rPr>
              <w:t>技术服务合同条款及其他商务要求应答表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只能有一个有效报价，不得提交选择性报价，且报价不超出本项目投标最高限价金额。</w:t>
            </w:r>
          </w:p>
        </w:tc>
        <w:tc>
          <w:tcPr>
            <w:tcW w:type="dxa" w:w="1661"/>
          </w:tcPr>
          <w:p>
            <w:pPr>
              <w:pStyle w:val="null3"/>
            </w:pPr>
            <w:r>
              <w:rPr>
                <w:rFonts w:ascii="仿宋_GB2312" w:hAnsi="仿宋_GB2312" w:cs="仿宋_GB2312" w:eastAsia="仿宋_GB2312"/>
              </w:rPr>
              <w:t>已标价工程量清单 报价函 标的清单</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⼀、评审内容：供应商针对本项⽬编制完整的施⼯⽅案，内容包含：①施⼯部署；②分部分项⼯程施⼯⽅法。 二、赋分标准（6分）：每完全满⾜⼀项评审内容得3分，针对每项评审内容存在⼀处缺陷的扣0.5分，扣完为⽌；未提供的得0分； 备注:“缺陷”指内容存在错误、表述不完善、缺少次要关键点或不完全贴合本项⽬特征等情形。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w:t>
            </w:r>
          </w:p>
        </w:tc>
      </w:tr>
      <w:tr>
        <w:tc>
          <w:tcPr>
            <w:tcW w:type="dxa" w:w="831"/>
            <w:vMerge/>
          </w:tcPr>
          <w:p/>
        </w:tc>
        <w:tc>
          <w:tcPr>
            <w:tcW w:type="dxa" w:w="1661"/>
          </w:tcPr>
          <w:p>
            <w:pPr>
              <w:pStyle w:val="null3"/>
            </w:pPr>
            <w:r>
              <w:rPr>
                <w:rFonts w:ascii="仿宋_GB2312" w:hAnsi="仿宋_GB2312" w:cs="仿宋_GB2312" w:eastAsia="仿宋_GB2312"/>
              </w:rPr>
              <w:t>项目经理部组成</w:t>
            </w:r>
          </w:p>
        </w:tc>
        <w:tc>
          <w:tcPr>
            <w:tcW w:type="dxa" w:w="2492"/>
          </w:tcPr>
          <w:p>
            <w:pPr>
              <w:pStyle w:val="null3"/>
            </w:pPr>
            <w:r>
              <w:rPr>
                <w:rFonts w:ascii="仿宋_GB2312" w:hAnsi="仿宋_GB2312" w:cs="仿宋_GB2312" w:eastAsia="仿宋_GB2312"/>
              </w:rPr>
              <w:t>一、供应商针对本项⽬编制项⽬经理部组成，内容包含：①⼈员组织架构及管理⼈员配备；②⼈员管理制度。 ⼆、赋分标准（6分）：每完全满⾜⼀项评审内容得3分，针对每项评审内容存在⼀处缺陷的扣0.5分，扣完为⽌；未提供的得0分； 备注:“缺陷”指内容存在错误、表述不完善、缺少次要关键点或不完全贴合本项⽬特征等情形。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w:t>
            </w:r>
          </w:p>
        </w:tc>
      </w:tr>
      <w:tr>
        <w:tc>
          <w:tcPr>
            <w:tcW w:type="dxa" w:w="831"/>
            <w:vMerge/>
          </w:tcPr>
          <w:p/>
        </w:tc>
        <w:tc>
          <w:tcPr>
            <w:tcW w:type="dxa" w:w="1661"/>
          </w:tcPr>
          <w:p>
            <w:pPr>
              <w:pStyle w:val="null3"/>
            </w:pPr>
            <w:r>
              <w:rPr>
                <w:rFonts w:ascii="仿宋_GB2312" w:hAnsi="仿宋_GB2312" w:cs="仿宋_GB2312" w:eastAsia="仿宋_GB2312"/>
              </w:rPr>
              <w:t>安全生产保障措施</w:t>
            </w:r>
          </w:p>
        </w:tc>
        <w:tc>
          <w:tcPr>
            <w:tcW w:type="dxa" w:w="2492"/>
          </w:tcPr>
          <w:p>
            <w:pPr>
              <w:pStyle w:val="null3"/>
            </w:pPr>
            <w:r>
              <w:rPr>
                <w:rFonts w:ascii="仿宋_GB2312" w:hAnsi="仿宋_GB2312" w:cs="仿宋_GB2312" w:eastAsia="仿宋_GB2312"/>
              </w:rPr>
              <w:t>⼀、评审内容：供应商针对本项⽬编制完整的安全⽣产保障措施，内容包含：①安全⽣产管理制度；②安全⽣产保障措施；③安全⽣产教育培训。 ⼆、赋分标准（9分）：每完全满⾜⼀项评审内容得3分，针对每项评审内容存在⼀处缺陷的扣0.5分，扣完为⽌，未提供的得0分。备注:“缺陷”指内容存在错误、表述不完善、缺少次要关键点或不完全贴合本项⽬特征等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w:t>
            </w:r>
          </w:p>
        </w:tc>
      </w:tr>
      <w:tr>
        <w:tc>
          <w:tcPr>
            <w:tcW w:type="dxa" w:w="831"/>
            <w:vMerge/>
          </w:tcPr>
          <w:p/>
        </w:tc>
        <w:tc>
          <w:tcPr>
            <w:tcW w:type="dxa" w:w="1661"/>
          </w:tcPr>
          <w:p>
            <w:pPr>
              <w:pStyle w:val="null3"/>
            </w:pPr>
            <w:r>
              <w:rPr>
                <w:rFonts w:ascii="仿宋_GB2312" w:hAnsi="仿宋_GB2312" w:cs="仿宋_GB2312" w:eastAsia="仿宋_GB2312"/>
              </w:rPr>
              <w:t>工程质量保证措施</w:t>
            </w:r>
          </w:p>
        </w:tc>
        <w:tc>
          <w:tcPr>
            <w:tcW w:type="dxa" w:w="2492"/>
          </w:tcPr>
          <w:p>
            <w:pPr>
              <w:pStyle w:val="null3"/>
            </w:pPr>
            <w:r>
              <w:rPr>
                <w:rFonts w:ascii="仿宋_GB2312" w:hAnsi="仿宋_GB2312" w:cs="仿宋_GB2312" w:eastAsia="仿宋_GB2312"/>
              </w:rPr>
              <w:t>⼀、评审内容：供应商针对本项⽬编制完整的⼯程质量保证措施，内容包含：①⼯程质量管理⽬标、体系；②⼯程质量管理制度；③⼯程质量保证措施。 ⼆、赋分标准（9分）：每完全满⾜⼀项评审内容得3分，针对每项评审内容存在⼀处缺陷的扣0.5分，扣完为⽌；未提供的得0分；备注:“缺陷”指内容存在错误、表述不完善、缺少次要关键点或不完全贴合本项⽬特征等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w:t>
            </w:r>
          </w:p>
        </w:tc>
      </w:tr>
      <w:tr>
        <w:tc>
          <w:tcPr>
            <w:tcW w:type="dxa" w:w="831"/>
            <w:vMerge/>
          </w:tcPr>
          <w:p/>
        </w:tc>
        <w:tc>
          <w:tcPr>
            <w:tcW w:type="dxa" w:w="1661"/>
          </w:tcPr>
          <w:p>
            <w:pPr>
              <w:pStyle w:val="null3"/>
            </w:pPr>
            <w:r>
              <w:rPr>
                <w:rFonts w:ascii="仿宋_GB2312" w:hAnsi="仿宋_GB2312" w:cs="仿宋_GB2312" w:eastAsia="仿宋_GB2312"/>
              </w:rPr>
              <w:t>施⼯进度计划</w:t>
            </w:r>
          </w:p>
        </w:tc>
        <w:tc>
          <w:tcPr>
            <w:tcW w:type="dxa" w:w="2492"/>
          </w:tcPr>
          <w:p>
            <w:pPr>
              <w:pStyle w:val="null3"/>
            </w:pPr>
            <w:r>
              <w:rPr>
                <w:rFonts w:ascii="仿宋_GB2312" w:hAnsi="仿宋_GB2312" w:cs="仿宋_GB2312" w:eastAsia="仿宋_GB2312"/>
              </w:rPr>
              <w:t>⼀、评审内容：供应商针对本项⽬编制完整的施⼯进度计划，内容包含：①施⼯进度计划横道图；②进度计划保证措施；③⼯期保证措施。 ⼆、赋分标准（9分）：每完全满⾜⼀项评审内容得3分，针对每项评审内容存在⼀处缺陷的扣0.5分，扣完为⽌；未提供的得0分； 备注:“缺陷”指内容存在错误、表述不完善、缺少次要关键点或不完全贴合本项⽬特征等情形。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w:t>
            </w:r>
          </w:p>
        </w:tc>
      </w:tr>
      <w:tr>
        <w:tc>
          <w:tcPr>
            <w:tcW w:type="dxa" w:w="831"/>
            <w:vMerge/>
          </w:tcPr>
          <w:p/>
        </w:tc>
        <w:tc>
          <w:tcPr>
            <w:tcW w:type="dxa" w:w="1661"/>
          </w:tcPr>
          <w:p>
            <w:pPr>
              <w:pStyle w:val="null3"/>
            </w:pPr>
            <w:r>
              <w:rPr>
                <w:rFonts w:ascii="仿宋_GB2312" w:hAnsi="仿宋_GB2312" w:cs="仿宋_GB2312" w:eastAsia="仿宋_GB2312"/>
              </w:rPr>
              <w:t>⽂明施⼯组织措施及 环境保护措施</w:t>
            </w:r>
          </w:p>
        </w:tc>
        <w:tc>
          <w:tcPr>
            <w:tcW w:type="dxa" w:w="2492"/>
          </w:tcPr>
          <w:p>
            <w:pPr>
              <w:pStyle w:val="null3"/>
            </w:pPr>
            <w:r>
              <w:rPr>
                <w:rFonts w:ascii="仿宋_GB2312" w:hAnsi="仿宋_GB2312" w:cs="仿宋_GB2312" w:eastAsia="仿宋_GB2312"/>
              </w:rPr>
              <w:t>⼀、评审内容：供应商针对本项⽬编制完整的⽂明施⼯组织措施及环境保护措施，内容包含：①⽂明施⼯管理⽬标及技术措施；②⽂明施⼯现场管理；③环境保护措施。 ⼆、赋分标准（9分）：每完全满⾜⼀项评审内容得3分，针对每项评审内容存在⼀处缺陷的扣0.5分，扣完为⽌；未提供的得0分。备注:“缺陷”指内容存在错误、表述不完善、缺少次要关键点或不完全贴合本项⽬特征等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w:t>
            </w:r>
          </w:p>
        </w:tc>
      </w:tr>
      <w:tr>
        <w:tc>
          <w:tcPr>
            <w:tcW w:type="dxa" w:w="831"/>
            <w:vMerge/>
          </w:tcPr>
          <w:p/>
        </w:tc>
        <w:tc>
          <w:tcPr>
            <w:tcW w:type="dxa" w:w="1661"/>
          </w:tcPr>
          <w:p>
            <w:pPr>
              <w:pStyle w:val="null3"/>
            </w:pPr>
            <w:r>
              <w:rPr>
                <w:rFonts w:ascii="仿宋_GB2312" w:hAnsi="仿宋_GB2312" w:cs="仿宋_GB2312" w:eastAsia="仿宋_GB2312"/>
              </w:rPr>
              <w:t>资源配置计划</w:t>
            </w:r>
          </w:p>
        </w:tc>
        <w:tc>
          <w:tcPr>
            <w:tcW w:type="dxa" w:w="2492"/>
          </w:tcPr>
          <w:p>
            <w:pPr>
              <w:pStyle w:val="null3"/>
            </w:pPr>
            <w:r>
              <w:rPr>
                <w:rFonts w:ascii="仿宋_GB2312" w:hAnsi="仿宋_GB2312" w:cs="仿宋_GB2312" w:eastAsia="仿宋_GB2312"/>
              </w:rPr>
              <w:t>⼀、评审内容： 供应商针对本项⽬编制完整的资源配置计划，内容包含：①劳动⼒投⼊计划；②施⼯机械配备计划；③施⼯主要材料投⼊计划。⼆、赋分标准（6分）： 每完全满⾜⼀项评审内容得2分，针对每项评审内容存在⼀处缺陷的扣0.5分，扣完为⽌；未提供的得0分；备注:“缺陷”指内容存在错误、表述不完善、缺少次要关键点或不完全贴合本项⽬特征等情形。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⼀、评审内容：供应商针对本项⽬编制完整的应急预案，内容包含：①⼈员事故应急预案；②突发暴⾬、⼤⻛、⼤雾等特殊天⽓的应急预案。 ⼆、赋分标准（6分）： 每完全满⾜⼀项评审内容得3分，针对每项评审内容存在⼀处缺陷的扣0.5分，扣完为⽌，未提供的得0分；备注:“缺陷”指内容存在错误、表述不完善、缺少次要关键点或不完全贴合本项⽬特征等情形。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w:t>
            </w:r>
          </w:p>
        </w:tc>
      </w:tr>
      <w:tr>
        <w:tc>
          <w:tcPr>
            <w:tcW w:type="dxa" w:w="831"/>
            <w:vMerge/>
          </w:tcPr>
          <w:p/>
        </w:tc>
        <w:tc>
          <w:tcPr>
            <w:tcW w:type="dxa" w:w="1661"/>
          </w:tcPr>
          <w:p>
            <w:pPr>
              <w:pStyle w:val="null3"/>
            </w:pPr>
            <w:r>
              <w:rPr>
                <w:rFonts w:ascii="仿宋_GB2312" w:hAnsi="仿宋_GB2312" w:cs="仿宋_GB2312" w:eastAsia="仿宋_GB2312"/>
              </w:rPr>
              <w:t>施⼯承诺</w:t>
            </w:r>
          </w:p>
        </w:tc>
        <w:tc>
          <w:tcPr>
            <w:tcW w:type="dxa" w:w="2492"/>
          </w:tcPr>
          <w:p>
            <w:pPr>
              <w:pStyle w:val="null3"/>
            </w:pPr>
            <w:r>
              <w:rPr>
                <w:rFonts w:ascii="仿宋_GB2312" w:hAnsi="仿宋_GB2312" w:cs="仿宋_GB2312" w:eastAsia="仿宋_GB2312"/>
              </w:rPr>
              <w:t>⼀、评审内容： 供应商针对本项⽬编制完整的施⼯承诺，内容包含:①施⼯阶段的承诺（包括质量、安全、⽂明等）；②保修阶段的承诺。⼆、赋分标准（6分）：每完全满⾜⼀项评审内容得3分，针对每项评审内容存在⼀处缺陷的扣0.5分，扣完为⽌；未提供的得0分； 备注:“缺陷”指内容存在错误、表述不完善、缺少次要关键点或不完全贴合本项⽬特征等情形。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供应商提供2023年1月1日至今类似业绩，每提供一个得2分，满分4分。（以合同签订时间或中标通知书签发时间为准）。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（4）评审委员会基于专业判断，认为供应商报价过低，有可能影响工程质量或者不能诚信履约的其他情形。 评审委员会启动异常低价投标（响应）审查后，应当要求相关供应商在评审现场合理的时间内提供书面说明及必要的证明材料，对投标（响应）价格作出解释。评审委员会启动异常低价投标（响应）审查后，属于前述第1项⾄第4项情形的，应当要求相关供应商在50分钟内通过项⽬电⼦化交易系统对投标（响应）价格作出解释，提供项⽬具体成本测算等与报价合理性相关的书⾯说明及必要的证明材料，包括但不限于原材料成本、⼈⼯成本、制造费⽤等。其中，属于第3项情形，供应商已随投标（响应）⽂件⼀并提交相关书⾯说明及必要的证明材料，在评审现场可不再重复提交。评审委员会依据专业经验，对报价合理性进行判断。 投标（响应）供应商不能提供书⾯说明、证明材料，或者提供的书⾯说明、证明材料不能证明其报价合理性的，评审委员会应当将其作为⽆效投标（响应）处理。</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投标报价得分＝（评审基准价/投标报价）×30 ， 满⾜磋商⽂件要求且报价最低的投标报价为评审基准价，其价格分为满分。 评标委员会三分之⼆以上专家认为某投标报价有低于成本价嫌疑的，为⽆效投标报价。</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详见附件：施工组织设计</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详见附件：供应商资格证明资料</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详见附件：供应商承诺书</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详见附件：陕西省建设工程施工合同.docx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