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7C9EC">
      <w:pPr>
        <w:pStyle w:val="2"/>
        <w:keepNext w:val="0"/>
        <w:keepLines/>
        <w:pageBreakBefore/>
        <w:numPr>
          <w:numId w:val="0"/>
        </w:numPr>
        <w:spacing w:line="360" w:lineRule="auto"/>
        <w:jc w:val="center"/>
        <w:rPr>
          <w:rFonts w:hint="eastAsia" w:ascii="宋体" w:eastAsia="宋体"/>
          <w:bCs/>
          <w:sz w:val="36"/>
          <w:szCs w:val="36"/>
        </w:rPr>
      </w:pPr>
      <w:bookmarkStart w:id="0" w:name="_Toc423973075"/>
      <w:bookmarkStart w:id="1" w:name="_Toc19246"/>
      <w:bookmarkStart w:id="2" w:name="_Toc29888"/>
      <w:bookmarkStart w:id="3" w:name="_Toc8333"/>
      <w:bookmarkStart w:id="4" w:name="_Toc7682"/>
      <w:bookmarkStart w:id="5" w:name="_Toc4679"/>
      <w:bookmarkStart w:id="6" w:name="_Toc31520"/>
      <w:bookmarkStart w:id="7" w:name="_Toc26595"/>
      <w:bookmarkStart w:id="8" w:name="_Toc389582037"/>
      <w:bookmarkStart w:id="9" w:name="_Toc12205"/>
      <w:r>
        <w:rPr>
          <w:rFonts w:hint="eastAsia" w:ascii="宋体" w:eastAsia="宋体"/>
          <w:bCs/>
          <w:sz w:val="36"/>
          <w:szCs w:val="36"/>
        </w:rPr>
        <w:t>竞争性磋商内容及</w:t>
      </w:r>
      <w:bookmarkStart w:id="10" w:name="_GoBack"/>
      <w:bookmarkEnd w:id="10"/>
      <w:r>
        <w:rPr>
          <w:rFonts w:hint="eastAsia" w:ascii="宋体" w:eastAsia="宋体"/>
          <w:bCs/>
          <w:sz w:val="36"/>
          <w:szCs w:val="36"/>
        </w:rPr>
        <w:t>服务要求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14:paraId="380CC663">
      <w:pPr>
        <w:spacing w:line="360" w:lineRule="auto"/>
        <w:rPr>
          <w:rFonts w:hint="eastAsia" w:hAnsi="宋体" w:cs="宋体"/>
          <w:b/>
          <w:szCs w:val="24"/>
        </w:rPr>
      </w:pPr>
      <w:r>
        <w:rPr>
          <w:rFonts w:hint="eastAsia" w:hAnsi="宋体" w:cs="宋体"/>
          <w:b/>
          <w:szCs w:val="24"/>
        </w:rPr>
        <w:t>一、服务内容</w:t>
      </w:r>
    </w:p>
    <w:p w14:paraId="2D628326">
      <w:pPr>
        <w:spacing w:line="360" w:lineRule="auto"/>
        <w:ind w:firstLine="480" w:firstLineChars="200"/>
      </w:pPr>
      <w:r>
        <w:rPr>
          <w:rFonts w:hint="eastAsia" w:hAnsi="宋体" w:cs="宋体"/>
          <w:szCs w:val="24"/>
        </w:rPr>
        <w:t>近期，我组结合卫生部门监测反馈、镇街反映情况及实地排查，对新区农村供水设施运行状况进行了全面梳理。经排查，</w:t>
      </w:r>
      <w:r>
        <w:rPr>
          <w:rFonts w:hint="eastAsia"/>
        </w:rPr>
        <w:t>正阳街办大堡子村、兴隆村，窑店街办毛王村，斗门街办上泉村，渭城街办羊过村、冶家台村，建章街办二府营村、师家寨村、焦家村、泥河村，周陵街办赵家村，钓台街办西张一村，马王街办客省庄村</w:t>
      </w:r>
      <w:r>
        <w:rPr>
          <w:rFonts w:hint="eastAsia" w:hAnsi="宋体" w:cs="宋体"/>
          <w:szCs w:val="24"/>
        </w:rPr>
        <w:t>13个供水工程存在较为突出的设施老化、设备失效、水质不稳定及供水压力不足等问题，影响群众正常用水，需要尽快开展维修养护</w:t>
      </w:r>
      <w:r>
        <w:rPr>
          <w:rFonts w:hint="eastAsia"/>
        </w:rPr>
        <w:t>。</w:t>
      </w:r>
    </w:p>
    <w:p w14:paraId="1D507B90">
      <w:pPr>
        <w:spacing w:line="360" w:lineRule="auto"/>
        <w:rPr>
          <w:rFonts w:hint="eastAsia" w:hAnsi="宋体" w:cs="宋体"/>
          <w:b/>
          <w:szCs w:val="24"/>
        </w:rPr>
      </w:pPr>
      <w:r>
        <w:rPr>
          <w:rFonts w:hint="eastAsia" w:hAnsi="宋体" w:cs="宋体"/>
          <w:b/>
          <w:szCs w:val="24"/>
        </w:rPr>
        <w:t>二、维修养护内容</w:t>
      </w:r>
    </w:p>
    <w:p w14:paraId="76175523">
      <w:pPr>
        <w:spacing w:line="560" w:lineRule="exact"/>
        <w:ind w:firstLine="480" w:firstLineChars="200"/>
        <w:rPr>
          <w:rFonts w:hint="eastAsia" w:hAnsi="宋体" w:cs="宋体"/>
          <w:szCs w:val="24"/>
        </w:rPr>
      </w:pPr>
      <w:r>
        <w:rPr>
          <w:rFonts w:hint="eastAsia" w:hAnsi="宋体" w:cs="宋体"/>
          <w:szCs w:val="24"/>
        </w:rPr>
        <w:t>经现场核查，结合实际需要，并征求镇村意见，确定主要维修如下：</w:t>
      </w:r>
    </w:p>
    <w:p w14:paraId="78D4A93F">
      <w:pPr>
        <w:pStyle w:val="3"/>
        <w:jc w:val="center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维修养护内容表</w:t>
      </w:r>
    </w:p>
    <w:tbl>
      <w:tblPr>
        <w:tblStyle w:val="4"/>
        <w:tblW w:w="8941" w:type="dxa"/>
        <w:tblInd w:w="-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1404"/>
        <w:gridCol w:w="6816"/>
      </w:tblGrid>
      <w:tr w14:paraId="5F67C6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896971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序号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D1C4DA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供水工程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91847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主要建设内容</w:t>
            </w:r>
          </w:p>
        </w:tc>
      </w:tr>
      <w:tr w14:paraId="7D435D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A28655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2876E">
            <w:pPr>
              <w:spacing w:line="360" w:lineRule="exact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正阳街办大堡子村供水工程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3BC9E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安装1台20T玻璃钢水箱，拆除1台20T旧水箱</w:t>
            </w:r>
          </w:p>
        </w:tc>
      </w:tr>
      <w:tr w14:paraId="38A99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420298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2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744A16">
            <w:pPr>
              <w:spacing w:line="360" w:lineRule="exact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/>
              </w:rPr>
              <w:t>兴隆村</w:t>
            </w:r>
            <w:r>
              <w:rPr>
                <w:rFonts w:hint="eastAsia" w:hAnsi="宋体" w:cs="宋体"/>
                <w:szCs w:val="24"/>
              </w:rPr>
              <w:t>供水工程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C4FB7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</w:p>
        </w:tc>
      </w:tr>
      <w:tr w14:paraId="19BC0C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88CFF1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51E6BF">
            <w:pPr>
              <w:spacing w:line="360" w:lineRule="exact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/>
              </w:rPr>
              <w:t>窑店街办毛王村</w:t>
            </w:r>
            <w:r>
              <w:rPr>
                <w:rFonts w:hint="eastAsia" w:hAnsi="宋体" w:cs="宋体"/>
                <w:szCs w:val="24"/>
              </w:rPr>
              <w:t>供水工程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C66A42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</w:rPr>
              <w:t>更换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550</w:t>
            </w:r>
            <w:r>
              <w:rPr>
                <w:rFonts w:hint="eastAsia" w:hAnsi="宋体" w:cs="宋体"/>
                <w:szCs w:val="24"/>
                <w:highlight w:val="none"/>
              </w:rPr>
              <w:t>米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PE</w:t>
            </w:r>
            <w:r>
              <w:rPr>
                <w:rFonts w:hint="eastAsia" w:hAnsi="宋体" w:cs="宋体"/>
                <w:szCs w:val="24"/>
                <w:highlight w:val="none"/>
              </w:rPr>
              <w:t>管道(其中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350</w:t>
            </w:r>
            <w:r>
              <w:rPr>
                <w:rFonts w:hint="eastAsia" w:hAnsi="宋体" w:cs="宋体"/>
                <w:szCs w:val="24"/>
                <w:highlight w:val="none"/>
              </w:rPr>
              <w:t>米DN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100</w:t>
            </w:r>
            <w:r>
              <w:rPr>
                <w:rFonts w:hint="eastAsia" w:hAnsi="宋体" w:cs="宋体"/>
                <w:szCs w:val="24"/>
                <w:highlight w:val="none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200</w:t>
            </w:r>
            <w:r>
              <w:rPr>
                <w:rFonts w:hint="eastAsia" w:hAnsi="宋体" w:cs="宋体"/>
                <w:szCs w:val="24"/>
                <w:highlight w:val="none"/>
              </w:rPr>
              <w:t>米DN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hAnsi="宋体" w:cs="宋体"/>
                <w:szCs w:val="24"/>
                <w:highlight w:val="none"/>
              </w:rPr>
              <w:t>0，混凝土路面)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安装1套管道增压泵（扬程≥16m，Q=10方），铜芯电缆50m（3*25+1*16）</w:t>
            </w:r>
          </w:p>
        </w:tc>
      </w:tr>
      <w:tr w14:paraId="599AA6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1989C4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4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2FE68">
            <w:pPr>
              <w:spacing w:line="360" w:lineRule="exact"/>
              <w:jc w:val="center"/>
              <w:rPr>
                <w:rFonts w:hint="eastAsia" w:hAnsi="宋体" w:cs="宋体"/>
                <w:szCs w:val="24"/>
              </w:rPr>
            </w:pPr>
            <w:r>
              <w:rPr>
                <w:rFonts w:hint="eastAsia"/>
              </w:rPr>
              <w:t>斗门街办上泉村</w:t>
            </w:r>
            <w:r>
              <w:rPr>
                <w:rFonts w:hint="eastAsia" w:hAnsi="宋体" w:cs="宋体"/>
                <w:szCs w:val="24"/>
              </w:rPr>
              <w:t>供水工程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2DBA8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安装2台二氧化氯发生器（0-50g/h ，N=45w），60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清洗2座30T水塔</w:t>
            </w:r>
          </w:p>
        </w:tc>
      </w:tr>
      <w:tr w14:paraId="17767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223E6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EBEA74">
            <w:pPr>
              <w:spacing w:line="360" w:lineRule="exact"/>
              <w:jc w:val="center"/>
            </w:pPr>
            <w:r>
              <w:rPr>
                <w:rFonts w:hint="eastAsia"/>
              </w:rPr>
              <w:t>渭城街办羊过村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1BB313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消毒设备防护壳1个</w:t>
            </w:r>
          </w:p>
        </w:tc>
      </w:tr>
      <w:tr w14:paraId="201F8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3B030D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6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422C0E">
            <w:pPr>
              <w:spacing w:line="360" w:lineRule="exact"/>
              <w:jc w:val="center"/>
            </w:pPr>
            <w:r>
              <w:rPr>
                <w:rFonts w:hint="eastAsia"/>
              </w:rPr>
              <w:t>冶家台村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45D01">
            <w:pPr>
              <w:spacing w:line="360" w:lineRule="exact"/>
              <w:jc w:val="center"/>
              <w:rPr>
                <w:rFonts w:hint="eastAsia" w:hAnsi="宋体" w:cs="宋体"/>
                <w:szCs w:val="24"/>
                <w:highlight w:val="none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</w:p>
        </w:tc>
      </w:tr>
      <w:tr w14:paraId="27383D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99B90B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42C16">
            <w:pPr>
              <w:spacing w:line="360" w:lineRule="exact"/>
              <w:jc w:val="center"/>
            </w:pPr>
            <w:r>
              <w:rPr>
                <w:rFonts w:hint="eastAsia"/>
              </w:rPr>
              <w:t>建章街办二府营村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669D39">
            <w:pPr>
              <w:spacing w:line="360" w:lineRule="exact"/>
              <w:jc w:val="center"/>
              <w:rPr>
                <w:rFonts w:hint="eastAsia" w:hAnsi="宋体" w:cs="宋体"/>
                <w:szCs w:val="24"/>
                <w:highlight w:val="none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清洗1座30T水塔</w:t>
            </w:r>
          </w:p>
        </w:tc>
      </w:tr>
      <w:tr w14:paraId="43CEC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170163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462ED9">
            <w:pPr>
              <w:spacing w:line="360" w:lineRule="exact"/>
              <w:jc w:val="center"/>
            </w:pPr>
            <w:r>
              <w:rPr>
                <w:rFonts w:hint="eastAsia"/>
              </w:rPr>
              <w:t>师家寨村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D7FEFC">
            <w:pPr>
              <w:spacing w:line="360" w:lineRule="exact"/>
              <w:jc w:val="center"/>
              <w:rPr>
                <w:rFonts w:hint="eastAsia" w:hAnsi="宋体" w:cs="宋体"/>
                <w:szCs w:val="24"/>
                <w:highlight w:val="none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清洗1座30T水塔</w:t>
            </w:r>
          </w:p>
        </w:tc>
      </w:tr>
      <w:tr w14:paraId="4BBAC2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75F3E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E974B">
            <w:pPr>
              <w:spacing w:line="360" w:lineRule="exact"/>
              <w:jc w:val="center"/>
            </w:pPr>
            <w:r>
              <w:rPr>
                <w:rFonts w:hint="eastAsia"/>
              </w:rPr>
              <w:t>焦家村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08F444">
            <w:pPr>
              <w:spacing w:line="360" w:lineRule="exact"/>
              <w:jc w:val="center"/>
              <w:rPr>
                <w:rFonts w:hint="eastAsia" w:hAnsi="宋体" w:cs="宋体"/>
                <w:szCs w:val="24"/>
                <w:highlight w:val="none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清洗1座30T水塔</w:t>
            </w:r>
          </w:p>
        </w:tc>
      </w:tr>
      <w:tr w14:paraId="38A031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267FC4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10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DE734">
            <w:pPr>
              <w:spacing w:line="360" w:lineRule="exact"/>
              <w:jc w:val="center"/>
            </w:pPr>
            <w:r>
              <w:rPr>
                <w:rFonts w:hint="eastAsia"/>
              </w:rPr>
              <w:t>泥河村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A99651">
            <w:pPr>
              <w:spacing w:line="360" w:lineRule="exact"/>
              <w:jc w:val="center"/>
              <w:rPr>
                <w:rFonts w:hint="eastAsia" w:hAnsi="宋体" w:cs="宋体"/>
                <w:szCs w:val="24"/>
                <w:highlight w:val="none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清洗1座30T水塔</w:t>
            </w:r>
          </w:p>
        </w:tc>
      </w:tr>
      <w:tr w14:paraId="63D4F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B460AA">
            <w:pPr>
              <w:spacing w:line="360" w:lineRule="exact"/>
              <w:jc w:val="center"/>
              <w:rPr>
                <w:rFonts w:hint="eastAsia" w:hAnsi="宋体" w:cs="宋体"/>
                <w:b/>
                <w:bCs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11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A693C">
            <w:pPr>
              <w:spacing w:line="360" w:lineRule="exact"/>
              <w:jc w:val="center"/>
            </w:pPr>
            <w:r>
              <w:rPr>
                <w:rFonts w:hint="eastAsia"/>
              </w:rPr>
              <w:t>周陵街办赵家村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B5619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安装2台二氧化氯发生器（0-50g/h ，N=45w），60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清洗2座5T水箱，安装2台800G直饮水机</w:t>
            </w:r>
          </w:p>
        </w:tc>
      </w:tr>
      <w:tr w14:paraId="7C76A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2350B">
            <w:pPr>
              <w:spacing w:line="360" w:lineRule="exact"/>
              <w:jc w:val="center"/>
              <w:rPr>
                <w:rFonts w:hint="eastAsia" w:hAnsi="宋体" w:eastAsia="宋体" w:cs="宋体"/>
                <w:b/>
                <w:bCs/>
                <w:szCs w:val="24"/>
                <w:lang w:eastAsia="zh-CN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1</w:t>
            </w:r>
            <w:r>
              <w:rPr>
                <w:rFonts w:hint="eastAsia" w:hAnsi="宋体" w:cs="宋体"/>
                <w:b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54228">
            <w:pPr>
              <w:spacing w:line="360" w:lineRule="exact"/>
              <w:jc w:val="center"/>
            </w:pPr>
            <w:r>
              <w:rPr>
                <w:rFonts w:hint="eastAsia"/>
              </w:rPr>
              <w:t>钓台街办西张一村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D08B6D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砌筑2座闸阀井（直径1.2m*深1.5m），安装DN75碳钢闸阀2个，砌筑2座排泥阀井（直径0.8m*深1.5m），安装1台二氧化氯发生器（0-50g/h ，N=45w），20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，安装</w:t>
            </w: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1套液位计及控制柜</w:t>
            </w:r>
          </w:p>
        </w:tc>
      </w:tr>
      <w:tr w14:paraId="157A0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BF43A2">
            <w:pPr>
              <w:spacing w:line="360" w:lineRule="exact"/>
              <w:jc w:val="center"/>
              <w:rPr>
                <w:rFonts w:hint="eastAsia" w:hAnsi="宋体" w:eastAsia="宋体" w:cs="宋体"/>
                <w:b/>
                <w:bCs/>
                <w:szCs w:val="24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1</w:t>
            </w:r>
            <w:r>
              <w:rPr>
                <w:rFonts w:hint="eastAsia" w:hAnsi="宋体" w:cs="宋体"/>
                <w:b/>
                <w:bCs/>
                <w:szCs w:val="24"/>
                <w:lang w:val="en-US" w:eastAsia="zh-CN"/>
              </w:rPr>
              <w:t>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8FB256">
            <w:pPr>
              <w:spacing w:line="360" w:lineRule="exact"/>
              <w:jc w:val="center"/>
            </w:pPr>
            <w:r>
              <w:rPr>
                <w:rFonts w:hint="eastAsia"/>
              </w:rPr>
              <w:t>马王街办客省庄村</w:t>
            </w:r>
          </w:p>
        </w:tc>
        <w:tc>
          <w:tcPr>
            <w:tcW w:w="6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F0B75">
            <w:pPr>
              <w:spacing w:line="360" w:lineRule="exact"/>
              <w:jc w:val="center"/>
              <w:rPr>
                <w:rFonts w:hint="default" w:hAnsi="宋体" w:eastAsia="宋体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szCs w:val="24"/>
                <w:highlight w:val="none"/>
                <w:lang w:val="en-US" w:eastAsia="zh-CN"/>
              </w:rPr>
              <w:t>更换DN50PE管道200米，入户碰口20户，安装2台二氧化氯发生器（0-50g/h ，N=45w），80</w:t>
            </w:r>
            <w:r>
              <w:rPr>
                <w:rFonts w:hint="eastAsia" w:hAnsi="宋体" w:cs="宋体"/>
                <w:szCs w:val="24"/>
                <w:highlight w:val="none"/>
              </w:rPr>
              <w:t>公斤二氧化氯消毒剂（粉剂/片剂、含量10%）</w:t>
            </w:r>
            <w:r>
              <w:rPr>
                <w:rFonts w:hint="eastAsia" w:hAnsi="宋体" w:cs="宋体"/>
                <w:szCs w:val="24"/>
                <w:highlight w:val="none"/>
                <w:lang w:eastAsia="zh-CN"/>
              </w:rPr>
              <w:t>，</w:t>
            </w:r>
          </w:p>
        </w:tc>
      </w:tr>
    </w:tbl>
    <w:p w14:paraId="10308B4B">
      <w:pPr>
        <w:spacing w:line="360" w:lineRule="auto"/>
        <w:ind w:firstLine="480" w:firstLineChars="200"/>
        <w:rPr>
          <w:rFonts w:hint="eastAsia"/>
        </w:rPr>
      </w:pPr>
    </w:p>
    <w:p w14:paraId="47B088DE">
      <w:pPr>
        <w:spacing w:line="360" w:lineRule="auto"/>
        <w:rPr>
          <w:rFonts w:hint="eastAsia" w:hAnsi="宋体" w:cs="宋体"/>
          <w:b/>
          <w:szCs w:val="24"/>
        </w:rPr>
      </w:pPr>
      <w:r>
        <w:rPr>
          <w:rFonts w:hint="eastAsia" w:hAnsi="宋体" w:cs="宋体"/>
          <w:b/>
          <w:szCs w:val="24"/>
        </w:rPr>
        <w:t>三、技术要求</w:t>
      </w:r>
    </w:p>
    <w:p w14:paraId="5509AD52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（一）编制依据</w:t>
      </w:r>
    </w:p>
    <w:p w14:paraId="3E2FCEBF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1、陕水规计发[2024]107号文，陕西省水利厅关于发布《陕西省水利工程设计概(估)算编制规定》（2024年修正）；</w:t>
      </w:r>
    </w:p>
    <w:p w14:paraId="68D0844E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2、《陕西省水利建筑工程预算定额》(2024)、《陕西省水利设备安装工程预算定额》(2024)和《陕西省水利工程施工机械台班费定额》(2024)及水利部、省内外有关行业主管部门颁发并正在执行的定额；</w:t>
      </w:r>
    </w:p>
    <w:p w14:paraId="479A55B1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3、办财务函(2019)448号《水利部办公厅关于调整水利工程计价依据增值税计算标准的通知》；</w:t>
      </w:r>
    </w:p>
    <w:p w14:paraId="4C26527F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4、《水利水电工程设计工程量计算规定》；</w:t>
      </w:r>
    </w:p>
    <w:p w14:paraId="66D3B687">
      <w:pPr>
        <w:spacing w:line="360" w:lineRule="auto"/>
        <w:ind w:firstLine="480" w:firstLineChars="200"/>
      </w:pPr>
      <w:r>
        <w:rPr>
          <w:rFonts w:hint="eastAsia"/>
        </w:rPr>
        <w:t>5、《水利部办公厅关于调整水利工程计价依据增值税计算标准的通知》（办财务函[2019]448号）；</w:t>
      </w:r>
    </w:p>
    <w:p w14:paraId="3E319690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6. 维修内容清单等资料。</w:t>
      </w:r>
    </w:p>
    <w:p w14:paraId="4DF9979D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（二）施工要求</w:t>
      </w:r>
    </w:p>
    <w:p w14:paraId="1A709526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1. 项目应严格按照审批方案执行，不得擅自变更建设内容或规模；确需调整的，须报原审批部门批准。</w:t>
      </w:r>
    </w:p>
    <w:p w14:paraId="3C877DCE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2. 施工过程应符合《村镇供水工程技术规范》（GB/T 43824-2024）等相关技术标准要求。</w:t>
      </w:r>
    </w:p>
    <w:p w14:paraId="20C27714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3. 管道铺设坡度合理，接口密封严密，无渗漏、变形、破裂；管道回填夯实到位，无悬空。</w:t>
      </w:r>
    </w:p>
    <w:p w14:paraId="50BF3AD8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4. 管网安装完成后应进行冲洗、试压，水压试验压力不低于工作压力的1.5倍，保压无压降。</w:t>
      </w:r>
    </w:p>
    <w:p w14:paraId="3E42597C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5. 设备安装应规范，设备铭牌、参数齐全，通电/通水试运行正常，无故障停机。</w:t>
      </w:r>
    </w:p>
    <w:p w14:paraId="3BC25934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6. 阀门安装应齐全，启闭灵活、无漏水。</w:t>
      </w:r>
    </w:p>
    <w:p w14:paraId="0350E6B1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7. 泵房机电设备运行平稳，控制柜、线路规范，接地保护可靠，配备应急断电保护。</w:t>
      </w:r>
    </w:p>
    <w:p w14:paraId="118981AD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（三）工期要求</w:t>
      </w:r>
    </w:p>
    <w:p w14:paraId="1ABC1BFF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施工单位应合理安排工期，确保项目按期完工。管网维修应在规定时间内完成修复。</w:t>
      </w:r>
    </w:p>
    <w:p w14:paraId="4635EB63">
      <w:pPr>
        <w:spacing w:line="360" w:lineRule="auto"/>
        <w:rPr>
          <w:rFonts w:hint="eastAsia"/>
          <w:b/>
          <w:bCs/>
        </w:rPr>
      </w:pPr>
      <w:r>
        <w:rPr>
          <w:rFonts w:hint="eastAsia" w:hAnsi="宋体" w:cs="宋体"/>
          <w:b/>
          <w:szCs w:val="24"/>
        </w:rPr>
        <w:t>四、</w:t>
      </w:r>
      <w:r>
        <w:rPr>
          <w:rFonts w:hint="eastAsia"/>
          <w:b/>
          <w:bCs/>
        </w:rPr>
        <w:t>质量要求</w:t>
      </w:r>
    </w:p>
    <w:p w14:paraId="1470FAF7">
      <w:pPr>
        <w:spacing w:line="360" w:lineRule="auto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/>
        </w:rPr>
        <w:t xml:space="preserve"> 一、</w:t>
      </w:r>
      <w:r>
        <w:rPr>
          <w:rFonts w:hint="eastAsia"/>
          <w:lang w:val="en-US" w:eastAsia="zh-CN"/>
        </w:rPr>
        <w:t>质量标准</w:t>
      </w:r>
    </w:p>
    <w:p w14:paraId="2CD43D17">
      <w:pPr>
        <w:spacing w:line="360" w:lineRule="auto"/>
        <w:ind w:firstLine="482" w:firstLineChars="200"/>
        <w:rPr>
          <w:rFonts w:hint="eastAsia"/>
          <w:b/>
          <w:bCs/>
        </w:rPr>
      </w:pPr>
      <w:r>
        <w:rPr>
          <w:rFonts w:hint="eastAsia"/>
          <w:b/>
          <w:bCs/>
        </w:rPr>
        <w:t>本项目维修养护工程质量应满足国家和行业相关技术标准，确保维修后供水设施正常运行，供水水质达标、水量充足、水压稳定，保障群众饮水安全。</w:t>
      </w:r>
    </w:p>
    <w:p w14:paraId="0351D02A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 xml:space="preserve"> 二、具体质量要求</w:t>
      </w:r>
    </w:p>
    <w:p w14:paraId="0C888DCE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（一）水质要求</w:t>
      </w:r>
    </w:p>
    <w:p w14:paraId="45087007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1. 维修养护完成后，供水水质必须符合《生活饮用水卫生标准》（GB 5749-2022）的要求。</w:t>
      </w:r>
    </w:p>
    <w:p w14:paraId="5654F9F9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2. 生活饮用水的输配水设备、防护材料和水处理材料不应污染生活饮用水，应符合《生活饮用水输配水设备及防护材料卫生安全评价规范》（GB/T 17219）的规定。</w:t>
      </w:r>
    </w:p>
    <w:p w14:paraId="53886076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3. 净化消毒设施设备的运行维护和大修应符合《村镇供水工程技术规范》（GB/T 43824-2024）等有关技术标准。</w:t>
      </w:r>
    </w:p>
    <w:p w14:paraId="35251392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>. 维修提升工程需对比改造前后水质，确保水质明显改善，不合格不得通过验收。</w:t>
      </w:r>
    </w:p>
    <w:p w14:paraId="6B42837F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（二）水量与水压要求</w:t>
      </w:r>
    </w:p>
    <w:p w14:paraId="2026116F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1. 集中供水工程供水保证率应≥95%，满足村民日常用水需求。</w:t>
      </w:r>
    </w:p>
    <w:p w14:paraId="78CE8C21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2. 入户管末梢水压正常，地势较高用户无断水、水压不足问题。</w:t>
      </w:r>
    </w:p>
    <w:p w14:paraId="7F63191F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3. 维修项目需消除原有爆管、停水、漏水等故障，管网漏损率控制在合理范围。</w:t>
      </w:r>
    </w:p>
    <w:p w14:paraId="77BDC354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（三）设备与设施质量要求</w:t>
      </w:r>
    </w:p>
    <w:p w14:paraId="0A6764AB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1. 反渗透净水设备维修后应恢复正常运行，出水水质达标。</w:t>
      </w:r>
    </w:p>
    <w:p w14:paraId="2833FE11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2. 消毒设备安装规范，药剂存储安全，可连续稳定运行，具备加药记录条件。</w:t>
      </w:r>
    </w:p>
    <w:p w14:paraId="70673DD6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3. 更换的管材规格、压力等级符合设计要求，优先选用PE、PPR等耐腐蚀管材。</w:t>
      </w:r>
    </w:p>
    <w:p w14:paraId="0CF13AAE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4. 水表安装规范，计量准确。</w:t>
      </w:r>
    </w:p>
    <w:p w14:paraId="0E8A9200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5. 水泵运行平稳，出水率达标。</w:t>
      </w:r>
    </w:p>
    <w:p w14:paraId="35EA022B">
      <w:pPr>
        <w:spacing w:line="360" w:lineRule="auto"/>
        <w:ind w:firstLine="480" w:firstLineChars="200"/>
      </w:pPr>
      <w:r>
        <w:rPr>
          <w:rFonts w:hint="eastAsia"/>
        </w:rPr>
        <w:t>6. 水塔清洗后内壁洁净，无沉积物，封闭完好。</w:t>
      </w:r>
    </w:p>
    <w:p w14:paraId="667A05B0">
      <w:pPr>
        <w:spacing w:line="360" w:lineRule="auto"/>
        <w:rPr>
          <w:rFonts w:hint="eastAsia"/>
          <w:b/>
          <w:bCs/>
        </w:rPr>
      </w:pPr>
      <w:r>
        <w:rPr>
          <w:rFonts w:hint="eastAsia" w:hAnsi="宋体" w:cs="宋体"/>
          <w:b/>
          <w:szCs w:val="24"/>
        </w:rPr>
        <w:t>五、</w:t>
      </w:r>
      <w:r>
        <w:rPr>
          <w:rFonts w:hint="eastAsia"/>
          <w:b/>
          <w:bCs/>
        </w:rPr>
        <w:t>商务要求</w:t>
      </w:r>
    </w:p>
    <w:p w14:paraId="703161C4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1、付款方式：</w:t>
      </w:r>
    </w:p>
    <w:p w14:paraId="1A2D72BE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合同签订并生效后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0日内，甲方向乙方支付合同总价款的40%；项目整体验收合格且甲方出具书面验收意见之日起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0日内，甲方向乙方支付合同总价款的60%。</w:t>
      </w:r>
    </w:p>
    <w:p w14:paraId="6A57FC5B">
      <w:pPr>
        <w:spacing w:line="360" w:lineRule="auto"/>
        <w:ind w:firstLine="480" w:firstLineChars="200"/>
      </w:pPr>
      <w:r>
        <w:rPr>
          <w:rFonts w:hint="eastAsia"/>
        </w:rPr>
        <w:t>2、付款依据：乙方提供等额发票、甲方出具的验收报告。</w:t>
      </w:r>
    </w:p>
    <w:p w14:paraId="4354AABD"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3、服务期限：</w:t>
      </w:r>
      <w:r>
        <w:rPr>
          <w:rFonts w:hint="eastAsia" w:cs="宋体"/>
          <w:color w:val="000000"/>
          <w:shd w:val="clear" w:color="auto" w:fill="FFFFFF"/>
        </w:rPr>
        <w:t>⾃合同签订之⽇起</w:t>
      </w:r>
      <w:r>
        <w:rPr>
          <w:rFonts w:hint="eastAsia" w:cs="宋体"/>
          <w:color w:val="000000"/>
          <w:shd w:val="clear" w:color="auto" w:fill="FFFFFF"/>
          <w:lang w:eastAsia="zh-CN"/>
        </w:rPr>
        <w:t>90日历日。</w:t>
      </w:r>
    </w:p>
    <w:p w14:paraId="1E2610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E6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  <w:rPr>
      <w:rFonts w:ascii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2026-10-16T01:40:41Z</dcterms:created>
  <dc:creator>Lenovo</dc:creator>
  <cp:lastModifiedBy>WPS_404932879</cp:lastModifiedBy>
  <dcterms:modified xsi:type="dcterms:W3CDTF">2026-10-16T01:40:56Z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eyJoZGlkIjoiYTg4MjkxMTY5MDNlZjgzNjI5YjU0MTliZDFmOTg0ZjMiLCJ1c2VySWQiOiI0MDQ5MzI4NzkifQ==</vt:lpwstr>
  </property>
  <property fmtid="{D5CDD505-2E9C-101B-9397-08002B2CF9AE}" pid="4" name="ICV">
    <vt:lpwstr>219E34D74FB84765A9F1E4F0BB18105B_12</vt:lpwstr>
  </property>
</Properties>
</file>