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版本号：CQDL202607.1B120260506001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汉山街道办事处农村地区散煤综合治理项目(二次)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CQDL202607.1B1</w:t>
      </w:r>
      <w:r>
        <w:br/>
      </w:r>
      <w:r>
        <w:br/>
      </w:r>
      <w:r>
        <w:br/>
      </w:r>
    </w:p>
    <w:p>
      <w:pPr>
        <w:pStyle w:val="null3"/>
        <w:jc w:val="center"/>
        <w:outlineLvl w:val="2"/>
      </w:pPr>
      <w:r>
        <w:rPr>
          <w:rFonts w:ascii="仿宋_GB2312" w:hAnsi="仿宋_GB2312" w:cs="仿宋_GB2312" w:eastAsia="仿宋_GB2312"/>
          <w:sz w:val="28"/>
          <w:b/>
        </w:rPr>
        <w:t>汉中市南郑区汉山街道办事处</w:t>
      </w:r>
    </w:p>
    <w:p>
      <w:pPr>
        <w:pStyle w:val="null3"/>
        <w:jc w:val="center"/>
        <w:outlineLvl w:val="2"/>
      </w:pPr>
      <w:r>
        <w:rPr>
          <w:rFonts w:ascii="仿宋_GB2312" w:hAnsi="仿宋_GB2312" w:cs="仿宋_GB2312" w:eastAsia="仿宋_GB2312"/>
          <w:sz w:val="28"/>
          <w:b/>
        </w:rPr>
        <w:t>陕西春秋工程项目管理有限公司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陕西春秋工程项目管理有限公司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汉中市南郑区汉山街道办事处</w:t>
      </w:r>
      <w:r>
        <w:rPr>
          <w:rFonts w:ascii="仿宋_GB2312" w:hAnsi="仿宋_GB2312" w:cs="仿宋_GB2312" w:eastAsia="仿宋_GB2312"/>
        </w:rPr>
        <w:t>委托，拟对</w:t>
      </w:r>
      <w:r>
        <w:rPr>
          <w:rFonts w:ascii="仿宋_GB2312" w:hAnsi="仿宋_GB2312" w:cs="仿宋_GB2312" w:eastAsia="仿宋_GB2312"/>
        </w:rPr>
        <w:t>汉山街道办事处农村地区散煤综合治理项目(二次)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CQDL202607.1B1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汉山街道办事处农村地区散煤综合治理项目(二次)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采购壁挂炉及暖气片，面向辖区群众发放安装，替换原有散煤取暖方式，在保障群众利益的同时改善空气质量。</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要求：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p>
      <w:pPr>
        <w:pStyle w:val="null3"/>
      </w:pPr>
      <w:r>
        <w:rPr>
          <w:rFonts w:ascii="仿宋_GB2312" w:hAnsi="仿宋_GB2312" w:cs="仿宋_GB2312" w:eastAsia="仿宋_GB2312"/>
        </w:rPr>
        <w:t>2、供应商资格承诺函：供应商应按照汉中市财政局《关于全面推行政府采购供应商基本资格条件承诺制的通知》（汉采办采管〔2024〕20号）文件要求，提供资格承诺函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汉中市南郑区汉山街道办事处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汉山街道办南一环十字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汉中市南郑区汉山街道办事处经办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13809165600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陕西春秋工程项目管理有限公司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汉中市南郑区汉山街道办事处西大街14号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林俊成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0916-5515799/18700645682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开户名称：陕西春秋工程项目管理有限公司</w:t>
            </w:r>
          </w:p>
          <w:p>
            <w:pPr>
              <w:pStyle w:val="null3"/>
            </w:pPr>
            <w:r>
              <w:rPr>
                <w:rFonts w:ascii="仿宋_GB2312" w:hAnsi="仿宋_GB2312" w:cs="仿宋_GB2312" w:eastAsia="仿宋_GB2312"/>
              </w:rPr>
              <w:t>开户银行：中国银行股份有限公司南郑支行</w:t>
            </w:r>
          </w:p>
          <w:p>
            <w:pPr>
              <w:pStyle w:val="null3"/>
            </w:pPr>
            <w:r>
              <w:rPr>
                <w:rFonts w:ascii="仿宋_GB2312" w:hAnsi="仿宋_GB2312" w:cs="仿宋_GB2312" w:eastAsia="仿宋_GB2312"/>
              </w:rPr>
              <w:t>银行账号：103673580835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汉中市南郑区汉山街道办事处</w:t>
      </w:r>
      <w:r>
        <w:rPr>
          <w:rFonts w:ascii="仿宋_GB2312" w:hAnsi="仿宋_GB2312" w:cs="仿宋_GB2312" w:eastAsia="仿宋_GB2312"/>
        </w:rPr>
        <w:t>和</w:t>
      </w:r>
      <w:r>
        <w:rPr>
          <w:rFonts w:ascii="仿宋_GB2312" w:hAnsi="仿宋_GB2312" w:cs="仿宋_GB2312" w:eastAsia="仿宋_GB2312"/>
        </w:rPr>
        <w:t>陕西春秋工程项目管理有限公司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汉中市南郑区汉山街道办事处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陕西春秋工程项目管理有限公司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汉中市南郑区汉山街道办事处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陕西春秋工程项目管理有限公司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验收交付标准：供应商所供应的货物质量合格，满足国家有关质量规范要求，并满足采购文件要求的性能参数，全部安装完成，并能正常使用。 验收方法：采购人、使用方、供应商共同确认验收。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联系人：林俊成</w:t>
      </w:r>
    </w:p>
    <w:p>
      <w:pPr>
        <w:pStyle w:val="null3"/>
      </w:pPr>
      <w:r>
        <w:rPr>
          <w:rFonts w:ascii="仿宋_GB2312" w:hAnsi="仿宋_GB2312" w:cs="仿宋_GB2312" w:eastAsia="仿宋_GB2312"/>
        </w:rPr>
        <w:t>联系电话：18700645682</w:t>
      </w:r>
    </w:p>
    <w:p>
      <w:pPr>
        <w:pStyle w:val="null3"/>
      </w:pPr>
      <w:r>
        <w:rPr>
          <w:rFonts w:ascii="仿宋_GB2312" w:hAnsi="仿宋_GB2312" w:cs="仿宋_GB2312" w:eastAsia="仿宋_GB2312"/>
        </w:rPr>
        <w:t>地址：汉中市南郑区汉山街道办事处西大街14号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采购壁挂炉及暖气片，面向辖区群众发放安装，替换原有散煤取暖方式，在保障群众利益的同时改善空气质量。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燃气壁挂炉</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right"/>
            </w:pPr>
            <w:r>
              <w:rPr>
                <w:rFonts w:ascii="仿宋_GB2312" w:hAnsi="仿宋_GB2312" w:cs="仿宋_GB2312" w:eastAsia="仿宋_GB2312"/>
              </w:rPr>
              <w:t>1,600,000.00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暖气片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组</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标的名称：燃气壁挂炉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额定热负荷</w:t>
            </w:r>
            <w:r>
              <w:rPr>
                <w:rFonts w:ascii="仿宋_GB2312" w:hAnsi="仿宋_GB2312" w:cs="仿宋_GB2312" w:eastAsia="仿宋_GB2312"/>
                <w:sz w:val="28"/>
                <w:color w:val="000000"/>
              </w:rPr>
              <w:t>≥24KW</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额定燃气压力：</w:t>
            </w:r>
            <w:r>
              <w:rPr>
                <w:rFonts w:ascii="仿宋_GB2312" w:hAnsi="仿宋_GB2312" w:cs="仿宋_GB2312" w:eastAsia="仿宋_GB2312"/>
                <w:sz w:val="28"/>
                <w:color w:val="000000"/>
              </w:rPr>
              <w:t>2000Pa</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额定电压</w:t>
            </w:r>
            <w:r>
              <w:rPr>
                <w:rFonts w:ascii="仿宋_GB2312" w:hAnsi="仿宋_GB2312" w:cs="仿宋_GB2312" w:eastAsia="仿宋_GB2312"/>
                <w:sz w:val="28"/>
                <w:color w:val="000000"/>
              </w:rPr>
              <w:t>:220V；</w:t>
            </w:r>
            <w:r>
              <w:rPr>
                <w:rFonts w:ascii="仿宋_GB2312" w:hAnsi="仿宋_GB2312" w:cs="仿宋_GB2312" w:eastAsia="仿宋_GB2312"/>
                <w:sz w:val="28"/>
                <w:color w:val="000000"/>
              </w:rPr>
              <w:t>额定频率</w:t>
            </w:r>
            <w:r>
              <w:rPr>
                <w:rFonts w:ascii="仿宋_GB2312" w:hAnsi="仿宋_GB2312" w:cs="仿宋_GB2312" w:eastAsia="仿宋_GB2312"/>
                <w:sz w:val="28"/>
                <w:color w:val="000000"/>
              </w:rPr>
              <w:t>:50Hz</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8"/>
                <w:color w:val="000000"/>
              </w:rPr>
              <w:t>外壳防护等级</w:t>
            </w:r>
            <w:r>
              <w:rPr>
                <w:rFonts w:ascii="仿宋_GB2312" w:hAnsi="仿宋_GB2312" w:cs="仿宋_GB2312" w:eastAsia="仿宋_GB2312"/>
                <w:sz w:val="28"/>
                <w:color w:val="000000"/>
              </w:rPr>
              <w:t>:IPX4及以上等级</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8"/>
                <w:color w:val="000000"/>
              </w:rPr>
              <w:t>电击防护等级：一类</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热水产率</w:t>
            </w:r>
            <w:r>
              <w:rPr>
                <w:rFonts w:ascii="仿宋_GB2312" w:hAnsi="仿宋_GB2312" w:cs="仿宋_GB2312" w:eastAsia="仿宋_GB2312"/>
                <w:sz w:val="28"/>
                <w:color w:val="000000"/>
              </w:rPr>
              <w:t>≥10L/min</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换热器材质</w:t>
            </w:r>
            <w:r>
              <w:rPr>
                <w:rFonts w:ascii="仿宋_GB2312" w:hAnsi="仿宋_GB2312" w:cs="仿宋_GB2312" w:eastAsia="仿宋_GB2312"/>
                <w:sz w:val="28"/>
                <w:color w:val="000000"/>
              </w:rPr>
              <w:t>:铜质</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换热方式</w:t>
            </w:r>
            <w:r>
              <w:rPr>
                <w:rFonts w:ascii="仿宋_GB2312" w:hAnsi="仿宋_GB2312" w:cs="仿宋_GB2312" w:eastAsia="仿宋_GB2312"/>
                <w:sz w:val="28"/>
                <w:color w:val="000000"/>
              </w:rPr>
              <w:t>:板换式</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燃烧方式：分段燃烧</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能效等级：等于或优于二级能效</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热效率：</w:t>
            </w:r>
            <w:r>
              <w:rPr>
                <w:rFonts w:ascii="仿宋_GB2312" w:hAnsi="仿宋_GB2312" w:cs="仿宋_GB2312" w:eastAsia="仿宋_GB2312"/>
                <w:sz w:val="28"/>
                <w:color w:val="000000"/>
              </w:rPr>
              <w:t>≥89%</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供暖面积：</w:t>
            </w:r>
            <w:r>
              <w:rPr>
                <w:rFonts w:ascii="仿宋_GB2312" w:hAnsi="仿宋_GB2312" w:cs="仿宋_GB2312" w:eastAsia="仿宋_GB2312"/>
                <w:sz w:val="28"/>
                <w:color w:val="000000"/>
              </w:rPr>
              <w:t>≥100㎡</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操控方式：触控式</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防冻功能：加热防冻</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气源：天然气（</w:t>
            </w:r>
            <w:r>
              <w:rPr>
                <w:rFonts w:ascii="仿宋_GB2312" w:hAnsi="仿宋_GB2312" w:cs="仿宋_GB2312" w:eastAsia="仿宋_GB2312"/>
                <w:sz w:val="28"/>
                <w:color w:val="000000"/>
              </w:rPr>
              <w:t>12T）</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color w:val="000000"/>
              </w:rPr>
              <w:t>噪音值：标准工况下</w:t>
            </w:r>
            <w:r>
              <w:rPr>
                <w:rFonts w:ascii="仿宋_GB2312" w:hAnsi="仿宋_GB2312" w:cs="仿宋_GB2312" w:eastAsia="仿宋_GB2312"/>
                <w:sz w:val="27"/>
                <w:color w:val="000000"/>
              </w:rPr>
              <w:t>≤55dB (A)</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安全保护功能：应具备漏电保护、漏气保护、熄火保护等安全功能</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强制认证：标的物须具有《中国国家强制性产品认证证书》（</w:t>
            </w:r>
            <w:r>
              <w:rPr>
                <w:rFonts w:ascii="仿宋_GB2312" w:hAnsi="仿宋_GB2312" w:cs="仿宋_GB2312" w:eastAsia="仿宋_GB2312"/>
                <w:sz w:val="28"/>
                <w:color w:val="000000"/>
              </w:rPr>
              <w:t>3C强制认证）；同时提供提供第三方检测机构出具的产品检测报告。</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b/>
              </w:rPr>
              <w:t>风机类型：变频风机</w:t>
            </w:r>
          </w:p>
        </w:tc>
      </w:tr>
    </w:tbl>
    <w:p>
      <w:pPr>
        <w:pStyle w:val="null3"/>
      </w:pPr>
      <w:r>
        <w:rPr>
          <w:rFonts w:ascii="仿宋_GB2312" w:hAnsi="仿宋_GB2312" w:cs="仿宋_GB2312" w:eastAsia="仿宋_GB2312"/>
        </w:rPr>
        <w:t>标的名称：暖气片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color w:val="000000"/>
              </w:rPr>
              <w:t>材质：钢制或铜铝复合材质（供应商需明确材质）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color w:val="000000"/>
              </w:rPr>
              <w:t>型号规格（高度</w:t>
            </w:r>
            <w:r>
              <w:rPr>
                <w:rFonts w:ascii="仿宋_GB2312" w:hAnsi="仿宋_GB2312" w:cs="仿宋_GB2312" w:eastAsia="仿宋_GB2312"/>
                <w:sz w:val="28"/>
                <w:color w:val="000000"/>
              </w:rPr>
              <w:t>×宽度）：包括但不限于600×800mm、800×1000mm、1000×1200mm等规格（供应商需明确产品具体规格）</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单片散热面积：须标注单片片散热量（标准工况：</w:t>
            </w:r>
            <w:r>
              <w:rPr>
                <w:rFonts w:ascii="仿宋_GB2312" w:hAnsi="仿宋_GB2312" w:cs="仿宋_GB2312" w:eastAsia="仿宋_GB2312"/>
                <w:sz w:val="28"/>
                <w:color w:val="000000"/>
              </w:rPr>
              <w:t>ΔT=64.5℃，单位：W/片），且散热量数值需与对应型号的覆盖面积匹配</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8"/>
                <w:color w:val="000000"/>
              </w:rPr>
              <w:t>热工性能：额定散热量（</w:t>
            </w:r>
            <w:r>
              <w:rPr>
                <w:rFonts w:ascii="仿宋_GB2312" w:hAnsi="仿宋_GB2312" w:cs="仿宋_GB2312" w:eastAsia="仿宋_GB2312"/>
                <w:sz w:val="28"/>
                <w:color w:val="000000"/>
              </w:rPr>
              <w:t>ΔT=64.5℃）80-300W/片，工作压力0.4-1.0MPa需与壁挂炉工作压力匹配，适用水温30-80℃（供水）、30-60℃（回水）</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结构片数</w:t>
            </w:r>
            <w:r>
              <w:rPr>
                <w:rFonts w:ascii="仿宋_GB2312" w:hAnsi="仿宋_GB2312" w:cs="仿宋_GB2312" w:eastAsia="仿宋_GB2312"/>
                <w:sz w:val="28"/>
                <w:color w:val="000000"/>
              </w:rPr>
              <w:t>/组数：单组3-20片（根据安装位置、散热片型号确定）；每户安装1套，2组为1套；每户散热面积≥60㎡（供应商需根据所投产品性能在响应文件计算散热面积）</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供暖管道材质：</w:t>
            </w:r>
            <w:r>
              <w:rPr>
                <w:rFonts w:ascii="仿宋_GB2312" w:hAnsi="仿宋_GB2312" w:cs="仿宋_GB2312" w:eastAsia="仿宋_GB2312"/>
                <w:sz w:val="28"/>
                <w:color w:val="000000"/>
              </w:rPr>
              <w:t>PPR管或铝塑复合管（供应商需明确材质）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8"/>
                <w:color w:val="000000"/>
              </w:rPr>
              <w:t>接口规格：</w:t>
            </w:r>
            <w:r>
              <w:rPr>
                <w:rFonts w:ascii="仿宋_GB2312" w:hAnsi="仿宋_GB2312" w:cs="仿宋_GB2312" w:eastAsia="仿宋_GB2312"/>
                <w:sz w:val="28"/>
                <w:color w:val="000000"/>
              </w:rPr>
              <w:t>G1/2</w:t>
            </w:r>
            <w:r>
              <w:rPr>
                <w:rFonts w:ascii="仿宋_GB2312" w:hAnsi="仿宋_GB2312" w:cs="仿宋_GB2312" w:eastAsia="仿宋_GB2312"/>
                <w:sz w:val="28"/>
                <w:color w:val="000000"/>
              </w:rPr>
              <w:t>或</w:t>
            </w:r>
            <w:r>
              <w:rPr>
                <w:rFonts w:ascii="仿宋_GB2312" w:hAnsi="仿宋_GB2312" w:cs="仿宋_GB2312" w:eastAsia="仿宋_GB2312"/>
                <w:sz w:val="28"/>
                <w:color w:val="000000"/>
              </w:rPr>
              <w:t>G3/4（螺纹接口），与管道适配</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壁厚：钢制</w:t>
            </w:r>
            <w:r>
              <w:rPr>
                <w:rFonts w:ascii="仿宋_GB2312" w:hAnsi="仿宋_GB2312" w:cs="仿宋_GB2312" w:eastAsia="仿宋_GB2312"/>
                <w:sz w:val="28"/>
                <w:color w:val="000000"/>
              </w:rPr>
              <w:t>≥1.5mm;铜铝复合≥0.8mm（供应商应根据暖气片材质填报）</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表面处理：静电喷塑、电泳涂层，涂层均匀、耐腐蚀性强</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8"/>
                <w:color w:val="000000"/>
              </w:rPr>
              <w:t>环保指标：涂层</w:t>
            </w:r>
            <w:r>
              <w:rPr>
                <w:rFonts w:ascii="仿宋_GB2312" w:hAnsi="仿宋_GB2312" w:cs="仿宋_GB2312" w:eastAsia="仿宋_GB2312"/>
                <w:sz w:val="28"/>
                <w:color w:val="000000"/>
              </w:rPr>
              <w:t>VOC含量≤50g/L，无异味 符合环保标准</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使用寿命：</w:t>
            </w:r>
            <w:r>
              <w:rPr>
                <w:rFonts w:ascii="仿宋_GB2312" w:hAnsi="仿宋_GB2312" w:cs="仿宋_GB2312" w:eastAsia="仿宋_GB2312"/>
                <w:sz w:val="28"/>
                <w:color w:val="000000"/>
              </w:rPr>
              <w:t>≥10年（正常使用条件）</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8"/>
                <w:color w:val="000000"/>
              </w:rPr>
              <w:t>安装方式：壁挂式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60日历天全部供货安装到位；如采购人另有要求，按采购人要求节点供货安装到位。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汉中市南郑区汉山街道办事处</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供货安装进度达到50% ，达到付款条件起 10 日内，支付合同总金额的 30.00%。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供货进度达到80% ，达到付款条件起 10 日内，支付合同总金额的 30.00%。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供货安装完成，采购人验收通过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验收交付标准：供应商所供应的货物质量合格，满足国家有关质量规范要求，并满足采购文件要求的性能参数，全部安装完成，并能正常使用。 验收方法：采购人、使用方、供应商共同确认验收。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燃气采暖壁挂炉质保期：整机质保≥3年。 暖气片质保期≥1年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要求：产品质量合格，且符合相应产品的国家及行业标准；所有货物及辅材必须是未使用过的新产品，质量优良、渠道正当，配置合理，符合国家及行业有关质量要求，如有违反，供应商应承担一切责任。 （2）质保期要求 ①燃气采暖热水炉质保期：整机质保≥3年。 ②暖气片质保期≥1年。 ③供应商应在响应文件中列明质保的范围及质保年限。 ④质保期出现的质量问题由成交供应商负责解决并承担所有费用；质保期后如需更换零部件，供应商应以优惠价提供。 （2）安装调试 ①安装 a.供应商的响应报价中应包含产品安装、辅材、配套管道、分水器、开孔等全部费用，不得向用户及采购人额外收取任何费用。 b.安装过程中，供应商应指派专业技术人员提供安装服务（特种作业人员应持证上岗），应严格按照产品说明书及安装规范进行操作，确保产品安装到位。安装操作规范合理，符合国家、行业相关标准。 c.安装完成后应对产品进行全面检查，确保所有部件安装到位、功能正常；安装过程中，若发现任何产品质量问题，供应商应无理由更换，直至问题解决。 ②调试 a.供应商应提供详尽的产品说明书，并指导用户使用。 b.调试过程中，出现异常情况，供应商应提供技术支持，协助用户解决问题。 （3）售后服务 ①供应商必须为用户提供7*24小时电话服务和技术支持。 ②在接到用户故障通知后，3小时内响应，6小时内到达现场解决故障，供应商未能在规定时间内到达现场的，采购人有权要求供应商给用户合理的经济赔偿。由于产品本身缺陷发生故障或损坏而造成的损失，全部由供应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供应商应在《响应函》完成承诺，同时提交《汉中市政府采购供应商资格承诺函》，并完成电子签章。</w:t>
            </w:r>
          </w:p>
        </w:tc>
        <w:tc>
          <w:tcPr>
            <w:tcW w:type="dxa" w:w="1661"/>
          </w:tcPr>
          <w:p>
            <w:pPr>
              <w:pStyle w:val="null3"/>
            </w:pPr>
            <w:r>
              <w:rPr>
                <w:rFonts w:ascii="仿宋_GB2312" w:hAnsi="仿宋_GB2312" w:cs="仿宋_GB2312" w:eastAsia="仿宋_GB2312"/>
              </w:rPr>
              <w:t>投标函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供应商提供履行合同所必需的设备和专业技术能力的证明材料</w:t>
            </w:r>
          </w:p>
        </w:tc>
        <w:tc>
          <w:tcPr>
            <w:tcW w:type="dxa" w:w="3322"/>
          </w:tcPr>
          <w:p>
            <w:pPr>
              <w:pStyle w:val="null3"/>
            </w:pPr>
            <w:r>
              <w:rPr>
                <w:rFonts w:ascii="仿宋_GB2312" w:hAnsi="仿宋_GB2312" w:cs="仿宋_GB2312" w:eastAsia="仿宋_GB2312"/>
              </w:rPr>
              <w:t>供应商应在《响应函》完成承诺，同时提交《汉中市政府采购供应商资格承诺函》，并完成电子签章</w:t>
            </w:r>
          </w:p>
        </w:tc>
        <w:tc>
          <w:tcPr>
            <w:tcW w:type="dxa" w:w="1661"/>
          </w:tcPr>
          <w:p>
            <w:pPr>
              <w:pStyle w:val="null3"/>
            </w:pPr>
            <w:r>
              <w:rPr>
                <w:rFonts w:ascii="仿宋_GB2312" w:hAnsi="仿宋_GB2312" w:cs="仿宋_GB2312" w:eastAsia="仿宋_GB2312"/>
              </w:rPr>
              <w:t>投标函 汉中市政府采购供应商资格承诺函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供应商基本资格要求</w:t>
            </w:r>
          </w:p>
        </w:tc>
        <w:tc>
          <w:tcPr>
            <w:tcW w:type="dxa" w:w="3322"/>
          </w:tcPr>
          <w:p>
            <w:pPr>
              <w:pStyle w:val="null3"/>
            </w:pPr>
            <w:r>
              <w:rPr>
                <w:rFonts w:ascii="仿宋_GB2312" w:hAnsi="仿宋_GB2312" w:cs="仿宋_GB2312" w:eastAsia="仿宋_GB2312"/>
              </w:rPr>
              <w:t>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 售后服务方案 中小企业声明函 商务应答表 货物来源渠道及佐证.docx 核心产品环保及节能认证 投标人应提交的相关资格证明材料 产品技术参数表 质量保证措施 投标函 残疾人福利性单位声明函 标的清单 投标文件封面 供应商类似项目业绩一览表 项目实施方案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报价未超过招标文件中规定的采购预算价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核心产品技术参数响应性</w:t>
            </w:r>
          </w:p>
        </w:tc>
        <w:tc>
          <w:tcPr>
            <w:tcW w:type="dxa" w:w="3322"/>
          </w:tcPr>
          <w:p>
            <w:pPr>
              <w:pStyle w:val="null3"/>
            </w:pPr>
            <w:r>
              <w:rPr>
                <w:rFonts w:ascii="仿宋_GB2312" w:hAnsi="仿宋_GB2312" w:cs="仿宋_GB2312" w:eastAsia="仿宋_GB2312"/>
              </w:rPr>
              <w:t>技术参数与性能指标表中标注“★”的技术参数不允许负偏离，供应商应在响应文件提供能够证明该技术参数的证明材料（证明材料包含但不限于产品彩页、铭牌、产品说明书、产品检测报告等形式），有一项负偏离或无证明材料，视该供应商为无效响应。</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供应商响应文件未出现违反招标文件实质性要求的情形</w:t>
            </w:r>
          </w:p>
        </w:tc>
        <w:tc>
          <w:tcPr>
            <w:tcW w:type="dxa" w:w="1661"/>
          </w:tcPr>
          <w:p>
            <w:pPr>
              <w:pStyle w:val="null3"/>
            </w:pPr>
            <w:r>
              <w:rPr>
                <w:rFonts w:ascii="仿宋_GB2312" w:hAnsi="仿宋_GB2312" w:cs="仿宋_GB2312" w:eastAsia="仿宋_GB2312"/>
              </w:rPr>
              <w:t>开标一览表 售后服务方案 中小企业声明函 商务应答表 货物来源渠道及佐证.docx 核心产品环保及节能认证 投标人应提交的相关资格证明材料 产品技术参数表 质量保证措施 投标函 残疾人福利性单位声明函 标的清单 投标文件封面 供应商类似项目业绩一览表 项目实施方案 汉中市政府采购供应商资格承诺函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投标响应文件无法律、规章、规范性文件和招标文件规定的其他无效情形</w:t>
            </w:r>
          </w:p>
        </w:tc>
        <w:tc>
          <w:tcPr>
            <w:tcW w:type="dxa" w:w="1661"/>
          </w:tcPr>
          <w:p>
            <w:pPr>
              <w:pStyle w:val="null3"/>
            </w:pPr>
            <w:r>
              <w:rPr>
                <w:rFonts w:ascii="仿宋_GB2312" w:hAnsi="仿宋_GB2312" w:cs="仿宋_GB2312" w:eastAsia="仿宋_GB2312"/>
              </w:rPr>
              <w:t>开标一览表 售后服务方案 中小企业声明函 商务应答表 货物来源渠道及佐证.docx 核心产品环保及节能认证 投标人应提交的相关资格证明材料 产品技术参数表 质量保证措施 投标函 残疾人福利性单位声明函 标的清单 投标文件封面 供应商类似项目业绩一览表 项目实施方案 汉中市政府采购供应商资格承诺函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投标产品技术响应情况</w:t>
            </w:r>
          </w:p>
        </w:tc>
        <w:tc>
          <w:tcPr>
            <w:tcW w:type="dxa" w:w="2492"/>
          </w:tcPr>
          <w:p>
            <w:pPr>
              <w:pStyle w:val="null3"/>
            </w:pPr>
            <w:r>
              <w:rPr>
                <w:rFonts w:ascii="仿宋_GB2312" w:hAnsi="仿宋_GB2312" w:cs="仿宋_GB2312" w:eastAsia="仿宋_GB2312"/>
              </w:rPr>
              <w:t>采购需求表中标注“▲”的为产品的重要技术参数，每有一项重要技术参数未响应或负偏离扣1分，最高扣13分。注：投标人应提供相关“▲”技术指标的证明材料，包括但不限于产品彩页、铭牌、产品说明书、产品检测报告等相关技术资料，予以证明其技术参数的响应性,无佐证材料视为该项参数未响应。</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货物来源渠道及佐证</w:t>
            </w:r>
          </w:p>
        </w:tc>
        <w:tc>
          <w:tcPr>
            <w:tcW w:type="dxa" w:w="2492"/>
          </w:tcPr>
          <w:p>
            <w:pPr>
              <w:pStyle w:val="null3"/>
            </w:pPr>
            <w:r>
              <w:rPr>
                <w:rFonts w:ascii="仿宋_GB2312" w:hAnsi="仿宋_GB2312" w:cs="仿宋_GB2312" w:eastAsia="仿宋_GB2312"/>
              </w:rPr>
              <w:t>投标人应提供采购清单中货物的合法来源渠道证明文件，提供核心产品的证明文件得3分，提供非核心产品的证明文件得2分，不提供不得分。投标人可根据自身情况提供以下资料: ①如投标人为所投产品代理商:提供货物的合法来源渠道证明文件。（例如：产品制造商授权或销售协议或代理协议等证明文件）；②如投标人为所投产品的制造商:需提供情况说明(说明产品为制造商自己生产)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货物来源渠道及佐证.docx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供应商需针对本项目提供完整的项目实施方案。内容包含：①供货组织②对接及运输方案③安装调试方案④人员、物力调配安排⑤进度安排及保障措施⑥安全文明施工措施。 评审标准：①完整性：方案必须全面，对评审内容中的各项要求有详细描述；②可实施性：切合本项目实际情况，提出步骤清晰、合理的方案；③针对性：方案能够紧扣采购需求，针对项目实施的痛点难点，内容科学合理。 赋分依据：①供货组织及进度安排：每完全满足一个评审标准得1.5分，满分4.5分；②对接及运输方案:每完全满足一个评审标准得1分，满分3分；③安装调试方案:每完全满足一个评审标准得1.5分，满分4.5分；④人员、物力调配安排：每完全满足一个评审标准得1分，满分3分；⑤进度安排及保障措施：每完全满足一个评审标准得1分，满分3分；⑥安全文明施工措施每完全满足一个评审标准得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根据本项目实际需求提供售后服务方案。内容包含：①售后服务范围②响应时间③故障处理及补救措施④备品备件准备⑤售后服务体系建设。 评审标准：①完整性：方案必须全面，对评审内容中的各项要求有详细描述；②针对性：方案能够紧扣项目实际情况，具有可操作性、及时性、有效性，内容科学合理，确保能够落地发挥作用。 赋分依据：①售后服务范围：每完全满足一个评审标准得1.5分，满分3分；②响应时间:每完全满足一个评审标准得1.5分，满分3分；③故障处理及补救措施:每完全满足一个评审标准得1.5分，满分3分；④④备品备件准备:每完全满足一个评审标准得1.5分，满分3分；⑤售后服务体系建设:每完全满足一个评审标准得1.5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根据本项目实际需求，提供质量保证措施。内容包含：①产品性能、使用寿命及效果②产品生产、供应环节质量管理体系及保证措施③安装质量保证措施。 评审标准：①完整性：措施方案须全面，对评审内容中的各项要求有详细描述；②可实施性：切合本项目实际情况，实施步骤清晰、合理，内容科学合理。 赋分依据：①产品性能、使用寿命及效果：每完全满足一个评审标准得1分，满分2分；②产品生产、供应环节质量管理体系及保证措施:每完全满足一个评审标准得1分，满分2分。③安装质量保证措施：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供应商自2023年4月至今具有同类项目供货业绩（以签订合同时间为准），每提供一份合格业绩证明得3分，满分6分。 备注：须提供完整业绩合同及对应销售发票复印件，以上两种证明材料同时提供方可得分，否则不得分。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核心产品环保及节能认证</w:t>
            </w:r>
          </w:p>
        </w:tc>
        <w:tc>
          <w:tcPr>
            <w:tcW w:type="dxa" w:w="2492"/>
          </w:tcPr>
          <w:p>
            <w:pPr>
              <w:pStyle w:val="null3"/>
            </w:pPr>
            <w:r>
              <w:rPr>
                <w:rFonts w:ascii="仿宋_GB2312" w:hAnsi="仿宋_GB2312" w:cs="仿宋_GB2312" w:eastAsia="仿宋_GB2312"/>
              </w:rPr>
              <w:t>供应商所投的核心产品具有环保产品认证证书得2分；具有节能产品认证证书得2分。 注:须提供证书证明材料复印件及国家市场监督管理总局全国认证许可信息公共服务平台的证书信息查询结果截屏图片，且证明材料标注的产品型号应与供应商所投产品型号一致，否则不得分。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核心产品环保及节能认证</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（1）评标基准价：即最低投标报价＝评标基准价，其价格分为30分。 （2）投标报价得分=评标基准价/投标报价×30。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详见附件：核心产品环保及节能认证</w:t>
      </w:r>
    </w:p>
    <w:p>
      <w:pPr>
        <w:pStyle w:val="null3"/>
        <w:ind w:firstLine="960"/>
      </w:pPr>
      <w:r>
        <w:rPr>
          <w:rFonts w:ascii="仿宋_GB2312" w:hAnsi="仿宋_GB2312" w:cs="仿宋_GB2312" w:eastAsia="仿宋_GB2312"/>
        </w:rPr>
        <w:t>详见附件：货物来源渠道及佐证.docx</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详见附件：质量保证措施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