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版本号：政采-铜川市-2026-0030820260604002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铜川市耀州区2025年度国土变更调查及森林草原湿地荒漠调查监测工作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政采-铜川市-2026-00308</w:t>
      </w:r>
      <w:r>
        <w:br/>
      </w:r>
      <w:r>
        <w:br/>
      </w:r>
      <w:r>
        <w:br/>
      </w:r>
    </w:p>
    <w:p>
      <w:pPr>
        <w:pStyle w:val="null3"/>
        <w:jc w:val="center"/>
        <w:outlineLvl w:val="2"/>
      </w:pPr>
      <w:r>
        <w:rPr>
          <w:rFonts w:ascii="仿宋_GB2312" w:hAnsi="仿宋_GB2312" w:cs="仿宋_GB2312" w:eastAsia="仿宋_GB2312"/>
          <w:sz w:val="28"/>
          <w:b/>
        </w:rPr>
        <w:t>铜川市自然资源局耀州分局</w:t>
      </w:r>
    </w:p>
    <w:p>
      <w:pPr>
        <w:pStyle w:val="null3"/>
        <w:jc w:val="center"/>
        <w:outlineLvl w:val="2"/>
      </w:pPr>
      <w:r>
        <w:rPr>
          <w:rFonts w:ascii="仿宋_GB2312" w:hAnsi="仿宋_GB2312" w:cs="仿宋_GB2312" w:eastAsia="仿宋_GB2312"/>
          <w:sz w:val="28"/>
          <w:b/>
        </w:rPr>
        <w:t>陕西钧天项目管理有限公司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陕西钧天项目管理有限公司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铜川市自然资源局耀州分局</w:t>
      </w:r>
      <w:r>
        <w:rPr>
          <w:rFonts w:ascii="仿宋_GB2312" w:hAnsi="仿宋_GB2312" w:cs="仿宋_GB2312" w:eastAsia="仿宋_GB2312"/>
        </w:rPr>
        <w:t>委托，拟对</w:t>
      </w:r>
      <w:r>
        <w:rPr>
          <w:rFonts w:ascii="仿宋_GB2312" w:hAnsi="仿宋_GB2312" w:cs="仿宋_GB2312" w:eastAsia="仿宋_GB2312"/>
        </w:rPr>
        <w:t>铜川市耀州区2025年度国土变更调查及森林草原湿地荒漠调查监测工作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政采-铜川市-2026-00308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铜川市耀州区2025年度国土变更调查及森林草原湿地荒漠调查监测工作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按照“统一标准、统一时点、统一平台”要求，整合耀州区2024 年度国土变更调查成果和森林草原湿地荒漠化普查成果，形成自然资源调查监测统一现状底图，依据省级提取的遥感监测疑似地类变化图斑，并结合国土日常变更等成果，开展耀州区变更调查以及林草湿荒调查监测，查清国土利用现状及植被覆盖类型等资源属性变化情况，汇总形成以2025年12月31日为标准时点的年度现状数据，为耀州区自然资源管理和国土空间规划“一张图”建设、山水林田湖草沙一体化保护和系统治理、生态文明建设和铜川经济建设发展提供基础数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采购包1（铜川市耀州区2025年度国土变更调查及森林草原湿地荒漠调查监测工作）：属于专门面向小微企业采购。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2、资质证书：：供应商须具备行政主管部门颁发的乙级及以上的测绘资质证书</w:t>
      </w:r>
    </w:p>
    <w:p>
      <w:pPr>
        <w:pStyle w:val="null3"/>
      </w:pPr>
      <w:r>
        <w:rPr>
          <w:rFonts w:ascii="仿宋_GB2312" w:hAnsi="仿宋_GB2312" w:cs="仿宋_GB2312" w:eastAsia="仿宋_GB2312"/>
        </w:rPr>
        <w:t>3、履行能力：：供应商须提供具有履行合同所必需的设备和专业技术能力的承诺(加盖供应商公章)</w:t>
      </w:r>
    </w:p>
    <w:p>
      <w:pPr>
        <w:pStyle w:val="null3"/>
      </w:pPr>
      <w:r>
        <w:rPr>
          <w:rFonts w:ascii="仿宋_GB2312" w:hAnsi="仿宋_GB2312" w:cs="仿宋_GB2312" w:eastAsia="仿宋_GB2312"/>
        </w:rPr>
        <w:t>4、身份证明：：法定代表人(主要负责人)委托代理人参加投标时，应提供法定代表人(主要负责人)委托授权书；法定代表人(主要负责人)亲自参加投标时，应提供法定代表人(主要负责人)身份证明书；备注：分支机构由分支机构负责人授权即可</w:t>
      </w:r>
    </w:p>
    <w:p>
      <w:pPr>
        <w:pStyle w:val="null3"/>
      </w:pPr>
      <w:r>
        <w:rPr>
          <w:rFonts w:ascii="仿宋_GB2312" w:hAnsi="仿宋_GB2312" w:cs="仿宋_GB2312" w:eastAsia="仿宋_GB2312"/>
        </w:rPr>
        <w:t>5、财务状况报告：：①提供近三年经审计任意一年的财务报告，包括“ 四表一注”（即资产负债表、利润表、现金流量表、所有者权益变动表（没有可不提供）及其附注，成立时间至提交投标文件截止时间不足一年的可提供成立后任意时段的资产负债表）②在开标截止日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6、税收缴纳证明：：供应商须提供递交投标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p>
      <w:pPr>
        <w:pStyle w:val="null3"/>
      </w:pPr>
      <w:r>
        <w:rPr>
          <w:rFonts w:ascii="仿宋_GB2312" w:hAnsi="仿宋_GB2312" w:cs="仿宋_GB2312" w:eastAsia="仿宋_GB2312"/>
        </w:rPr>
        <w:t>7、社会保证缴纳证明：：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p>
      <w:pPr>
        <w:pStyle w:val="null3"/>
      </w:pPr>
      <w:r>
        <w:rPr>
          <w:rFonts w:ascii="仿宋_GB2312" w:hAnsi="仿宋_GB2312" w:cs="仿宋_GB2312" w:eastAsia="仿宋_GB2312"/>
        </w:rPr>
        <w:t>8、无重大违法记录书面声明：：参加本次政府采购活动前3年内在经营活动中没有重大违法记录，以及未被列入失信被执行人、重大税收违法案件当事人名单政府采购严重违法失信行为记录名单的书面声明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9、信用中国：：未在“信用中国”网站（www.creditchina.gov. cn）、“ 中国政府采购网”（ccgp.gov.cn）列入失信被执行人、重大税收违法案件当事人名单、政府采购严重违法失信行为记录名单(提供网页截图并加盖供应商公章）</w:t>
      </w:r>
    </w:p>
    <w:p>
      <w:pPr>
        <w:pStyle w:val="null3"/>
      </w:pPr>
      <w:r>
        <w:rPr>
          <w:rFonts w:ascii="仿宋_GB2312" w:hAnsi="仿宋_GB2312" w:cs="仿宋_GB2312" w:eastAsia="仿宋_GB2312"/>
        </w:rPr>
        <w:t>10、本项目不接受联合体投标：：本项目不接受联合体投标（提供书面声明材料）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铜川市自然资源局耀州分局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陕西省铜川市耀州区文营西路31号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铜川市自然资源局耀州分局经办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18609198260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陕西钧天项目管理有限公司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陕西省西安市市辖区陕西省西安市经济技术开发区高铁新城上林路1888号绿城柳岸晓风小区1幢11002室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18829192608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采购包1：2,123,600.00元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[2011]534号）的有关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铜川市自然资源局耀州分局</w:t>
      </w:r>
      <w:r>
        <w:rPr>
          <w:rFonts w:ascii="仿宋_GB2312" w:hAnsi="仿宋_GB2312" w:cs="仿宋_GB2312" w:eastAsia="仿宋_GB2312"/>
        </w:rPr>
        <w:t>和</w:t>
      </w:r>
      <w:r>
        <w:rPr>
          <w:rFonts w:ascii="仿宋_GB2312" w:hAnsi="仿宋_GB2312" w:cs="仿宋_GB2312" w:eastAsia="仿宋_GB2312"/>
        </w:rPr>
        <w:t>陕西钧天项目管理有限公司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铜川市自然资源局耀州分局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陕西钧天项目管理有限公司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铜川市自然资源局耀州分局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陕西钧天项目管理有限公司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严格按照招标文件及业主要求参数进行验收，同时满足国家相关规范，规定要求。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联系电话：18829192608</w:t>
      </w:r>
    </w:p>
    <w:p>
      <w:pPr>
        <w:pStyle w:val="null3"/>
      </w:pPr>
      <w:r>
        <w:rPr>
          <w:rFonts w:ascii="仿宋_GB2312" w:hAnsi="仿宋_GB2312" w:cs="仿宋_GB2312" w:eastAsia="仿宋_GB2312"/>
        </w:rPr>
        <w:t>地址：铜川新区正阳路街道长虹南路惠民地产办公楼四楼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按照“统一标准、统一时点、统一平台”要求，整合耀州区2024 年度国土变更调查成果和森林草原湿地荒漠化普查成果，形成自然资源调查监测统一现状底图，依据省级提取的遥感监测疑似地类变化图斑，并结合国土日常变更等成果，开展耀州区变更调查以及林草湿荒调查监测，查清国土利用现状及植被覆盖类型等资源属性变化情况，汇总形成以2025年12月31日为标准时点的年度现状数据，为耀州区自然资源管理和国土空间规划“一张图”建设、山水林田湖草沙一体化保护和系统治理、生态文明建设和铜川经济建设发展提供基础数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2,123,600.00</w:t>
      </w:r>
    </w:p>
    <w:p>
      <w:pPr>
        <w:pStyle w:val="null3"/>
      </w:pPr>
      <w:r>
        <w:rPr>
          <w:rFonts w:ascii="仿宋_GB2312" w:hAnsi="仿宋_GB2312" w:cs="仿宋_GB2312" w:eastAsia="仿宋_GB2312"/>
        </w:rPr>
        <w:t>采购包最高限价（元）: 2,123,600.00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2,123,600.00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 xml:space="preserve">     按照“统一标准、统一时点、统一平台”要求，整合耀州区2024 年度国土变更调查成果和森林草原湿地荒漠化普查成果，形成自然资源调查监测统一现状底图，依据省级提取的遥感监测疑似地类变化图斑，并结合国土日常变更等成果，开展耀州区变更调查以及林草湿荒调查监测，查清国土利用现状及植被覆盖类型等资源属性变化情况，汇总形成以2025年12月31日为标准时点的年度现状数据，为耀州区自然资源管理和国土空间规划“一张图”建设、山水林田湖草沙一体化保护和系统治理、生态文明建设和铜川经济建设发展提供基础数据。</w:t>
            </w:r>
          </w:p>
          <w:p>
            <w:pPr>
              <w:pStyle w:val="null3"/>
            </w:pPr>
            <w:r>
              <w:rPr>
                <w:rFonts w:ascii="仿宋_GB2312" w:hAnsi="仿宋_GB2312" w:cs="仿宋_GB2312" w:eastAsia="仿宋_GB2312"/>
              </w:rPr>
              <w:t>二、工作依据</w:t>
            </w:r>
          </w:p>
          <w:p>
            <w:pPr>
              <w:pStyle w:val="null3"/>
            </w:pPr>
            <w:r>
              <w:rPr>
                <w:rFonts w:ascii="仿宋_GB2312" w:hAnsi="仿宋_GB2312" w:cs="仿宋_GB2312" w:eastAsia="仿宋_GB2312"/>
              </w:rPr>
              <w:t>1.《自然资源部办公厅国家林业和草原局办公室关于开展2025年度全国国土变更调查及森林草原湿地荒漠调查监测工作的通知》(自然资办发(2025)33号)。</w:t>
            </w:r>
          </w:p>
          <w:p>
            <w:pPr>
              <w:pStyle w:val="null3"/>
            </w:pPr>
            <w:r>
              <w:rPr>
                <w:rFonts w:ascii="仿宋_GB2312" w:hAnsi="仿宋_GB2312" w:cs="仿宋_GB2312" w:eastAsia="仿宋_GB2312"/>
              </w:rPr>
              <w:t>2.《铜川市自然资源局 铜川市林业局关于做好2025年度国土变更调查及森林草原湿地荒漠调查监测工作的通知》(铜自然资办发[2025]92号)。</w:t>
            </w:r>
          </w:p>
          <w:p>
            <w:pPr>
              <w:pStyle w:val="null3"/>
            </w:pPr>
            <w:r>
              <w:rPr>
                <w:rFonts w:ascii="仿宋_GB2312" w:hAnsi="仿宋_GB2312" w:cs="仿宋_GB2312" w:eastAsia="仿宋_GB2312"/>
              </w:rPr>
              <w:t>3.《陕西省自然资源厅陕西省林业局关于做好2025年度国土变更调查及森林草原湿地荒漠调查监测工作的通知》(陕自然资发[2025]1425号)。</w:t>
            </w:r>
          </w:p>
          <w:p>
            <w:pPr>
              <w:pStyle w:val="null3"/>
            </w:pPr>
            <w:r>
              <w:rPr>
                <w:rFonts w:ascii="仿宋_GB2312" w:hAnsi="仿宋_GB2312" w:cs="仿宋_GB2312" w:eastAsia="仿宋_GB2312"/>
              </w:rPr>
              <w:t>4.《第三次全国国土调查技术规程》（TD/T 1055-2019）。</w:t>
            </w:r>
          </w:p>
          <w:p>
            <w:pPr>
              <w:pStyle w:val="null3"/>
            </w:pPr>
            <w:r>
              <w:rPr>
                <w:rFonts w:ascii="仿宋_GB2312" w:hAnsi="仿宋_GB2312" w:cs="仿宋_GB2312" w:eastAsia="仿宋_GB2312"/>
              </w:rPr>
              <w:t>5.《2025 年度国土变更调查技术要求》《森林草原湿地荒漠调查监测技术要求（2025 年度）》。</w:t>
            </w:r>
          </w:p>
          <w:p>
            <w:pPr>
              <w:pStyle w:val="null3"/>
            </w:pPr>
            <w:r>
              <w:rPr>
                <w:rFonts w:ascii="仿宋_GB2312" w:hAnsi="仿宋_GB2312" w:cs="仿宋_GB2312" w:eastAsia="仿宋_GB2312"/>
              </w:rPr>
              <w:t>6.《中华人民共和国土地管理法》；</w:t>
            </w:r>
          </w:p>
          <w:p>
            <w:pPr>
              <w:pStyle w:val="null3"/>
            </w:pPr>
            <w:r>
              <w:rPr>
                <w:rFonts w:ascii="仿宋_GB2312" w:hAnsi="仿宋_GB2312" w:cs="仿宋_GB2312" w:eastAsia="仿宋_GB2312"/>
              </w:rPr>
              <w:t>7.《土地调查条例实施办法》；</w:t>
            </w:r>
          </w:p>
          <w:p>
            <w:pPr>
              <w:pStyle w:val="null3"/>
            </w:pPr>
            <w:r>
              <w:rPr>
                <w:rFonts w:ascii="仿宋_GB2312" w:hAnsi="仿宋_GB2312" w:cs="仿宋_GB2312" w:eastAsia="仿宋_GB2312"/>
              </w:rPr>
              <w:t>8.《土地调查条例》。</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 xml:space="preserve">     按照“统一标准、统一时点、统一平台”要求，整合2024年度国土变更调查成果和森林草原湿地荒漠化普查成果，形成自然资源调查监测统一现状底图，开展遥感监测提取疑似地类变化图斑，开展变更调查以及林草湿荒调查监测，查清国土利用现状及植被覆盖类型等资源属性变化情况，经国家、省、市逐级质量控制，汇总形成以2025年12月31日为标准时点的年度现状数据，为自然资源管理、耕地保护、国土空间规划、生态保护修复提供统一、权威的底数底图底版支撑。</w:t>
            </w:r>
          </w:p>
          <w:p>
            <w:pPr>
              <w:pStyle w:val="null3"/>
            </w:pPr>
            <w:r>
              <w:rPr>
                <w:rFonts w:ascii="仿宋_GB2312" w:hAnsi="仿宋_GB2312" w:cs="仿宋_GB2312" w:eastAsia="仿宋_GB2312"/>
              </w:rPr>
              <w:t>四、工作任务</w:t>
            </w:r>
          </w:p>
          <w:p>
            <w:pPr>
              <w:pStyle w:val="null3"/>
            </w:pPr>
            <w:r>
              <w:rPr>
                <w:rFonts w:ascii="仿宋_GB2312" w:hAnsi="仿宋_GB2312" w:cs="仿宋_GB2312" w:eastAsia="仿宋_GB2312"/>
              </w:rPr>
              <w:t xml:space="preserve">  按照“统一标准、统一时点、统一平台”要求，整合全市2024年度国土变更调查成果和森林草原湿地荒漠化普查成果，形成自然资源调查监测统一现状底图，依据省级提取的遥感监测疑似地类变化图斑，并结合国土日常变更等成果，开展变更调查以及林草湿荒调查监测，查清国土利用现状及植被覆盖类型等资源属性变化情况，经市、县区逐级质量控制，汇总形成以2025年12月31日为标准时点的年度现状数据，为自然资源管理和国土空间规划“一张图”建设、山水林田湖草沙一体化保护和系统治理、生态文明建设和铜川经济建设发展提供基础数据。</w:t>
            </w:r>
          </w:p>
          <w:p>
            <w:pPr>
              <w:pStyle w:val="null3"/>
            </w:pPr>
            <w:r>
              <w:rPr>
                <w:rFonts w:ascii="仿宋_GB2312" w:hAnsi="仿宋_GB2312" w:cs="仿宋_GB2312" w:eastAsia="仿宋_GB2312"/>
              </w:rPr>
              <w:t>五、提交主要成果</w:t>
            </w:r>
          </w:p>
          <w:p>
            <w:pPr>
              <w:pStyle w:val="null3"/>
            </w:pPr>
            <w:r>
              <w:rPr>
                <w:rFonts w:ascii="仿宋_GB2312" w:hAnsi="仿宋_GB2312" w:cs="仿宋_GB2312" w:eastAsia="仿宋_GB2312"/>
                <w:b/>
              </w:rPr>
              <w:t>1.遥感监测成果</w:t>
            </w:r>
          </w:p>
          <w:p>
            <w:pPr>
              <w:pStyle w:val="null3"/>
            </w:pPr>
            <w:r>
              <w:rPr>
                <w:rFonts w:ascii="仿宋_GB2312" w:hAnsi="仿宋_GB2312" w:cs="仿宋_GB2312" w:eastAsia="仿宋_GB2312"/>
              </w:rPr>
              <w:t>包括 2025 年度正射遥感影像图、遥感监测图斑、变化图斑提取成果及自行采集的高清影像成果。</w:t>
            </w:r>
          </w:p>
          <w:p>
            <w:pPr>
              <w:pStyle w:val="null3"/>
            </w:pPr>
            <w:r>
              <w:rPr>
                <w:rFonts w:ascii="仿宋_GB2312" w:hAnsi="仿宋_GB2312" w:cs="仿宋_GB2312" w:eastAsia="仿宋_GB2312"/>
                <w:b/>
              </w:rPr>
              <w:t>2.外业调查与举证成果</w:t>
            </w:r>
          </w:p>
          <w:p>
            <w:pPr>
              <w:pStyle w:val="null3"/>
            </w:pPr>
            <w:r>
              <w:rPr>
                <w:rFonts w:ascii="仿宋_GB2312" w:hAnsi="仿宋_GB2312" w:cs="仿宋_GB2312" w:eastAsia="仿宋_GB2312"/>
              </w:rPr>
              <w:t>包括外业调查工作底图、地物补测资料、图斑举证数据包（DB 格式）、实地调查记录、历史流失耕地摸排专项图层及成果。</w:t>
            </w:r>
          </w:p>
          <w:p>
            <w:pPr>
              <w:pStyle w:val="null3"/>
            </w:pPr>
            <w:r>
              <w:rPr>
                <w:rFonts w:ascii="仿宋_GB2312" w:hAnsi="仿宋_GB2312" w:cs="仿宋_GB2312" w:eastAsia="仿宋_GB2312"/>
                <w:b/>
              </w:rPr>
              <w:t>3.数据库成果</w:t>
            </w:r>
          </w:p>
          <w:p>
            <w:pPr>
              <w:pStyle w:val="null3"/>
            </w:pPr>
            <w:r>
              <w:rPr>
                <w:rFonts w:ascii="仿宋_GB2312" w:hAnsi="仿宋_GB2312" w:cs="仿宋_GB2312" w:eastAsia="仿宋_GB2312"/>
              </w:rPr>
              <w:t>包括更新后的县级国土调查数据库、国土变更调查增量数据更新包、统计报表、耕地资源质量分类更新数据库及数据更新包；森林、草原、湿地、荒漠调查监测数据库及耦合成果包。</w:t>
            </w:r>
          </w:p>
          <w:p>
            <w:pPr>
              <w:pStyle w:val="null3"/>
            </w:pPr>
            <w:r>
              <w:rPr>
                <w:rFonts w:ascii="仿宋_GB2312" w:hAnsi="仿宋_GB2312" w:cs="仿宋_GB2312" w:eastAsia="仿宋_GB2312"/>
                <w:b/>
              </w:rPr>
              <w:t>4.各类表格成果</w:t>
            </w:r>
          </w:p>
          <w:p>
            <w:pPr>
              <w:pStyle w:val="null3"/>
            </w:pPr>
            <w:r>
              <w:rPr>
                <w:rFonts w:ascii="仿宋_GB2312" w:hAnsi="仿宋_GB2312" w:cs="仿宋_GB2312" w:eastAsia="仿宋_GB2312"/>
              </w:rPr>
              <w:t>包括遥感监测图斑信息核实记录表、各级核查错误图斑列表（MDB 格式）、举证图斑信息表（MDB 格式）、国土利用变化与林草湿荒资源变化统计汇总表。</w:t>
            </w:r>
          </w:p>
          <w:p>
            <w:pPr>
              <w:pStyle w:val="null3"/>
            </w:pPr>
            <w:r>
              <w:rPr>
                <w:rFonts w:ascii="仿宋_GB2312" w:hAnsi="仿宋_GB2312" w:cs="仿宋_GB2312" w:eastAsia="仿宋_GB2312"/>
                <w:b/>
              </w:rPr>
              <w:t>5.文字与图件成果</w:t>
            </w:r>
          </w:p>
          <w:p>
            <w:pPr>
              <w:pStyle w:val="null3"/>
            </w:pPr>
            <w:r>
              <w:rPr>
                <w:rFonts w:ascii="仿宋_GB2312" w:hAnsi="仿宋_GB2312" w:cs="仿宋_GB2312" w:eastAsia="仿宋_GB2312"/>
              </w:rPr>
              <w:t>包括土地利用变化分析报告、林草湿荒调查监测分析报告、成果验收报告、相关专题图件及全过程质量检查、整改闭环资料。</w:t>
            </w:r>
          </w:p>
          <w:p>
            <w:pPr>
              <w:pStyle w:val="null3"/>
            </w:pPr>
            <w:r>
              <w:rPr>
                <w:rFonts w:ascii="仿宋_GB2312" w:hAnsi="仿宋_GB2312" w:cs="仿宋_GB2312" w:eastAsia="仿宋_GB2312"/>
                <w:b/>
              </w:rPr>
              <w:t>6.汇交与验收成果</w:t>
            </w:r>
          </w:p>
          <w:p>
            <w:pPr>
              <w:pStyle w:val="null3"/>
            </w:pPr>
            <w:r>
              <w:rPr>
                <w:rFonts w:ascii="仿宋_GB2312" w:hAnsi="仿宋_GB2312" w:cs="仿宋_GB2312" w:eastAsia="仿宋_GB2312"/>
              </w:rPr>
              <w:t>按国家、省、市要求整理的全套成果归档资料、数据汇交包、保密承诺及数据安全相关资料。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供应商根据文件要求自主填写，要有能保证合同正常履行所需的从业人员。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供应商根据文件要求自主填写，要有能保证合同正常履行所需的设备。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在任务发包时，须将承诺调查从业人员参加技术培训并获取省厅颁发的合格证书，且每名从业人员承担的年度变更调查面积省域内累加不得大于100平方千米（供应商需作出承诺并加盖公章）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严格按照招标文件及业主要求参数进行验收，同时满足国家相关规范，规定要求。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进度款，乙方完成所有外业调查工作，达到付款条件起10个工作日内，支付合同总金额的60.0%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进度款，乙方提交数据成果通过省部级验收，达到付款条件起10个工作日内，支付合同总金额的30.0%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进度款，正式向甲方提交成果资料，达到付款条件起10个工作日内，支付合同总金额的10.0%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在买方对卖方违约而采取的任何补救措施不受影响的情况下，买方可向卖方发出书面违约通知书，提出终止部分或全部合同： （1）如果卖方未能在合同规定的期限内或买方根据规定同意延长的期限内提供部分或全部货物，或误期赔偿费达到最高限额。 （2）如果卖方未能履行合同规定的其它任何义务。 （3）如果买方认为卖方在本合同的竞争和实施过程中有腐败和欺诈行为。为此目的，定义下述条件：“腐败行为”是指提供、给予、接受或索取任何有价值的物品来影响买方在采购过程或合同实施过程中的行为。 “欺诈行为”是指为了影响采购过程或合同实施过程而谎报或隐瞒事实，损害买方利益的行为。 因执行本合同所发生的或与本合同有关的一切争议,双方应通过友好协商解决。 如果协商开始后六十天还不能解决，双方可依以下一种方式解决： 1、双方达成仲裁协议，向约定的仲裁委员会申请仲裁。 2、向有管辖权的人民法院起诉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供应商须具备行政主管部门颁发的乙级及以上的测绘资质证书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供应商须提供具有履行合同所必需的设备和专业技术能力的承诺(加盖供应商公章)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备注：分支机构由分支机构负责人授权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①提供近三年经审计任意一年的财务报告，包括“ 四表一注”（即资产负债表、利润表、现金流量表、所有者权益变动表（没有可不提供）及其附注，成立时间至提交投标文件截止时间不足一年的可提供成立后任意时段的资产负债表）②在开标截止日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递交投标文件截止之日前六个月内任意一个月的增值税依法缴纳税收的相关凭据，凭据须加盖税务机关或代收机关公章、业务专用章，清晰可辨、真实有效。依法免税或无须缴纳增值税的供应商，须提供税务主管部门出具的正式免税、免缴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社会保证缴纳证明：</w:t>
            </w:r>
          </w:p>
        </w:tc>
        <w:tc>
          <w:tcPr>
            <w:tcW w:type="dxa" w:w="3322"/>
          </w:tcPr>
          <w:p>
            <w:pPr>
              <w:pStyle w:val="null3"/>
            </w:pPr>
            <w:r>
              <w:rPr>
                <w:rFonts w:ascii="仿宋_GB2312" w:hAnsi="仿宋_GB2312" w:cs="仿宋_GB2312" w:eastAsia="仿宋_GB2312"/>
              </w:rPr>
              <w:t>供应商须提供递交投标文件截止之日前六个月内任意一个月的养老保险社会保障资金缴存单据，或社保机构开具的社会保险参保缴费情况证明，证明材料需真实有效、信息完整。依法不需要缴纳养老保险社会保障资金的供应商，须提供相关主管部门出具的有效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未在“信用中国”网站（www.creditchina.gov. cn）、“ 中国政府采购网”（ccgp.gov.cn）列入失信被执行人、重大税收违法案件当事人名单、政府采购严重违法失信行为记录名单(提供网页截图并加盖供应商公章）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对项目的解读与掌握</w:t>
            </w:r>
          </w:p>
        </w:tc>
        <w:tc>
          <w:tcPr>
            <w:tcW w:type="dxa" w:w="2492"/>
          </w:tcPr>
          <w:p>
            <w:pPr>
              <w:pStyle w:val="null3"/>
            </w:pPr>
            <w:r>
              <w:rPr>
                <w:rFonts w:ascii="仿宋_GB2312" w:hAnsi="仿宋_GB2312" w:cs="仿宋_GB2312" w:eastAsia="仿宋_GB2312"/>
              </w:rPr>
              <w:t>解读全面，掌握项目相关情况，贴近项目实际需求，能较好地履约计4.1-7分；解读基本准确，了解项目相关情况，能满足项目实际需求，保证履约的计2.1-4分；解读不准确，不利于项目履约计0.1-2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工作背景目的及内容</w:t>
            </w:r>
          </w:p>
        </w:tc>
        <w:tc>
          <w:tcPr>
            <w:tcW w:type="dxa" w:w="2492"/>
          </w:tcPr>
          <w:p>
            <w:pPr>
              <w:pStyle w:val="null3"/>
            </w:pPr>
            <w:r>
              <w:rPr>
                <w:rFonts w:ascii="仿宋_GB2312" w:hAnsi="仿宋_GB2312" w:cs="仿宋_GB2312" w:eastAsia="仿宋_GB2312"/>
              </w:rPr>
              <w:t>对本项目的工作背景目的及内容描述清楚明确详实的计4.1-7分；对本项目的工作背景目的及内容基本描述清楚的计2.1-4分；对本项目的工作背景目的及内容描述不准确的计0.1-2分；未提供不计分。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技术路线和方法</w:t>
            </w:r>
          </w:p>
        </w:tc>
        <w:tc>
          <w:tcPr>
            <w:tcW w:type="dxa" w:w="2492"/>
          </w:tcPr>
          <w:p>
            <w:pPr>
              <w:pStyle w:val="null3"/>
            </w:pPr>
            <w:r>
              <w:rPr>
                <w:rFonts w:ascii="仿宋_GB2312" w:hAnsi="仿宋_GB2312" w:cs="仿宋_GB2312" w:eastAsia="仿宋_GB2312"/>
              </w:rPr>
              <w:t>项目实施的技术路线清晰、全面，方法科学合理，技术指标明确计6.1-8分；项目实施的技术路线基本清晰全面，方法可行计3.1-6分；项目实施的技术路线不够清晰，方法简单不利于项目实施的计0.1-3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能够按照工作内容全面梳理项目实施阶段各工作流程，流程清浙、方法得当、可行性强，完全满足采购人的要求计5.1-8分；流程基本全面，满足采购人要求计2.1-5分；技术方法及流程不完善，不利于项目实施的计0.1-2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结合本项目要求，阐述服务时效及进度的保障措施，时间进度安排合理、可行，完全满足采购要求计4.1-7分；措施基本合理，满足项目需求计2.1-4分；措施简单，不利于项目实施计0.1-2分；未提供不计分。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本项目要求阐述服务质量保障措施及所配备的专业设施设备等。设施设备有保障，服务质量的保障措施科学合理、具体可行计4.1-7分；设施设备满足项目需求，保障措施基本合理计2.1-4分；配有设施设备，但保障措施简单、不利于项目实施计0.1-2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预期成果分类合理、内容齐全、成果描述具体详实的计3.1-5分；预期成果分类基本合理、内容基本齐全，并对成果进行相关描述的计1.1-3分；预期成果分类不合理、内容缺失的计0.1-1分；未提供不计分。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提出的意见建议有益于本项目在技术、质量、进度或管理等方面进行改进的计3.1-4分；提出的意见建议基本有益于本项目在技术、质量、进度或管理等方面进行改进的计1.1-3分；提出的意见建议不益于本项目在技术、质量、进度或管理等方面进行改进的计0.1-1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供应商提供2022年5月1日至今(以合同签订日期为准，提供合同复印件或扫描件加盖公章)已完成的类似项目业绩，每提供1份得2.5分，最高计5分。未提供的不得分。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拟派项目负责人具有相关专业（包含但不限于测绘或土地管理等）中级及以上工程师职称的，计2分；不满足不得分； 拟投入本项目的其他一般技术人员（除项目负责人外）中，具有省级（或省厅）组织的技术培训合格证书的，每提供1个计0.5分，最多得3分。 注：以上人员不重复计分，响应文件中附以上所有人员职称证及技术培训合格证书复印件，否则不得分；（注：以上从业人员特殊要求：每名从业人员承担的年度变更调查面积省域内累加不得大于100平方千米；如大于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项目组织机构及人员配置</w:t>
            </w:r>
          </w:p>
        </w:tc>
        <w:tc>
          <w:tcPr>
            <w:tcW w:type="dxa" w:w="2492"/>
          </w:tcPr>
          <w:p>
            <w:pPr>
              <w:pStyle w:val="null3"/>
            </w:pPr>
            <w:r>
              <w:rPr>
                <w:rFonts w:ascii="仿宋_GB2312" w:hAnsi="仿宋_GB2312" w:cs="仿宋_GB2312" w:eastAsia="仿宋_GB2312"/>
              </w:rPr>
              <w:t>本项目拟投入人员(含技术负责人)的工作经验及组织架构是否满足项目需求。架构合理，人员配置齐全、岗位分配合理、团队人员经验丰富，完全满足项目需求计2.1-4分；架构及人员配置基本合理，满足项目需求计1.1-2分；人员配置欠缺、不利于项目实施的计0.1-1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的服务内容，做出切实可行的服务承诺，确保项目能按时按质完成，达到服务要求且能保证项目质量。承诺内容清晰、承诺指标明确，后续服务具有可延续性计2.1-4分；承诺及措施科学合理，基本满足项目需求计0.1-2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人须提供针对本项目的保密措施，有完善的保密机制或具备保密能力的证明(可提供相关保密资格证书),并承诺参与本次项目的所有实施人员必须与采购人签订保密协议，确保信息数据不外泄。保密措施完善、承诺满足项目需求计2.1-4分；有保密措施、承诺满足项目需求计0.1-2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重点、难点及实施方案分析</w:t>
            </w:r>
          </w:p>
        </w:tc>
        <w:tc>
          <w:tcPr>
            <w:tcW w:type="dxa" w:w="2492"/>
          </w:tcPr>
          <w:p>
            <w:pPr>
              <w:pStyle w:val="null3"/>
            </w:pPr>
            <w:r>
              <w:rPr>
                <w:rFonts w:ascii="仿宋_GB2312" w:hAnsi="仿宋_GB2312" w:cs="仿宋_GB2312" w:eastAsia="仿宋_GB2312"/>
              </w:rPr>
              <w:t>供应商针对本项目的重、难点及实施方案进行分析。思路清晰，重、难点分析准确、对项目理解充分计7.1-10分；思路基本清晰，有重、难点分析，基本了解项目需求计3.1-7;思路混乱，未体现重、难点且没有准确理解项目实施目的计0.1-3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