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版本号：ZXHC2026-HZZC-00120260520001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汉中滨江体育公园体育设施提升改造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ZXHC2026-HZZC-001</w:t>
      </w:r>
      <w:r>
        <w:br/>
      </w:r>
      <w:r>
        <w:br/>
      </w:r>
      <w:r>
        <w:br/>
      </w:r>
    </w:p>
    <w:p>
      <w:pPr>
        <w:pStyle w:val="null3"/>
        <w:jc w:val="center"/>
        <w:outlineLvl w:val="2"/>
      </w:pPr>
      <w:r>
        <w:rPr>
          <w:rFonts w:ascii="仿宋_GB2312" w:hAnsi="仿宋_GB2312" w:cs="仿宋_GB2312" w:eastAsia="仿宋_GB2312"/>
          <w:sz w:val="28"/>
          <w:b/>
        </w:rPr>
        <w:t>汉中市体育局</w:t>
      </w:r>
    </w:p>
    <w:p>
      <w:pPr>
        <w:pStyle w:val="null3"/>
        <w:jc w:val="center"/>
        <w:outlineLvl w:val="2"/>
      </w:pPr>
      <w:r>
        <w:rPr>
          <w:rFonts w:ascii="仿宋_GB2312" w:hAnsi="仿宋_GB2312" w:cs="仿宋_GB2312" w:eastAsia="仿宋_GB2312"/>
          <w:sz w:val="28"/>
          <w:b/>
        </w:rPr>
        <w:t>陕西中信海诚工程咨询有限公司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陕西中信海诚工程咨询有限公司</w:t>
      </w:r>
      <w:r>
        <w:rPr>
          <w:rFonts w:ascii="仿宋_GB2312" w:hAnsi="仿宋_GB2312" w:cs="仿宋_GB2312" w:eastAsia="仿宋_GB2312"/>
        </w:rPr>
        <w:t>（以下简称“代理机构”）受</w:t>
      </w:r>
      <w:r>
        <w:rPr>
          <w:rFonts w:ascii="仿宋_GB2312" w:hAnsi="仿宋_GB2312" w:cs="仿宋_GB2312" w:eastAsia="仿宋_GB2312"/>
        </w:rPr>
        <w:t>汉中市体育局</w:t>
      </w:r>
      <w:r>
        <w:rPr>
          <w:rFonts w:ascii="仿宋_GB2312" w:hAnsi="仿宋_GB2312" w:cs="仿宋_GB2312" w:eastAsia="仿宋_GB2312"/>
        </w:rPr>
        <w:t>委托，拟对</w:t>
      </w:r>
      <w:r>
        <w:rPr>
          <w:rFonts w:ascii="仿宋_GB2312" w:hAnsi="仿宋_GB2312" w:cs="仿宋_GB2312" w:eastAsia="仿宋_GB2312"/>
        </w:rPr>
        <w:t>汉中滨江体育公园体育设施提升改造</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ZXHC2026-HZZC-001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汉中滨江体育公园体育设施提升改造</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室外健身器材采购、安装及配套工程施工，主要内容包括健身器材供货与安装、旧器材拆除清运、地面透水砖铺装、重点器材下方悬浮地板铺设等，旨在完善户外公共健身设施，提升群众健身安全与使用体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采购包1（汉中滨江体育公园体育设施提升改造）：属于专门面向小微企业采购。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须为具有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2、法定代表人身份证明或授权书：供应商应授权合法的人员参加谈判，其中法定代表人直接参加的，须出具法定代表人证明书；被授权代表参加的，须出具法定代表人授权书。</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汉台区培德街2号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0916-2217457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陕西中信海诚工程咨询有限公司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汉中市汉台区汉中路街道办事处太白路百嘉汇B座五楼云商工场T07、T08室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0916-2227909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代理服务费收费标准：以中标价为基数，按照国家计委印发《招标代理服务收费管理暂行办法》的通知(计价格[2002]1980号)文件、发改价格[2011]534号文件标准计取。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汉中市体育局</w:t>
      </w:r>
      <w:r>
        <w:rPr>
          <w:rFonts w:ascii="仿宋_GB2312" w:hAnsi="仿宋_GB2312" w:cs="仿宋_GB2312" w:eastAsia="仿宋_GB2312"/>
        </w:rPr>
        <w:t>和</w:t>
      </w:r>
      <w:r>
        <w:rPr>
          <w:rFonts w:ascii="仿宋_GB2312" w:hAnsi="仿宋_GB2312" w:cs="仿宋_GB2312" w:eastAsia="仿宋_GB2312"/>
        </w:rPr>
        <w:t>陕西中信海诚工程咨询有限公司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汉中市体育局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陕西中信海诚工程咨询有限公司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陕西中信海诚工程咨询有限公司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符合行业相关验收标准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陕西中信海诚工程咨询有限公司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陕西中信海诚工程咨询有限公司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陕西中信海诚工程咨询有限公司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联系电话：0916-2227909</w:t>
      </w:r>
    </w:p>
    <w:p>
      <w:pPr>
        <w:pStyle w:val="null3"/>
      </w:pPr>
      <w:r>
        <w:rPr>
          <w:rFonts w:ascii="仿宋_GB2312" w:hAnsi="仿宋_GB2312" w:cs="仿宋_GB2312" w:eastAsia="仿宋_GB2312"/>
        </w:rPr>
        <w:t>地址：汉中市汉台区汉中路街道办事处太白路百嘉汇B座五楼云商工场T07、T08室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室外健身器材采购、安装及配套工程施工，主要内容包括健身器材供货与安装、旧器材拆除清运、地面透水砖铺装、重点器材下方悬浮地板铺设等，旨在完善户外公共健身设施，提升群众健身安全与使用体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健身器材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标的名称：健身器材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9"/>
              <w:gridCol w:w="193"/>
              <w:gridCol w:w="926"/>
              <w:gridCol w:w="164"/>
              <w:gridCol w:w="196"/>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器材名称</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手部腿部按摩器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3、主要承载横梁尺寸≥Φ60mm×3mm。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三位扭腰器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3、主要承载横梁尺寸≥Φ32mm×3mm。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二位漫步机</w:t>
                  </w:r>
                </w:p>
                <w:p>
                  <w:pPr>
                    <w:pStyle w:val="null3"/>
                  </w:pPr>
                  <w:r>
                    <w:rPr>
                      <w:rFonts w:ascii="仿宋_GB2312" w:hAnsi="仿宋_GB2312" w:cs="仿宋_GB2312" w:eastAsia="仿宋_GB2312"/>
                      <w:sz w:val="19"/>
                    </w:rPr>
                    <w:t>（核心产品）</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3、主要承载横梁尺寸≥Φ60mm×3mm。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弹振压腿</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3、主要承载横梁尺寸≥Φ42mm×3mm。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平行漫步机</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3、主要承载横梁尺寸≥60mm×40mm×3mm。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伸背器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2、主要承载立柱尺寸≥Φ60mm×3mm。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上肢牵引器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3、主要承载横梁尺寸≥Φ60mm×3mm。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晃板扭腰器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3、主要承载横梁尺寸≥Φ50mm×3mm。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太极揉推器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3、主要承载横梁尺寸≥Φ60mm×3mm。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仰卧起座板</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2、主要承载立柱尺寸≥Φ42mm×3mm；</w:t>
                  </w:r>
                </w:p>
                <w:p>
                  <w:pPr>
                    <w:pStyle w:val="null3"/>
                  </w:pPr>
                  <w:r>
                    <w:rPr>
                      <w:rFonts w:ascii="仿宋_GB2312" w:hAnsi="仿宋_GB2312" w:cs="仿宋_GB2312" w:eastAsia="仿宋_GB2312"/>
                      <w:sz w:val="19"/>
                    </w:rPr>
                    <w:t>3、主要承载横梁尺寸≥Φ42mm×3mm。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棋牌桌</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3、主要承载横梁尺寸≥40mm×20mm×2mm。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两位蹬力训练器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3、主要承载横梁尺寸≥Φ76mm×3mm。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手摇按摩训练器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3、主要承载横梁尺寸≥Φ60mm×3mm。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引体向上训练器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3、主要承载横梁尺寸≥Φ32mm×3mm。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多功能锻炼（训练）器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3、主要承载横梁尺寸≥Φ60mm×3mm。</w:t>
                  </w:r>
                </w:p>
                <w:p>
                  <w:pPr>
                    <w:pStyle w:val="null3"/>
                  </w:pPr>
                  <w:r>
                    <w:rPr>
                      <w:rFonts w:ascii="仿宋_GB2312" w:hAnsi="仿宋_GB2312" w:cs="仿宋_GB2312" w:eastAsia="仿宋_GB2312"/>
                      <w:sz w:val="19"/>
                    </w:rPr>
                    <w:t>4、具备引体向上或上臂支撑等多种锻炼（训练）功能。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快乐大转盘</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3、主要承载横梁尺寸≥Φ60mm×3mm。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腰背按摩器</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3、主要承载横梁尺寸≥Φ48mm×3mm。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儿童秋千</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1、器材主框架采用优质钢管 + 整体热镀锌 + 户外静电喷塑工艺，防锈、防紫外线、抗老化、不掉漆；</w:t>
                  </w:r>
                </w:p>
                <w:p>
                  <w:pPr>
                    <w:pStyle w:val="null3"/>
                  </w:pPr>
                  <w:r>
                    <w:rPr>
                      <w:rFonts w:ascii="仿宋_GB2312" w:hAnsi="仿宋_GB2312" w:cs="仿宋_GB2312" w:eastAsia="仿宋_GB2312"/>
                      <w:sz w:val="19"/>
                    </w:rPr>
                    <w:t>2、主要承载立柱尺寸≥Φ114mm×3mm；</w:t>
                  </w:r>
                </w:p>
                <w:p>
                  <w:pPr>
                    <w:pStyle w:val="null3"/>
                  </w:pPr>
                  <w:r>
                    <w:rPr>
                      <w:rFonts w:ascii="仿宋_GB2312" w:hAnsi="仿宋_GB2312" w:cs="仿宋_GB2312" w:eastAsia="仿宋_GB2312"/>
                      <w:sz w:val="19"/>
                    </w:rPr>
                    <w:t>3、主要承载横梁尺寸≥Φ76mm×2mm。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器材下方悬浮地板</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引体向上训练器及多功能锻炼（训练）器下方铺设悬浮地板，每个器材下悬浮地板铺设面积</w:t>
                  </w:r>
                  <w:r>
                    <w:rPr>
                      <w:rFonts w:ascii="仿宋_GB2312" w:hAnsi="仿宋_GB2312" w:cs="仿宋_GB2312" w:eastAsia="仿宋_GB2312"/>
                      <w:sz w:val="19"/>
                    </w:rPr>
                    <w:t>≥6㎡（2m×3m），单片悬浮地板技术要求：</w:t>
                  </w:r>
                </w:p>
                <w:p>
                  <w:pPr>
                    <w:pStyle w:val="null3"/>
                  </w:pPr>
                  <w:r>
                    <w:rPr>
                      <w:rFonts w:ascii="仿宋_GB2312" w:hAnsi="仿宋_GB2312" w:cs="仿宋_GB2312" w:eastAsia="仿宋_GB2312"/>
                      <w:sz w:val="19"/>
                    </w:rPr>
                    <w:t>1、规格：≥30.2*30.2cm，厚度≥1.58cm；</w:t>
                  </w:r>
                </w:p>
                <w:p>
                  <w:pPr>
                    <w:pStyle w:val="null3"/>
                  </w:pPr>
                  <w:r>
                    <w:rPr>
                      <w:rFonts w:ascii="仿宋_GB2312" w:hAnsi="仿宋_GB2312" w:cs="仿宋_GB2312" w:eastAsia="仿宋_GB2312"/>
                      <w:sz w:val="19"/>
                    </w:rPr>
                    <w:t>2、垂直变形：0.6-3.0mm；</w:t>
                  </w:r>
                </w:p>
                <w:p>
                  <w:pPr>
                    <w:pStyle w:val="null3"/>
                  </w:pPr>
                  <w:r>
                    <w:rPr>
                      <w:rFonts w:ascii="仿宋_GB2312" w:hAnsi="仿宋_GB2312" w:cs="仿宋_GB2312" w:eastAsia="仿宋_GB2312"/>
                      <w:sz w:val="19"/>
                    </w:rPr>
                    <w:t>3、拉伸强度：≥0.4MPa；</w:t>
                  </w:r>
                </w:p>
                <w:p>
                  <w:pPr>
                    <w:pStyle w:val="null3"/>
                  </w:pPr>
                  <w:r>
                    <w:rPr>
                      <w:rFonts w:ascii="仿宋_GB2312" w:hAnsi="仿宋_GB2312" w:cs="仿宋_GB2312" w:eastAsia="仿宋_GB2312"/>
                      <w:sz w:val="19"/>
                    </w:rPr>
                    <w:t>4、抗滑值（BPN,20℃）80-110；</w:t>
                  </w:r>
                </w:p>
                <w:p>
                  <w:pPr>
                    <w:pStyle w:val="null3"/>
                  </w:pPr>
                  <w:r>
                    <w:rPr>
                      <w:rFonts w:ascii="仿宋_GB2312" w:hAnsi="仿宋_GB2312" w:cs="仿宋_GB2312" w:eastAsia="仿宋_GB2312"/>
                      <w:sz w:val="19"/>
                    </w:rPr>
                    <w:t>5、苯并[a]芘≤1.0mg /kg；</w:t>
                  </w:r>
                </w:p>
                <w:p>
                  <w:pPr>
                    <w:pStyle w:val="null3"/>
                  </w:pPr>
                  <w:r>
                    <w:rPr>
                      <w:rFonts w:ascii="仿宋_GB2312" w:hAnsi="仿宋_GB2312" w:cs="仿宋_GB2312" w:eastAsia="仿宋_GB2312"/>
                      <w:sz w:val="19"/>
                    </w:rPr>
                    <w:t>6、可溶性铅含量：≤50mg/kg；可溶性镉含量：≤10mg/kg；</w:t>
                  </w:r>
                </w:p>
                <w:p>
                  <w:pPr>
                    <w:pStyle w:val="null3"/>
                  </w:pPr>
                  <w:r>
                    <w:rPr>
                      <w:rFonts w:ascii="仿宋_GB2312" w:hAnsi="仿宋_GB2312" w:cs="仿宋_GB2312" w:eastAsia="仿宋_GB2312"/>
                      <w:sz w:val="19"/>
                    </w:rPr>
                    <w:t>7、甲苯、二甲苯和乙苯总和：≤1.0mg/(m².h)；</w:t>
                  </w:r>
                </w:p>
                <w:p>
                  <w:pPr>
                    <w:pStyle w:val="null3"/>
                  </w:pPr>
                  <w:r>
                    <w:rPr>
                      <w:rFonts w:ascii="仿宋_GB2312" w:hAnsi="仿宋_GB2312" w:cs="仿宋_GB2312" w:eastAsia="仿宋_GB2312"/>
                      <w:sz w:val="19"/>
                    </w:rPr>
                    <w:t>8、★为了有效降低病毒的传播效率，提供安全可靠的运动环境，提供送样日期到签发日期≥2000h耐消毒水-中性洗涤剂循环试验检测报告，外观：无起泡、无出油、无裂纹、无塌陷、无折皱、无污染、无粉化，无明显色差，抗滑值依据GB36246-2018标准80-110，须提供具有CMA和CNAS标识的检测报告和全国认证认可信息公共服务平台查询截图；</w:t>
                  </w:r>
                </w:p>
                <w:p>
                  <w:pPr>
                    <w:pStyle w:val="null3"/>
                  </w:pPr>
                  <w:r>
                    <w:rPr>
                      <w:rFonts w:ascii="仿宋_GB2312" w:hAnsi="仿宋_GB2312" w:cs="仿宋_GB2312" w:eastAsia="仿宋_GB2312"/>
                      <w:sz w:val="19"/>
                    </w:rPr>
                    <w:t>9、★为保证运动地板在四季变化条件下性能稳定，提供送样日期到签发日期≥2000h环境适应性循环测试（湿热-冻融-氙灯-雨水浸泡）检测报告，灰卡等级4-5级，硬度≥70ShoreA，须提供具有CMA和CNAS标识的检测报告和全国认证认可信息公共服务平台查询截图。</w:t>
                  </w:r>
                </w:p>
                <w:p>
                  <w:pPr>
                    <w:pStyle w:val="null3"/>
                  </w:pPr>
                  <w:r>
                    <w:rPr>
                      <w:rFonts w:ascii="仿宋_GB2312" w:hAnsi="仿宋_GB2312" w:cs="仿宋_GB2312" w:eastAsia="仿宋_GB2312"/>
                      <w:sz w:val="19"/>
                    </w:rPr>
                    <w:t>备注：</w:t>
                  </w:r>
                </w:p>
                <w:p>
                  <w:pPr>
                    <w:pStyle w:val="null3"/>
                  </w:pPr>
                  <w:r>
                    <w:rPr>
                      <w:rFonts w:ascii="仿宋_GB2312" w:hAnsi="仿宋_GB2312" w:cs="仿宋_GB2312" w:eastAsia="仿宋_GB2312"/>
                      <w:sz w:val="19"/>
                    </w:rPr>
                    <w:t>1、标注★的条款为实质性响应要求，投标人未满足其中任意一条的，其投标将作无效处理。</w:t>
                  </w:r>
                </w:p>
                <w:p>
                  <w:pPr>
                    <w:pStyle w:val="null3"/>
                  </w:pPr>
                  <w:r>
                    <w:rPr>
                      <w:rFonts w:ascii="仿宋_GB2312" w:hAnsi="仿宋_GB2312" w:cs="仿宋_GB2312" w:eastAsia="仿宋_GB2312"/>
                      <w:sz w:val="19"/>
                    </w:rPr>
                    <w:t>2、针对各★条款中涉及送样日期至报告签发日期的时长要求，投标人须在投标文件中提供具有CMA标识的对应检测报告原件扫描件，且扫描件须清晰体现送样日期、签发日期及时长信息，确保符合条款要求。</w:t>
                  </w:r>
                </w:p>
                <w:p>
                  <w:pPr>
                    <w:pStyle w:val="null3"/>
                  </w:pPr>
                  <w:r>
                    <w:rPr>
                      <w:rFonts w:ascii="仿宋_GB2312" w:hAnsi="仿宋_GB2312" w:cs="仿宋_GB2312" w:eastAsia="仿宋_GB2312"/>
                      <w:sz w:val="19"/>
                    </w:rPr>
                    <w:t>3、为保障产品技术性能的成熟度与可靠性，所有检测报告的出具时间均须早于本次采购公告的发布时间，报告扫描件须清晰体现报告出具时间。</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器材拆除</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器材整体拆除后清理现场垃圾并修复地面</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108</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器材下方透水砖</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施工工艺：测量放线、基槽开挖整平、路基碾压夯实、铺设碎石垫层、粗砂找平、透水砖铺设、缝灌砂扫缝、碾压整平、养护清理。</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1620</w:t>
                  </w:r>
                </w:p>
              </w:tc>
            </w:tr>
            <w:tr>
              <w:tc>
                <w:tcPr>
                  <w:tcW w:type="dxa" w:w="162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r>
                    <w:rPr>
                      <w:rFonts w:ascii="仿宋_GB2312" w:hAnsi="仿宋_GB2312" w:cs="仿宋_GB2312" w:eastAsia="仿宋_GB2312"/>
                      <w:sz w:val="19"/>
                    </w:rPr>
                    <w:t>1、★所有健身器材必须符合 GB 19272-2024《室外健身器材的安全通用要求》强制性国家标准，并提供经国家认证认可监督管理委员会批准具备体育用品认证资格的第三方认证机构出具的认证证书及有效期内的确认函扫描件。</w:t>
                  </w:r>
                </w:p>
                <w:p>
                  <w:pPr>
                    <w:pStyle w:val="null3"/>
                  </w:pPr>
                  <w:r>
                    <w:rPr>
                      <w:rFonts w:ascii="仿宋_GB2312" w:hAnsi="仿宋_GB2312" w:cs="仿宋_GB2312" w:eastAsia="仿宋_GB2312"/>
                      <w:sz w:val="19"/>
                    </w:rPr>
                    <w:t>2、投标人须提供健身器材及悬浮地板的合法来源渠道证明资料（包含不限于授权书或代理协议或销售协议等）。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符合国家相关质量标准并满足采购人的要求。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健身器材安全使用寿命及质保期:安全使用寿命≥8年，质保期≥2年。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发布中标（成交）结果公告后，中标（成交）供应商应及时向采购代理机构提交一正二副，书籍（胶装）方式装订的盖章的纸质文件，若正本和副本不一致的，以正本为准。（2）供应商务必在开标截止时间30分钟前，通过项目电子化交易系统进行签到，如未进行签到，产生的一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须为具有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分项报价.docx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符合竞争性谈判文件的实质性要求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中小企业声明函 商务应答表 报价表 分项报价.docx 汉中市政府采购供应商资格承诺函.docx 响应文件封面 供应商应提交的相关资格证明材料.docx 残疾人福利性单位声明函 标的清单 产品技术参数表.docx 响应函 监狱企业的证明文件 投标方案及其他.docx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中小企业声明函 商务应答表 报价表 分项报价.docx 汉中市政府采购供应商资格承诺函.docx 响应文件封面 供应商应提交的相关资格证明材料.docx 残疾人福利性单位声明函 标的清单 产品技术参数表.docx 响应函 监狱企业的证明文件 投标方案及其他.docx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未超过采购预算</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技术及商务要求</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中小企业声明函 商务应答表 报价表 分项报价.docx 汉中市政府采购供应商资格承诺函.docx 响应文件封面 供应商应提交的相关资格证明材料.docx 残疾人福利性单位声明函 标的清单 产品技术参数表.docx 响应函 监狱企业的证明文件 投标方案及其他.docx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详见附件：投标方案及其他.docx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