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版本号：ZZHHCG-2026060320260703001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高寨子街道高寨子村秸秆综合利用设施建设项目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ZZHHCG-20260603</w:t>
      </w:r>
      <w:r>
        <w:br/>
      </w:r>
      <w:r>
        <w:br/>
      </w:r>
      <w:r>
        <w:br/>
      </w:r>
    </w:p>
    <w:p>
      <w:pPr>
        <w:pStyle w:val="null3"/>
        <w:jc w:val="center"/>
        <w:outlineLvl w:val="2"/>
      </w:pPr>
      <w:r>
        <w:rPr>
          <w:rFonts w:ascii="仿宋_GB2312" w:hAnsi="仿宋_GB2312" w:cs="仿宋_GB2312" w:eastAsia="仿宋_GB2312"/>
          <w:sz w:val="28"/>
          <w:b/>
        </w:rPr>
        <w:t>宁强县高寨子街道办事处</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宁强县高寨子街道办事处</w:t>
      </w:r>
      <w:r>
        <w:rPr>
          <w:rFonts w:ascii="仿宋_GB2312" w:hAnsi="仿宋_GB2312" w:cs="仿宋_GB2312" w:eastAsia="仿宋_GB2312"/>
        </w:rPr>
        <w:t>委托，拟对</w:t>
      </w:r>
      <w:r>
        <w:rPr>
          <w:rFonts w:ascii="仿宋_GB2312" w:hAnsi="仿宋_GB2312" w:cs="仿宋_GB2312" w:eastAsia="仿宋_GB2312"/>
        </w:rPr>
        <w:t>高寨子街道高寨子村秸秆综合利用设施建设项目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ZZHHCG-20260603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高寨子街道高寨子村秸秆综合利用设施建设项目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标准化钢结构厂房800㎡，配套建设通风、消防、照明、防雨防潮等设施，保障生产线安全、规范运行；采购安装3000吨/年秸秆有机肥生产线1套，包含立式粉碎机、圆盘造粒机、双轴搅拌机、滚筒烘干机、冷却机、卧式发酵罐、颗粒自动包装机、粉状自动包装机各1台（套）；可移动田间秸秆粉碎机2台、上料机2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采购包1（高寨子街道高寨子村秸秆综合利用设施建设项目）：属于专门面向中小企业采购。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1、参与主体：具有独立承担民事责任能力的法人、其他组织，并出具合法有效的营业执照或事业单位法人证书等国家规定的相关证明；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2、法定代表人身份证明或法定代表人授权书：法定代表人直接参加磋商的，须出具法定代表人身份证明；法定代表人委托代理人参加磋商的，须出具法定代表人授权书</w:t>
      </w:r>
    </w:p>
    <w:p>
      <w:pPr>
        <w:pStyle w:val="null3"/>
      </w:pPr>
      <w:r>
        <w:rPr>
          <w:rFonts w:ascii="仿宋_GB2312" w:hAnsi="仿宋_GB2312" w:cs="仿宋_GB2312" w:eastAsia="仿宋_GB2312"/>
        </w:rPr>
        <w:t>3、资质：供应商具有建设行政主管部门核发的建筑工程施工总承包三级及以上资质等级，且具有有效的安全生产许可证</w:t>
      </w:r>
    </w:p>
    <w:p>
      <w:pPr>
        <w:pStyle w:val="null3"/>
      </w:pPr>
      <w:r>
        <w:rPr>
          <w:rFonts w:ascii="仿宋_GB2312" w:hAnsi="仿宋_GB2312" w:cs="仿宋_GB2312" w:eastAsia="仿宋_GB2312"/>
        </w:rPr>
        <w:t>4、项目经理：拟派项目经理须具备建筑工程二级及以上注册建造师资格执业资格和安全生产考核合格B证，在本单位注册且无在建项目。</w:t>
      </w:r>
    </w:p>
    <w:p>
      <w:pPr>
        <w:pStyle w:val="null3"/>
      </w:pPr>
      <w:r>
        <w:rPr>
          <w:rFonts w:ascii="仿宋_GB2312" w:hAnsi="仿宋_GB2312" w:cs="仿宋_GB2312" w:eastAsia="仿宋_GB2312"/>
        </w:rPr>
        <w:t>5、汉中市政府采购供应商资格承诺函：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6、不接受联合体磋商：供应商须提供⾮联合体磋商承诺书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宁强县高寨子街道办事处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宁强县高寨子街道办事处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宁强县高寨子街道办事处经办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15991865116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陕西省汉中市南郑区渔营路与江古路⼗字路⼝凯奇酒店东侧⼆楼商铺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开户名称：陕西中正浩华项⽬管理有限公司</w:t>
            </w:r>
          </w:p>
          <w:p>
            <w:pPr>
              <w:pStyle w:val="null3"/>
            </w:pPr>
            <w:r>
              <w:rPr>
                <w:rFonts w:ascii="仿宋_GB2312" w:hAnsi="仿宋_GB2312" w:cs="仿宋_GB2312" w:eastAsia="仿宋_GB2312"/>
              </w:rPr>
              <w:t>开户银行：中国建设银⾏股份有限公司汉中南郑区⽀⾏</w:t>
            </w:r>
          </w:p>
          <w:p>
            <w:pPr>
              <w:pStyle w:val="null3"/>
            </w:pPr>
            <w:r>
              <w:rPr>
                <w:rFonts w:ascii="仿宋_GB2312" w:hAnsi="仿宋_GB2312" w:cs="仿宋_GB2312" w:eastAsia="仿宋_GB2312"/>
              </w:rPr>
              <w:t>银行账号：61050165711100001115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代理服务费收费标准：1、参照国家计委计价格[2002]1980号及发改办价格[2003]857号通知规定，由中标⼈⽀付代理服务费。代理服务费缴纳账号：账⼾名称：陕西中正浩华项⽬管理有限公司 开⼾⾏：中国建设银⾏股份有限公司汉中南郑区⽀⾏ 银⾏账号：61050165711100001115(备注：高寨子街道高寨子村秸秆综合利用设施建设项目采购代理服务费） 2、本项⽬采购代理费按工程计取。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宁强县高寨子街道办事处</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宁强县高寨子街道办事处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宁强县高寨子街道办事处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地址：陕西省汉中市南郑区渔营路与江古路⼗字路⼝凯奇酒店东侧⼆楼商铺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1,998,339.37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高寨子街道高寨子村秸秆综合利用设施建设项目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标的名称：高寨子街道高寨子村秸秆综合利用设施建设项目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建设内容：新建标准化钢结构厂房</w:t>
            </w:r>
            <w:r>
              <w:rPr>
                <w:rFonts w:ascii="仿宋_GB2312" w:hAnsi="仿宋_GB2312" w:cs="仿宋_GB2312" w:eastAsia="仿宋_GB2312"/>
                <w:sz w:val="21"/>
              </w:rPr>
              <w:t>800㎡，配套建设通风、消防、照明、防雨防潮等设施，保障生产线安全、规范运行；采购安装3000吨/年秸秆有机肥生产线1套，包含立式粉碎机、圆盘造粒机、双轴搅拌机、滚筒烘干机、冷却机、卧式发酵罐、颗粒自动包装机、粉状自动包装机各1台（套）；可移动田间秸秆粉碎机2台、上料机2台</w:t>
            </w:r>
            <w:r>
              <w:rPr>
                <w:rFonts w:ascii="仿宋_GB2312" w:hAnsi="仿宋_GB2312" w:cs="仿宋_GB2312" w:eastAsia="仿宋_GB2312"/>
                <w:sz w:val="21"/>
              </w:rPr>
              <w:t>。</w:t>
            </w:r>
          </w:p>
          <w:p>
            <w:pPr>
              <w:pStyle w:val="null3"/>
            </w:pPr>
            <w:r>
              <w:rPr>
                <w:rFonts w:ascii="仿宋_GB2312" w:hAnsi="仿宋_GB2312" w:cs="仿宋_GB2312" w:eastAsia="仿宋_GB2312"/>
                <w:sz w:val="21"/>
                <w:b/>
              </w:rPr>
              <w:t>工期</w:t>
            </w:r>
            <w:r>
              <w:rPr>
                <w:rFonts w:ascii="仿宋_GB2312" w:hAnsi="仿宋_GB2312" w:cs="仿宋_GB2312" w:eastAsia="仿宋_GB2312"/>
                <w:sz w:val="21"/>
                <w:b/>
              </w:rPr>
              <w:t>:</w:t>
            </w:r>
            <w:r>
              <w:rPr>
                <w:rFonts w:ascii="仿宋_GB2312" w:hAnsi="仿宋_GB2312" w:cs="仿宋_GB2312" w:eastAsia="仿宋_GB2312"/>
                <w:sz w:val="21"/>
                <w:b/>
              </w:rPr>
              <w:t>120</w:t>
            </w:r>
            <w:r>
              <w:rPr>
                <w:rFonts w:ascii="仿宋_GB2312" w:hAnsi="仿宋_GB2312" w:cs="仿宋_GB2312" w:eastAsia="仿宋_GB2312"/>
                <w:sz w:val="21"/>
                <w:b/>
              </w:rPr>
              <w:t>日历天。</w:t>
            </w:r>
            <w:r>
              <w:br/>
            </w:r>
            <w:r>
              <w:rPr>
                <w:rFonts w:ascii="仿宋_GB2312" w:hAnsi="仿宋_GB2312" w:cs="仿宋_GB2312" w:eastAsia="仿宋_GB2312"/>
                <w:sz w:val="21"/>
                <w:b/>
              </w:rPr>
              <w:t>质量标准</w:t>
            </w:r>
            <w:r>
              <w:rPr>
                <w:rFonts w:ascii="仿宋_GB2312" w:hAnsi="仿宋_GB2312" w:cs="仿宋_GB2312" w:eastAsia="仿宋_GB2312"/>
                <w:sz w:val="21"/>
                <w:b/>
              </w:rPr>
              <w:t>:合格。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编制说明：</w:t>
            </w:r>
            <w:r>
              <w:rPr>
                <w:rFonts w:ascii="仿宋_GB2312" w:hAnsi="仿宋_GB2312" w:cs="仿宋_GB2312" w:eastAsia="仿宋_GB2312"/>
                <w:sz w:val="21"/>
              </w:rPr>
              <w:t>1、泾清项目管理有限公司设计的《高寨子街道高寨子村秸秆综合利用设施建设项目》图纸；</w:t>
            </w:r>
          </w:p>
          <w:p>
            <w:pPr>
              <w:pStyle w:val="null3"/>
              <w:jc w:val="both"/>
            </w:pPr>
            <w:r>
              <w:rPr>
                <w:rFonts w:ascii="仿宋_GB2312" w:hAnsi="仿宋_GB2312" w:cs="仿宋_GB2312" w:eastAsia="仿宋_GB2312"/>
                <w:sz w:val="21"/>
              </w:rPr>
              <w:t>2、《陕西省房屋建筑与装饰工程基价表(2025)》；</w:t>
            </w:r>
          </w:p>
          <w:p>
            <w:pPr>
              <w:pStyle w:val="null3"/>
              <w:jc w:val="both"/>
            </w:pPr>
            <w:r>
              <w:rPr>
                <w:rFonts w:ascii="仿宋_GB2312" w:hAnsi="仿宋_GB2312" w:cs="仿宋_GB2312" w:eastAsia="仿宋_GB2312"/>
                <w:sz w:val="21"/>
              </w:rPr>
              <w:t>3、《陕西省通用安装工程基价表(2025)》；</w:t>
            </w:r>
          </w:p>
          <w:p>
            <w:pPr>
              <w:pStyle w:val="null3"/>
              <w:jc w:val="both"/>
            </w:pPr>
            <w:r>
              <w:rPr>
                <w:rFonts w:ascii="仿宋_GB2312" w:hAnsi="仿宋_GB2312" w:cs="仿宋_GB2312" w:eastAsia="仿宋_GB2312"/>
                <w:sz w:val="21"/>
              </w:rPr>
              <w:t>4、《陕西省房屋建筑与装饰工程消耗量定额(2025)》；</w:t>
            </w:r>
          </w:p>
          <w:p>
            <w:pPr>
              <w:pStyle w:val="null3"/>
              <w:jc w:val="both"/>
            </w:pPr>
            <w:r>
              <w:rPr>
                <w:rFonts w:ascii="仿宋_GB2312" w:hAnsi="仿宋_GB2312" w:cs="仿宋_GB2312" w:eastAsia="仿宋_GB2312"/>
                <w:sz w:val="21"/>
              </w:rPr>
              <w:t>5、《陕西省通用安装工程消耗量定额(2025)》；</w:t>
            </w:r>
          </w:p>
          <w:p>
            <w:pPr>
              <w:pStyle w:val="null3"/>
              <w:jc w:val="both"/>
            </w:pPr>
            <w:r>
              <w:rPr>
                <w:rFonts w:ascii="仿宋_GB2312" w:hAnsi="仿宋_GB2312" w:cs="仿宋_GB2312" w:eastAsia="仿宋_GB2312"/>
                <w:sz w:val="21"/>
              </w:rPr>
              <w:t>6、《陕西省建设工程费用规则(2025)》；</w:t>
            </w:r>
          </w:p>
          <w:p>
            <w:pPr>
              <w:pStyle w:val="null3"/>
            </w:pPr>
            <w:r>
              <w:rPr>
                <w:rFonts w:ascii="仿宋_GB2312" w:hAnsi="仿宋_GB2312" w:cs="仿宋_GB2312" w:eastAsia="仿宋_GB2312"/>
                <w:sz w:val="21"/>
              </w:rPr>
              <w:t>7、《汉中建设工程造价信息》2026年6期。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符合国家现行有关施工质量验收规范“合格”要求，达到国家及行业验收合格标准。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1、⼯期：120⽇历天 ； 2、质量要求：按国家有关验收规范和验评标准， ⼯程质量达到合格标准 ； 3、缺陷责任期：⼯程验收合格后 24 个⽉ ； 4、 施⼯要求 4.1、遵守国家相关法律、法规，遵守国家相关技术规范。 4.2、所选材料 必须保证质量可靠、进货渠道正常，满⾜施⼯要求。 4.3、遵守有关施⼯规范和安全操作规程，采取有效的安全保障措施，确保施⼯安全，包括悬挂警⽰标牌、装设围栏、配备安全⼈员等，并承担事故的全部费⽤和责任。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签字盖章扫描后的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参与主体</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供应商具有建设行政主管部门核发的建筑工程施工总承包三级及以上资质等级，且具有有效的安全生产许可证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拟派项目经理须具备建筑工程二级及以上注册建造师资格执业资格和安全生产考核合格B证，在本单位注册且无在建项目。</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供应商须提供⾮联合体磋商承诺书</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只能有一个有效报价，不得提交选择性报价，且报价不得超过最高限价。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陕西省政府采购投标人拒绝政府采购领域商业贿赂承诺书.docx 残疾人福利性单位声明函 供应商类似项目业绩一览表 响应函 主要人员简历表 供应商应提交的相关资格证明材料（1）.docx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陕西省政府采购投标人拒绝政府采购领域商业贿赂承诺书.docx 残疾人福利性单位声明函 供应商类似项目业绩一览表 响应函 主要人员简历表 供应商应提交的相关资格证明材料（1）.docx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供应商提供至今类似业绩证明，每提供一份得2分，最高得8分； 注：业绩须是供应商已完成的同类施工业绩，提供中标通知书及协议书（合同）。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1.项目经理具有建筑类相关专业中级职称得2分；具有建筑类相关专业高级及以上职称得3分；需提供职称证书复印件。 2.项目经理提供至今担任项目经理的类似项目（房屋建筑工程）业绩，提供中标通知书及协议书（合同），提供1个得2分，满分2分 。注：项目经理业绩和供应商业绩可共用。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项目技术负责人基本情况</w:t>
            </w:r>
          </w:p>
        </w:tc>
        <w:tc>
          <w:tcPr>
            <w:tcW w:type="dxa" w:w="2492"/>
          </w:tcPr>
          <w:p>
            <w:pPr>
              <w:pStyle w:val="null3"/>
            </w:pPr>
            <w:r>
              <w:rPr>
                <w:rFonts w:ascii="仿宋_GB2312" w:hAnsi="仿宋_GB2312" w:cs="仿宋_GB2312" w:eastAsia="仿宋_GB2312"/>
              </w:rPr>
              <w:t>1.项目技术负责人具有建筑类相关专业中级职称得2分；具有建筑类相关专业高级及以上职称得3分；需提供职称证书复印件。2.项目技术负责人提供至今担任项目技术责任人或项目经理的类似项目（房屋建筑工程）业绩，提供中标通知书及协议书（合同），提供1个得2分，满分2分 。注：项目技术负责人业绩和供应商业绩可共用。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需配备相关技术人员，配备施工员、质量员、安全员、资料员、材料员、造价工程师等专业技术人员。提供技术人员身份证、学历证、岗位相关证明资料（三者同时提供，否则不得分）；提供岗位工种完整齐全得6分，缺少一个岗位工种扣1分。2.团队成员（不含项目经理、项目技术负责人）：每有一人具有建筑类相关专业中级及以上职称得1分，本项最多得6分；需提供职称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根据本项目制定施工总体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供应商的施工总体方案包含上述5项内容且完全满足项目要求得10分，每缺一项内容扣2分，每有一处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目制定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供应商的技术措施包含上述5项内容且完全满足项目要求得30分，每缺一项内容扣6分，每有一处不完整或存在缺陷的扣1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2、以满足本次磋商文件要求的最终报价中最低价格为磋商基准价，其价格为满分；其他供应商报价得分=（磋商基准价/最终报价）×30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