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版本号：ZYZX2026-017.20260709001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三号楼梯顶部防水、教学楼消防管道及吊顶修复工程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ZYZX2026-017.</w:t>
      </w:r>
      <w:r>
        <w:br/>
      </w:r>
      <w:r>
        <w:br/>
      </w:r>
      <w:r>
        <w:br/>
      </w:r>
    </w:p>
    <w:p>
      <w:pPr>
        <w:pStyle w:val="null3"/>
        <w:jc w:val="center"/>
        <w:outlineLvl w:val="2"/>
      </w:pPr>
      <w:r>
        <w:rPr>
          <w:rFonts w:ascii="仿宋_GB2312" w:hAnsi="仿宋_GB2312" w:cs="仿宋_GB2312" w:eastAsia="仿宋_GB2312"/>
          <w:sz w:val="28"/>
          <w:b/>
        </w:rPr>
        <w:t>西安市城南中学</w:t>
      </w:r>
    </w:p>
    <w:p>
      <w:pPr>
        <w:pStyle w:val="null3"/>
        <w:jc w:val="center"/>
        <w:outlineLvl w:val="2"/>
      </w:pPr>
      <w:r>
        <w:rPr>
          <w:rFonts w:ascii="仿宋_GB2312" w:hAnsi="仿宋_GB2312" w:cs="仿宋_GB2312" w:eastAsia="仿宋_GB2312"/>
          <w:sz w:val="28"/>
          <w:b/>
        </w:rPr>
        <w:t>正飏（陕西）项目管理咨询有限公司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正飏（陕西）项目管理咨询有限公司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西安市城南中学</w:t>
      </w:r>
      <w:r>
        <w:rPr>
          <w:rFonts w:ascii="仿宋_GB2312" w:hAnsi="仿宋_GB2312" w:cs="仿宋_GB2312" w:eastAsia="仿宋_GB2312"/>
        </w:rPr>
        <w:t>委托，拟对</w:t>
      </w:r>
      <w:r>
        <w:rPr>
          <w:rFonts w:ascii="仿宋_GB2312" w:hAnsi="仿宋_GB2312" w:cs="仿宋_GB2312" w:eastAsia="仿宋_GB2312"/>
        </w:rPr>
        <w:t>三号楼梯顶部防水、教学楼消防管道及吊顶修复工程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ZYZX2026-017.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三号楼梯顶部防水、教学楼消防管道及吊顶修复工程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三号楼梯顶部防水、教学楼消防管道及吊顶修复工程，具体详见第3章 磋商项目技术、服务、商务及其他要求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采购包1（三号楼梯顶部防水、教学楼消防管道及吊顶修复工程）：属于专门面向中小企业采购。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事业单位法人证书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身份证明文件：法定代表人（单位负责人）授权委托书（附法定代表人（单位负责人）、被授权人身份证复印件及被授权人近三个月（开标时间前连续三个月（不含开标当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3、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4、财务状况报告：供应商提供2024或2025年度经审计的已赋码财务审计报告（事业法人可提供部门决算报告）；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5、参加政府采购活动前3年内在经营活动中没有重大违法记录的书面声明；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6、履行合同所必需的设备和专业技术能力书面声明函：具有履行合同所必需的设备和专业技术能力书面声明函，供应商需在项目电子化交易系统中按要求上传相应证明文件并进行电子签章。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7、供应商资质要求：供应商具备建设行政主管部门颁发的建筑工程施工总承包三级及以上资质，并具备有效的安全生产许可证，供应商需在项目电子化交易系统中按要求上传相应证明文件并进行电子签章。</w:t>
      </w:r>
    </w:p>
    <w:p>
      <w:pPr>
        <w:pStyle w:val="null3"/>
      </w:pPr>
      <w:r>
        <w:rPr>
          <w:rFonts w:ascii="仿宋_GB2312" w:hAnsi="仿宋_GB2312" w:cs="仿宋_GB2312" w:eastAsia="仿宋_GB2312"/>
        </w:rPr>
        <w:t>8、拟派项目经理执业要求：供应商拟派项目经理具有本企业注册的机电工程专业二级及以上注册建造师证书及安全考核合格证,且无在建，供应商需在项目电子化交易系统中按要求上传相应证明文件并进行电子签章。</w:t>
      </w:r>
    </w:p>
    <w:p>
      <w:pPr>
        <w:pStyle w:val="null3"/>
      </w:pPr>
      <w:r>
        <w:rPr>
          <w:rFonts w:ascii="仿宋_GB2312" w:hAnsi="仿宋_GB2312" w:cs="仿宋_GB2312" w:eastAsia="仿宋_GB2312"/>
        </w:rPr>
        <w:t>9、基本信息要求：供应商资质基本信息及项目经理基本信息应在“陕西省住房和城乡建设厅网（http://js.shaanxi.gov.cn/）（查询路径：政务服务-企业库/人员库-可查询）或全国建筑市场监管公共服务平台可查询，供应商需在项目电子化交易系统中按要求上传相应证明文件并进行电子签章。</w:t>
      </w:r>
    </w:p>
    <w:p>
      <w:pPr>
        <w:pStyle w:val="null3"/>
      </w:pPr>
      <w:r>
        <w:rPr>
          <w:rFonts w:ascii="仿宋_GB2312" w:hAnsi="仿宋_GB2312" w:cs="仿宋_GB2312" w:eastAsia="仿宋_GB2312"/>
        </w:rPr>
        <w:t>10、供应商信用状况：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网站查询结果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西安市城南中学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陕西省西安市长安南路8号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029-85397322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正飏（陕西）项目管理咨询有限公司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陕西省西安市雁塔区电子正街云锦紫豪商务中心13层06室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029-81101622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采购包1：415,993.83元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代理服务费收费标准：1.招标代理服务费按照定额人民币伍仟元整收取。 2.成交单位在领取成交通知书之前，须向代理机构支付招标代理服务费。 3.招标代理服务费以转账或现金形式缴纳至以下账户：开户名称：正飏（陕西）项目管理咨询有限公司，开户银行：上海浦东发展银行股份有限公司西安电子正街支行，账号：72230078801300000775</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西安市城南中学</w:t>
      </w:r>
      <w:r>
        <w:rPr>
          <w:rFonts w:ascii="仿宋_GB2312" w:hAnsi="仿宋_GB2312" w:cs="仿宋_GB2312" w:eastAsia="仿宋_GB2312"/>
        </w:rPr>
        <w:t>和</w:t>
      </w:r>
      <w:r>
        <w:rPr>
          <w:rFonts w:ascii="仿宋_GB2312" w:hAnsi="仿宋_GB2312" w:cs="仿宋_GB2312" w:eastAsia="仿宋_GB2312"/>
        </w:rPr>
        <w:t>正飏（陕西）项目管理咨询有限公司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西安市城南中学</w:t>
      </w:r>
      <w:r>
        <w:rPr>
          <w:rFonts w:ascii="仿宋_GB2312" w:hAnsi="仿宋_GB2312" w:cs="仿宋_GB2312" w:eastAsia="仿宋_GB2312"/>
        </w:rPr>
        <w:t>负责解释。除上述磋商文件内容，其他内容由</w:t>
      </w:r>
      <w:r>
        <w:rPr>
          <w:rFonts w:ascii="仿宋_GB2312" w:hAnsi="仿宋_GB2312" w:cs="仿宋_GB2312" w:eastAsia="仿宋_GB2312"/>
        </w:rPr>
        <w:t>正飏（陕西）项目管理咨询有限公司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西安市城南中学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正飏（陕西）项目管理咨询有限公司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正飏（陕西）项目管理咨询有限公司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正飏（陕西）项目管理咨询有限公司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正飏（陕西）项目管理咨询有限公司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联系人：王浩</w:t>
      </w:r>
    </w:p>
    <w:p>
      <w:pPr>
        <w:pStyle w:val="null3"/>
      </w:pPr>
      <w:r>
        <w:rPr>
          <w:rFonts w:ascii="仿宋_GB2312" w:hAnsi="仿宋_GB2312" w:cs="仿宋_GB2312" w:eastAsia="仿宋_GB2312"/>
        </w:rPr>
        <w:t>联系电话：029-81101622</w:t>
      </w:r>
    </w:p>
    <w:p>
      <w:pPr>
        <w:pStyle w:val="null3"/>
      </w:pPr>
      <w:r>
        <w:rPr>
          <w:rFonts w:ascii="仿宋_GB2312" w:hAnsi="仿宋_GB2312" w:cs="仿宋_GB2312" w:eastAsia="仿宋_GB2312"/>
        </w:rPr>
        <w:t>地址：陕西省西安市雁塔区电子正街云锦紫豪商务中心13层06室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415,993.83</w:t>
      </w:r>
    </w:p>
    <w:p>
      <w:pPr>
        <w:pStyle w:val="null3"/>
      </w:pPr>
      <w:r>
        <w:rPr>
          <w:rFonts w:ascii="仿宋_GB2312" w:hAnsi="仿宋_GB2312" w:cs="仿宋_GB2312" w:eastAsia="仿宋_GB2312"/>
        </w:rPr>
        <w:t>采购包最高限价（元）: 415,993.83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三号楼梯顶部防水、教学楼消防管道及吊顶修复工程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415,993.83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标的名称：三号楼梯顶部防水、教学楼消防管道及吊顶修复工程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left"/>
            </w:pPr>
            <w:r>
              <w:rPr>
                <w:rFonts w:ascii="仿宋_GB2312" w:hAnsi="仿宋_GB2312" w:cs="仿宋_GB2312" w:eastAsia="仿宋_GB2312"/>
                <w:sz w:val="21"/>
              </w:rPr>
              <w:t>一、项目名称：三号楼梯顶部防水、教学楼消防管道及吊顶修复工程</w:t>
            </w:r>
          </w:p>
          <w:p>
            <w:pPr>
              <w:pStyle w:val="null3"/>
              <w:ind w:firstLine="420"/>
              <w:jc w:val="left"/>
            </w:pPr>
            <w:r>
              <w:rPr>
                <w:rFonts w:ascii="仿宋_GB2312" w:hAnsi="仿宋_GB2312" w:cs="仿宋_GB2312" w:eastAsia="仿宋_GB2312"/>
                <w:sz w:val="21"/>
              </w:rPr>
              <w:t>二、项目概况：三号楼梯顶部防水、教学楼消防管道及吊顶修复工程</w:t>
            </w:r>
            <w:r>
              <w:rPr>
                <w:rFonts w:ascii="仿宋_GB2312" w:hAnsi="仿宋_GB2312" w:cs="仿宋_GB2312" w:eastAsia="仿宋_GB2312"/>
                <w:sz w:val="21"/>
              </w:rPr>
              <w:t>1项</w:t>
            </w:r>
            <w:r>
              <w:rPr>
                <w:rFonts w:ascii="仿宋_GB2312" w:hAnsi="仿宋_GB2312" w:cs="仿宋_GB2312" w:eastAsia="仿宋_GB2312"/>
                <w:sz w:val="21"/>
              </w:rPr>
              <w:t>，具体施工内容以工程量清单为准。</w:t>
            </w:r>
          </w:p>
          <w:p>
            <w:pPr>
              <w:pStyle w:val="null3"/>
              <w:ind w:firstLine="420"/>
              <w:jc w:val="left"/>
            </w:pPr>
            <w:r>
              <w:rPr>
                <w:rFonts w:ascii="仿宋_GB2312" w:hAnsi="仿宋_GB2312" w:cs="仿宋_GB2312" w:eastAsia="仿宋_GB2312"/>
                <w:sz w:val="21"/>
              </w:rPr>
              <w:t>三、工程量清单（详见附件）</w:t>
            </w:r>
          </w:p>
          <w:p>
            <w:pPr>
              <w:pStyle w:val="null3"/>
              <w:ind w:firstLine="420"/>
              <w:jc w:val="left"/>
            </w:pPr>
            <w:r>
              <w:rPr>
                <w:rFonts w:ascii="仿宋_GB2312" w:hAnsi="仿宋_GB2312" w:cs="仿宋_GB2312" w:eastAsia="仿宋_GB2312"/>
                <w:sz w:val="21"/>
              </w:rPr>
              <w:t>四、工程量清单编制说明：</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一</w:t>
            </w:r>
            <w:r>
              <w:rPr>
                <w:rFonts w:ascii="仿宋_GB2312" w:hAnsi="仿宋_GB2312" w:cs="仿宋_GB2312" w:eastAsia="仿宋_GB2312"/>
                <w:sz w:val="21"/>
              </w:rPr>
              <w:t>）</w:t>
            </w:r>
            <w:r>
              <w:rPr>
                <w:rFonts w:ascii="仿宋_GB2312" w:hAnsi="仿宋_GB2312" w:cs="仿宋_GB2312" w:eastAsia="仿宋_GB2312"/>
                <w:sz w:val="21"/>
              </w:rPr>
              <w:t>编制依据：</w:t>
            </w:r>
          </w:p>
          <w:p>
            <w:pPr>
              <w:pStyle w:val="null3"/>
              <w:ind w:firstLine="420"/>
              <w:jc w:val="left"/>
            </w:pPr>
            <w:r>
              <w:rPr>
                <w:rFonts w:ascii="仿宋_GB2312" w:hAnsi="仿宋_GB2312" w:cs="仿宋_GB2312" w:eastAsia="仿宋_GB2312"/>
                <w:sz w:val="21"/>
              </w:rPr>
              <w:t>1、《陕西省建设工程工程量清单计价标准（2025）》、《陕西省房屋建筑与装饰工程工程量计算标准》、《陕西省通用安装工程工程量计算标准》；</w:t>
            </w:r>
          </w:p>
          <w:p>
            <w:pPr>
              <w:pStyle w:val="null3"/>
              <w:ind w:firstLine="420"/>
              <w:jc w:val="left"/>
            </w:pPr>
            <w:r>
              <w:rPr>
                <w:rFonts w:ascii="仿宋_GB2312" w:hAnsi="仿宋_GB2312" w:cs="仿宋_GB2312" w:eastAsia="仿宋_GB2312"/>
                <w:sz w:val="21"/>
              </w:rPr>
              <w:t>2、正常施工组织设计及施工方法；</w:t>
            </w:r>
          </w:p>
          <w:p>
            <w:pPr>
              <w:pStyle w:val="null3"/>
              <w:ind w:firstLine="420"/>
              <w:jc w:val="left"/>
            </w:pPr>
            <w:r>
              <w:rPr>
                <w:rFonts w:ascii="仿宋_GB2312" w:hAnsi="仿宋_GB2312" w:cs="仿宋_GB2312" w:eastAsia="仿宋_GB2312"/>
                <w:sz w:val="21"/>
              </w:rPr>
              <w:t>3、本工程量清单编制采用广联达云计价平台 GCCP7.0（版本号： 7.5000.23.2）。</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二</w:t>
            </w:r>
            <w:r>
              <w:rPr>
                <w:rFonts w:ascii="仿宋_GB2312" w:hAnsi="仿宋_GB2312" w:cs="仿宋_GB2312" w:eastAsia="仿宋_GB2312"/>
                <w:sz w:val="21"/>
              </w:rPr>
              <w:t>）编制范围：</w:t>
            </w:r>
          </w:p>
          <w:p>
            <w:pPr>
              <w:pStyle w:val="null3"/>
              <w:ind w:firstLine="420"/>
              <w:jc w:val="left"/>
            </w:pPr>
            <w:r>
              <w:rPr>
                <w:rFonts w:ascii="仿宋_GB2312" w:hAnsi="仿宋_GB2312" w:cs="仿宋_GB2312" w:eastAsia="仿宋_GB2312"/>
                <w:sz w:val="21"/>
              </w:rPr>
              <w:t>西安市</w:t>
            </w:r>
            <w:r>
              <w:rPr>
                <w:rFonts w:ascii="仿宋_GB2312" w:hAnsi="仿宋_GB2312" w:cs="仿宋_GB2312" w:eastAsia="仿宋_GB2312"/>
                <w:sz w:val="21"/>
              </w:rPr>
              <w:t>城南</w:t>
            </w:r>
            <w:r>
              <w:rPr>
                <w:rFonts w:ascii="仿宋_GB2312" w:hAnsi="仿宋_GB2312" w:cs="仿宋_GB2312" w:eastAsia="仿宋_GB2312"/>
                <w:sz w:val="21"/>
              </w:rPr>
              <w:t>中学三号楼梯顶部防水、教学楼消防管道及吊顶修复工程</w:t>
            </w:r>
            <w:r>
              <w:rPr>
                <w:rFonts w:ascii="仿宋_GB2312" w:hAnsi="仿宋_GB2312" w:cs="仿宋_GB2312" w:eastAsia="仿宋_GB2312"/>
                <w:sz w:val="21"/>
              </w:rPr>
              <w:t>，</w:t>
            </w:r>
            <w:r>
              <w:rPr>
                <w:rFonts w:ascii="仿宋_GB2312" w:hAnsi="仿宋_GB2312" w:cs="仿宋_GB2312" w:eastAsia="仿宋_GB2312"/>
                <w:sz w:val="21"/>
              </w:rPr>
              <w:t>工程</w:t>
            </w:r>
            <w:r>
              <w:rPr>
                <w:rFonts w:ascii="仿宋_GB2312" w:hAnsi="仿宋_GB2312" w:cs="仿宋_GB2312" w:eastAsia="仿宋_GB2312"/>
                <w:sz w:val="21"/>
              </w:rPr>
              <w:t>量清单中的所有内容。</w:t>
            </w:r>
          </w:p>
          <w:p>
            <w:pPr>
              <w:pStyle w:val="null3"/>
              <w:ind w:firstLine="420"/>
              <w:jc w:val="left"/>
            </w:pPr>
            <w:r>
              <w:rPr>
                <w:rFonts w:ascii="仿宋_GB2312" w:hAnsi="仿宋_GB2312" w:cs="仿宋_GB2312" w:eastAsia="仿宋_GB2312"/>
                <w:sz w:val="21"/>
              </w:rPr>
              <w:t>五</w:t>
            </w:r>
            <w:r>
              <w:rPr>
                <w:rFonts w:ascii="仿宋_GB2312" w:hAnsi="仿宋_GB2312" w:cs="仿宋_GB2312" w:eastAsia="仿宋_GB2312"/>
                <w:sz w:val="21"/>
              </w:rPr>
              <w:t>、</w:t>
            </w:r>
            <w:r>
              <w:rPr>
                <w:rFonts w:ascii="仿宋_GB2312" w:hAnsi="仿宋_GB2312" w:cs="仿宋_GB2312" w:eastAsia="仿宋_GB2312"/>
                <w:sz w:val="21"/>
              </w:rPr>
              <w:t>工期</w:t>
            </w:r>
            <w:r>
              <w:rPr>
                <w:rFonts w:ascii="仿宋_GB2312" w:hAnsi="仿宋_GB2312" w:cs="仿宋_GB2312" w:eastAsia="仿宋_GB2312"/>
                <w:sz w:val="21"/>
              </w:rPr>
              <w:t>：</w:t>
            </w:r>
            <w:r>
              <w:rPr>
                <w:rFonts w:ascii="仿宋_GB2312" w:hAnsi="仿宋_GB2312" w:cs="仿宋_GB2312" w:eastAsia="仿宋_GB2312"/>
                <w:sz w:val="21"/>
              </w:rPr>
              <w:t>2026年08月20日前竣工</w:t>
            </w:r>
          </w:p>
          <w:p>
            <w:pPr>
              <w:pStyle w:val="null3"/>
              <w:ind w:firstLine="420"/>
              <w:jc w:val="left"/>
            </w:pPr>
            <w:r>
              <w:rPr>
                <w:rFonts w:ascii="仿宋_GB2312" w:hAnsi="仿宋_GB2312" w:cs="仿宋_GB2312" w:eastAsia="仿宋_GB2312"/>
                <w:sz w:val="21"/>
              </w:rPr>
              <w:t>六、质量标准：符合国家现行有关施工质量验收规范</w:t>
            </w:r>
            <w:r>
              <w:rPr>
                <w:rFonts w:ascii="仿宋_GB2312" w:hAnsi="仿宋_GB2312" w:cs="仿宋_GB2312" w:eastAsia="仿宋_GB2312"/>
                <w:sz w:val="21"/>
              </w:rPr>
              <w:t>“合格”标准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满足竞争性磋商文件要求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采购标的对应的中小企业划分标准所属行业为：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2.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11）其他需要落实的政府采购政策。3.供应商需要在线提交所有通过电子化交易平台实施的政府采购项目的响应文件，同时，线下提交纸质响应文件壹份，纸质版响应文件需与系统签章版响应文件保持一致，具体要求详见磋商公告。4.本项目专门面向中小企业采购（残疾人福利性单位、监狱企业视同小型、微型企业）。5.由于系统原因，本项目确定供应商及支付约定付款条件说明分别按以下执行：（1）采购代理机构在评审结束之日起1个工作日内将评审报告送交采购人。采购人在收到评审报告之日起4个工作日内，在评审报告推荐的成交候选供应商名单中按顺序确定成交供应商。采购代理机构应当自成交供应商确定之日起1个工作日内，发出成交通知书，并在陕西省政府采购网公告成交结果，采购文件随成交结果同时公告。（2）付款方式：①合同签订后，施工单位进场，材料进场支付成交金额的30%；②竣工验收合格后支付至成交金额的80%；③结算审计后，剩余部分一次性付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相关资格证明资料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相关资格证明资料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相关资格证明资料</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法人或者其他组织提供营业执照、事业单位法人证书等证明文件，自然人提供身份证件，供应商需在项目电子化交易系统中按要求上传相应证明文件并进行电子签章。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近三个月（开标时间前连续三个月（不含开标当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或2025年度经审计的已赋码财务审计报告（事业法人可提供部门决算报告）；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参加政府采购活动前3年内在经营活动中没有重大违法记录的书面声明；其中：重大违法记录是指供应商因违法经营受到刑事处罚或者责令停产停业、吊销许可证或者执照、较大数额罚款等行政处罚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供应商具备建设行政主管部门颁发的建筑工程施工总承包三级及以上资质，并具备有效的安全生产许可证，供应商需在项目电子化交易系统中按要求上传相应证明文件并进行电子签章。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拟派项目经理执业要求</w:t>
            </w:r>
          </w:p>
        </w:tc>
        <w:tc>
          <w:tcPr>
            <w:tcW w:type="dxa" w:w="3322"/>
          </w:tcPr>
          <w:p>
            <w:pPr>
              <w:pStyle w:val="null3"/>
            </w:pPr>
            <w:r>
              <w:rPr>
                <w:rFonts w:ascii="仿宋_GB2312" w:hAnsi="仿宋_GB2312" w:cs="仿宋_GB2312" w:eastAsia="仿宋_GB2312"/>
              </w:rPr>
              <w:t>供应商拟派项目经理具有本企业注册的机电工程专业二级及以上注册建造师证书及安全考核合格证,且无在建，供应商需在项目电子化交易系统中按要求上传相应证明文件并进行电子签章。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基本信息要求</w:t>
            </w:r>
          </w:p>
        </w:tc>
        <w:tc>
          <w:tcPr>
            <w:tcW w:type="dxa" w:w="3322"/>
          </w:tcPr>
          <w:p>
            <w:pPr>
              <w:pStyle w:val="null3"/>
            </w:pPr>
            <w:r>
              <w:rPr>
                <w:rFonts w:ascii="仿宋_GB2312" w:hAnsi="仿宋_GB2312" w:cs="仿宋_GB2312" w:eastAsia="仿宋_GB2312"/>
              </w:rPr>
              <w:t>供应商资质基本信息及项目经理基本信息应在“陕西省住房和城乡建设厅网（http://js.shaanxi.gov.cn/）（查询路径：政务服务-企业库/人员库-可查询）或全国建筑市场监管公共服务平台可查询，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供应商信用状况</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网站查询结果为准。</w:t>
            </w:r>
          </w:p>
        </w:tc>
        <w:tc>
          <w:tcPr>
            <w:tcW w:type="dxa" w:w="1661"/>
          </w:tcPr>
          <w:p>
            <w:pPr>
              <w:pStyle w:val="null3"/>
            </w:pPr>
            <w:r>
              <w:rPr>
                <w:rFonts w:ascii="仿宋_GB2312" w:hAnsi="仿宋_GB2312" w:cs="仿宋_GB2312" w:eastAsia="仿宋_GB2312"/>
              </w:rPr>
              <w:t>相关资格证明资料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响应文件封面 身份证明文件 报价函 承诺书 标的清单 响应函 相关资格证明资料 磋商第一次报价表 方案响应部分</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 磋商第一次报价表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身份证明文件 报价函 承诺书 标的清单 响应函 相关资格证明资料 磋商第一次报价表 方案响应部分</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报价唯一，且没有高于本项目采购预算及最高限价</w:t>
            </w:r>
          </w:p>
        </w:tc>
        <w:tc>
          <w:tcPr>
            <w:tcW w:type="dxa" w:w="1661"/>
          </w:tcPr>
          <w:p>
            <w:pPr>
              <w:pStyle w:val="null3"/>
            </w:pPr>
            <w:r>
              <w:rPr>
                <w:rFonts w:ascii="仿宋_GB2312" w:hAnsi="仿宋_GB2312" w:cs="仿宋_GB2312" w:eastAsia="仿宋_GB2312"/>
              </w:rPr>
              <w:t>报价函 标的清单 响应函 磋商第一次报价表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满足竞争性磋商文件要求</w:t>
            </w:r>
          </w:p>
        </w:tc>
        <w:tc>
          <w:tcPr>
            <w:tcW w:type="dxa" w:w="1661"/>
          </w:tcPr>
          <w:p>
            <w:pPr>
              <w:pStyle w:val="null3"/>
            </w:pPr>
            <w:r>
              <w:rPr>
                <w:rFonts w:ascii="仿宋_GB2312" w:hAnsi="仿宋_GB2312" w:cs="仿宋_GB2312" w:eastAsia="仿宋_GB2312"/>
              </w:rPr>
              <w:t>磋商第一次报价表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满足竞争性磋商文件要求</w:t>
            </w:r>
          </w:p>
        </w:tc>
        <w:tc>
          <w:tcPr>
            <w:tcW w:type="dxa" w:w="1661"/>
          </w:tcPr>
          <w:p>
            <w:pPr>
              <w:pStyle w:val="null3"/>
            </w:pPr>
            <w:r>
              <w:rPr>
                <w:rFonts w:ascii="仿宋_GB2312" w:hAnsi="仿宋_GB2312" w:cs="仿宋_GB2312" w:eastAsia="仿宋_GB2312"/>
              </w:rPr>
              <w:t>磋商第一次报价表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未出现磋商文件规定的无效响应情形</w:t>
            </w:r>
          </w:p>
        </w:tc>
        <w:tc>
          <w:tcPr>
            <w:tcW w:type="dxa" w:w="1661"/>
          </w:tcPr>
          <w:p>
            <w:pPr>
              <w:pStyle w:val="null3"/>
            </w:pPr>
            <w:r>
              <w:rPr>
                <w:rFonts w:ascii="仿宋_GB2312" w:hAnsi="仿宋_GB2312" w:cs="仿宋_GB2312" w:eastAsia="仿宋_GB2312"/>
              </w:rPr>
              <w:t>响应文件封面 身份证明文件 报价函 承诺书 标的清单 响应函 相关资格证明资料 磋商第一次报价表 方案响应部分</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一、评审内容 针对供应商提供的技术部分方案进行评审，评审内容包含：①项目经理和项目部组成；②施工方案；③确保工期的技术组织措施；④确保安全施工的技术组织措施；⑤确保文明施工的技术组织措施及环境保护措施；⑥确保工程质量的技术措施；⑦施工部署及施工总平面布置图及临时设施临时用地表；⑧主要机具、设备和劳动力配备情况；⑨进度计划和工期目标（供应商提供施工计划网络图或横道图）；⑩采用新技术、新工艺对提高工程质量、缩短工期、降低造价的可行性。 二、评审标准 1、完整性：方案须全面，对评审内容中的各项要求有详细描述及说明； 2、可实施性：切合本项目实际情况，实施步骤清晰、合理； 3、针对性：方案能够紧扣项目实际情况，内容科学合理。 三、赋分标准（满分45分） ①项目经理和项目部组成：每完全满足一项评审标准得1.5分，满分4.5分； ②施工方案：每完全满足一项评审标准得2分，满分6分； ③确保工期的技术组织措施：每完全满足一项评审标准得1.5分，满分4.5分； ④确保安全施工的技术组织措施：每完全满足一项评审标准得1.5分，满分4.5分； ⑤确保文明施工的技术组织措施及环境保护措施：每完全满足一项评审标准得1.5分，满分4.5分； ⑥确保工程质量的技术措施：每完全满足一项评审标准得1.5分，满分4.5分； ⑦施工部署及施工总平面布置图及临时设施临时用地表：每完全满足一项评审标准得1.5分，满分4.5分； ⑧主要机具、设备和劳动力配备情况：每完全满足一项评审标准得1.5分，满分4.5分； ⑨进度计划和工期目标（供应商提供施工计划网络图或横道图）：每完全满足一项评审标准得1.5分，满分4.5分； ⑩采用新技术、新工艺对提高工程质量、缩短工期、降低造价的可行性：每完全满足一项评审标准得1分，满分3分。</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针对本项目特点提供服务承诺，服务承诺内容包含：①质量保修承诺；②后续服务承诺；③扬尘治理措施。 二、评审标准 1、完整性：方案须全面，对评审内容中的各项要求有详细描述及说明； 2、可实施性：切合本项目实际情况，步骤清晰、合理，操作性强； 3、针对性：方案能够紧扣项目实际情况，内容科学合理。 三、赋分标准（满分21分） ①质量保修承诺：每完全满足一项评审标准得3分，满分9分； ②后续服务承诺:每完全满足一项评审标准得2分，满分6分； ③扬尘治理措施：每完全满足一项评审标准得2分，满分6分。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2023年06月01日以来承接过类似项目的合同证明（以合同的签订日期为准），每提供一个得2分，满分4分。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身份证明文件</w:t>
            </w:r>
          </w:p>
          <w:p>
            <w:pPr>
              <w:pStyle w:val="null3"/>
            </w:pPr>
            <w:r>
              <w:rPr>
                <w:rFonts w:ascii="仿宋_GB2312" w:hAnsi="仿宋_GB2312" w:cs="仿宋_GB2312" w:eastAsia="仿宋_GB2312"/>
              </w:rPr>
              <w:t>相关资格证明资料</w:t>
            </w:r>
          </w:p>
          <w:p>
            <w:pPr>
              <w:pStyle w:val="null3"/>
            </w:pPr>
            <w:r>
              <w:rPr>
                <w:rFonts w:ascii="仿宋_GB2312" w:hAnsi="仿宋_GB2312" w:cs="仿宋_GB2312" w:eastAsia="仿宋_GB2312"/>
              </w:rPr>
              <w:t>承诺书</w:t>
            </w:r>
          </w:p>
          <w:p>
            <w:pPr>
              <w:pStyle w:val="null3"/>
            </w:pPr>
            <w:r>
              <w:rPr>
                <w:rFonts w:ascii="仿宋_GB2312" w:hAnsi="仿宋_GB2312" w:cs="仿宋_GB2312" w:eastAsia="仿宋_GB2312"/>
              </w:rPr>
              <w:t>磋商第一次报价表</w:t>
            </w:r>
          </w:p>
          <w:p>
            <w:pPr>
              <w:pStyle w:val="null3"/>
            </w:pPr>
            <w:r>
              <w:rPr>
                <w:rFonts w:ascii="仿宋_GB2312" w:hAnsi="仿宋_GB2312" w:cs="仿宋_GB2312" w:eastAsia="仿宋_GB2312"/>
              </w:rPr>
              <w:t>方案响应部分</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采用低价优先法计算，即满足磋商文件要求且最后报价最低的供应商的价格为磋商基准价，其价格分为满分。磋商报价得分＝（磋商基准价/最后磋商报价）×价格分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详见附件：身份证明文件</w:t>
      </w:r>
    </w:p>
    <w:p>
      <w:pPr>
        <w:pStyle w:val="null3"/>
        <w:ind w:firstLine="960"/>
      </w:pPr>
      <w:r>
        <w:rPr>
          <w:rFonts w:ascii="仿宋_GB2312" w:hAnsi="仿宋_GB2312" w:cs="仿宋_GB2312" w:eastAsia="仿宋_GB2312"/>
        </w:rPr>
        <w:t>详见附件：相关资格证明资料</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详见附件：磋商第一次报价表</w:t>
      </w:r>
    </w:p>
    <w:p>
      <w:pPr>
        <w:pStyle w:val="null3"/>
        <w:ind w:firstLine="960"/>
      </w:pPr>
      <w:r>
        <w:rPr>
          <w:rFonts w:ascii="仿宋_GB2312" w:hAnsi="仿宋_GB2312" w:cs="仿宋_GB2312" w:eastAsia="仿宋_GB2312"/>
        </w:rPr>
        <w:t>详见附件：方案响应部分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