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FB315">
      <w:pPr>
        <w:pStyle w:val="4"/>
        <w:jc w:val="both"/>
      </w:pPr>
      <w:r>
        <w:rPr>
          <w:rFonts w:ascii="仿宋_GB2312" w:hAnsi="仿宋_GB2312" w:eastAsia="仿宋_GB2312" w:cs="仿宋_GB2312"/>
        </w:rPr>
        <w:t>1  项目概述</w:t>
      </w:r>
    </w:p>
    <w:p w14:paraId="72BAFBB0">
      <w:pPr>
        <w:pStyle w:val="4"/>
        <w:jc w:val="both"/>
      </w:pPr>
      <w:r>
        <w:rPr>
          <w:rFonts w:ascii="仿宋_GB2312" w:hAnsi="仿宋_GB2312" w:eastAsia="仿宋_GB2312" w:cs="仿宋_GB2312"/>
        </w:rPr>
        <w:t>1.1  项目背景</w:t>
      </w:r>
    </w:p>
    <w:p w14:paraId="20E57D77">
      <w:pPr>
        <w:pStyle w:val="4"/>
        <w:jc w:val="both"/>
      </w:pPr>
      <w:r>
        <w:rPr>
          <w:rFonts w:ascii="仿宋_GB2312" w:hAnsi="仿宋_GB2312" w:eastAsia="仿宋_GB2312" w:cs="仿宋_GB2312"/>
        </w:rPr>
        <w:t>陕西残疾人训练基地体能馆是面向残疾人群体开展体能训练、康复训练和体育活动的专用场所，室内人员活动强度较大、停留时间较长，对室内热舒适环境与空气品质有较高要求。体能馆属于典型高大空间，层高较高、跨度较大，传统落地式或顶送风空调方式存在气流组织困难、能耗偏高、占用室内活动空间等问题。</w:t>
      </w:r>
    </w:p>
    <w:p w14:paraId="40D715BA">
      <w:pPr>
        <w:pStyle w:val="4"/>
        <w:jc w:val="both"/>
      </w:pPr>
      <w:r>
        <w:rPr>
          <w:rFonts w:ascii="仿宋_GB2312" w:hAnsi="仿宋_GB2312" w:eastAsia="仿宋_GB2312" w:cs="仿宋_GB2312"/>
        </w:rPr>
        <w:t>为满足训练场馆“舒适、节能、安全、易维护”的使用要求，本项目采用“低温风冷热泵冷热源＋侧墙射流送风末端＋新风引入”的一体化空调系统方案。</w:t>
      </w:r>
    </w:p>
    <w:p w14:paraId="2049C750">
      <w:pPr>
        <w:pStyle w:val="4"/>
        <w:jc w:val="both"/>
      </w:pPr>
      <w:r>
        <w:rPr>
          <w:rFonts w:ascii="仿宋_GB2312" w:hAnsi="仿宋_GB2312" w:eastAsia="仿宋_GB2312" w:cs="仿宋_GB2312"/>
        </w:rPr>
        <w:t>1.2  项目概况</w:t>
      </w:r>
    </w:p>
    <w:p w14:paraId="7C7511AF">
      <w:pPr>
        <w:pStyle w:val="4"/>
        <w:jc w:val="both"/>
      </w:pPr>
      <w:r>
        <w:rPr>
          <w:rFonts w:ascii="仿宋_GB2312" w:hAnsi="仿宋_GB2312" w:eastAsia="仿宋_GB2312" w:cs="仿宋_GB2312"/>
        </w:rPr>
        <w:t>西安残疾人训练中心体能馆建筑面积约552㎡，室内净高约5.1m（以建筑竣工图纸为准）。</w:t>
      </w:r>
    </w:p>
    <w:p w14:paraId="711636B1">
      <w:pPr>
        <w:pStyle w:val="4"/>
        <w:jc w:val="both"/>
      </w:pPr>
      <w:r>
        <w:rPr>
          <w:rFonts w:ascii="仿宋_GB2312" w:hAnsi="仿宋_GB2312" w:eastAsia="仿宋_GB2312" w:cs="仿宋_GB2312"/>
        </w:rPr>
        <w:t>空调冷热源选用2台全变频低温风冷热泵机组，为系统提供冷热源；空调末端选用5台射流机组，机组立式吊装于4m高侧墙处，通过远距离射流送风覆盖室内活动区域；每台末端预留30%新风量，新风自墙体开孔处引入射流机组回风口，经机组过滤、换热处理后送入室内，保证室内空气新鲜度；末端设备风机采用全变频EC风机，兼顾节能性及室内送风量调控，由统一控制器集中控制启停与风量调节，操作简单安装方便。</w:t>
      </w:r>
    </w:p>
    <w:p w14:paraId="2963D8B4">
      <w:pPr>
        <w:pStyle w:val="4"/>
        <w:jc w:val="center"/>
      </w:pPr>
      <w:r>
        <w:drawing>
          <wp:inline distT="0" distB="0" distL="0" distR="0">
            <wp:extent cx="5311775" cy="3717290"/>
            <wp:effectExtent l="0" t="0" r="3175" b="16510"/>
            <wp:docPr id="2" name="Drawing 2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2" descr="im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1775" cy="371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2F3C7">
      <w:pPr>
        <w:pStyle w:val="4"/>
      </w:pPr>
      <w:r>
        <w:rPr>
          <w:rFonts w:ascii="仿宋_GB2312" w:hAnsi="仿宋_GB2312" w:eastAsia="仿宋_GB2312" w:cs="仿宋_GB2312"/>
        </w:rPr>
        <w:t>1.3  设计范围与内容</w:t>
      </w:r>
    </w:p>
    <w:p w14:paraId="755B6A76">
      <w:pPr>
        <w:pStyle w:val="4"/>
        <w:jc w:val="both"/>
      </w:pPr>
      <w:r>
        <w:rPr>
          <w:rFonts w:ascii="仿宋_GB2312" w:hAnsi="仿宋_GB2312" w:eastAsia="仿宋_GB2312" w:cs="仿宋_GB2312"/>
        </w:rPr>
        <w:t>本方案书设计范围包括以下内容：</w:t>
      </w:r>
    </w:p>
    <w:p w14:paraId="25EC9EA9">
      <w:pPr>
        <w:pStyle w:val="4"/>
        <w:jc w:val="both"/>
      </w:pPr>
      <w:r>
        <w:rPr>
          <w:rFonts w:ascii="仿宋_GB2312" w:hAnsi="仿宋_GB2312" w:eastAsia="仿宋_GB2312" w:cs="仿宋_GB2312"/>
        </w:rPr>
        <w:t>（1）空调冷热源系统：低温风冷热泵机组的选型配置、水系统连接与室外安装；</w:t>
      </w:r>
    </w:p>
    <w:p w14:paraId="2C3BF780">
      <w:pPr>
        <w:pStyle w:val="4"/>
        <w:jc w:val="both"/>
      </w:pPr>
      <w:r>
        <w:rPr>
          <w:rFonts w:ascii="仿宋_GB2312" w:hAnsi="仿宋_GB2312" w:eastAsia="仿宋_GB2312" w:cs="仿宋_GB2312"/>
        </w:rPr>
        <w:t>（2）空调末端系统：射流机组的选型配置、吊装方式与送风气流组织；</w:t>
      </w:r>
    </w:p>
    <w:p w14:paraId="1A72E0A4">
      <w:pPr>
        <w:pStyle w:val="4"/>
        <w:jc w:val="both"/>
      </w:pPr>
      <w:r>
        <w:rPr>
          <w:rFonts w:ascii="仿宋_GB2312" w:hAnsi="仿宋_GB2312" w:eastAsia="仿宋_GB2312" w:cs="仿宋_GB2312"/>
        </w:rPr>
        <w:t>（3）新风系统：墙体开孔、新风引入与处理方式；</w:t>
      </w:r>
    </w:p>
    <w:p w14:paraId="5661D7EB">
      <w:pPr>
        <w:pStyle w:val="4"/>
        <w:jc w:val="both"/>
      </w:pPr>
      <w:r>
        <w:rPr>
          <w:rFonts w:ascii="仿宋_GB2312" w:hAnsi="仿宋_GB2312" w:eastAsia="仿宋_GB2312" w:cs="仿宋_GB2312"/>
        </w:rPr>
        <w:t>（4）控制系统：末端EC风机变频控制与集中控制策略。</w:t>
      </w:r>
    </w:p>
    <w:p w14:paraId="02A1F6F1">
      <w:pPr>
        <w:pStyle w:val="4"/>
        <w:jc w:val="both"/>
      </w:pPr>
      <w:r>
        <w:rPr>
          <w:rFonts w:ascii="仿宋_GB2312" w:hAnsi="仿宋_GB2312" w:eastAsia="仿宋_GB2312" w:cs="仿宋_GB2312"/>
        </w:rPr>
        <w:t>2  设计依据</w:t>
      </w:r>
    </w:p>
    <w:p w14:paraId="0CA74C11">
      <w:pPr>
        <w:pStyle w:val="4"/>
        <w:jc w:val="both"/>
      </w:pPr>
      <w:r>
        <w:rPr>
          <w:rFonts w:ascii="仿宋_GB2312" w:hAnsi="仿宋_GB2312" w:eastAsia="仿宋_GB2312" w:cs="仿宋_GB2312"/>
        </w:rPr>
        <w:t>2.1  主要设计规范与标准</w:t>
      </w:r>
    </w:p>
    <w:p w14:paraId="105A5E1B">
      <w:pPr>
        <w:pStyle w:val="4"/>
        <w:jc w:val="both"/>
      </w:pPr>
      <w:r>
        <w:rPr>
          <w:rFonts w:ascii="仿宋_GB2312" w:hAnsi="仿宋_GB2312" w:eastAsia="仿宋_GB2312" w:cs="仿宋_GB2312"/>
        </w:rPr>
        <w:t>本项目设计与施工执行以下现行国家标准和行业标准（以最新有效版本为准）：</w:t>
      </w:r>
    </w:p>
    <w:p w14:paraId="3D114557">
      <w:pPr>
        <w:pStyle w:val="4"/>
        <w:jc w:val="both"/>
      </w:pPr>
      <w:r>
        <w:rPr>
          <w:rFonts w:ascii="仿宋_GB2312" w:hAnsi="仿宋_GB2312" w:eastAsia="仿宋_GB2312" w:cs="仿宋_GB2312"/>
        </w:rPr>
        <w:t>《民用建筑供暖通风与空气调节设计规范》GB 50736-2012</w:t>
      </w:r>
    </w:p>
    <w:p w14:paraId="2F2089BD">
      <w:pPr>
        <w:pStyle w:val="4"/>
        <w:jc w:val="both"/>
      </w:pPr>
      <w:r>
        <w:rPr>
          <w:rFonts w:ascii="仿宋_GB2312" w:hAnsi="仿宋_GB2312" w:eastAsia="仿宋_GB2312" w:cs="仿宋_GB2312"/>
        </w:rPr>
        <w:t>《工业建筑供暖通风与空气调节设计规范》GB 50019-2015</w:t>
      </w:r>
    </w:p>
    <w:p w14:paraId="19D9BA36">
      <w:pPr>
        <w:pStyle w:val="4"/>
        <w:jc w:val="both"/>
      </w:pPr>
      <w:r>
        <w:rPr>
          <w:rFonts w:ascii="仿宋_GB2312" w:hAnsi="仿宋_GB2312" w:eastAsia="仿宋_GB2312" w:cs="仿宋_GB2312"/>
        </w:rPr>
        <w:t>《公共建筑节能设计标准》GB 50189-2015</w:t>
      </w:r>
    </w:p>
    <w:p w14:paraId="03B195F9">
      <w:pPr>
        <w:pStyle w:val="4"/>
        <w:jc w:val="both"/>
      </w:pPr>
      <w:r>
        <w:rPr>
          <w:rFonts w:ascii="仿宋_GB2312" w:hAnsi="仿宋_GB2312" w:eastAsia="仿宋_GB2312" w:cs="仿宋_GB2312"/>
        </w:rPr>
        <w:t>《通风与空调工程施工质量验收规范》GB 50243-2016</w:t>
      </w:r>
    </w:p>
    <w:p w14:paraId="7BD2D71B">
      <w:pPr>
        <w:pStyle w:val="4"/>
        <w:jc w:val="both"/>
      </w:pPr>
      <w:r>
        <w:rPr>
          <w:rFonts w:ascii="仿宋_GB2312" w:hAnsi="仿宋_GB2312" w:eastAsia="仿宋_GB2312" w:cs="仿宋_GB2312"/>
        </w:rPr>
        <w:t>《制冷设备、空气分离设备安装工程施工及验收规范》GB 50274-2010</w:t>
      </w:r>
    </w:p>
    <w:p w14:paraId="491FC67B">
      <w:pPr>
        <w:pStyle w:val="4"/>
        <w:jc w:val="both"/>
      </w:pPr>
      <w:r>
        <w:rPr>
          <w:rFonts w:ascii="仿宋_GB2312" w:hAnsi="仿宋_GB2312" w:eastAsia="仿宋_GB2312" w:cs="仿宋_GB2312"/>
        </w:rPr>
        <w:t>《低环境温度空气源热泵（冷水）机组能效限定值及能效等级》GB 37480-2019</w:t>
      </w:r>
    </w:p>
    <w:p w14:paraId="71641299">
      <w:pPr>
        <w:pStyle w:val="4"/>
        <w:jc w:val="both"/>
      </w:pPr>
      <w:r>
        <w:rPr>
          <w:rFonts w:ascii="仿宋_GB2312" w:hAnsi="仿宋_GB2312" w:eastAsia="仿宋_GB2312" w:cs="仿宋_GB2312"/>
        </w:rPr>
        <w:t>《体育建筑设计规范》JGJ 31-2003</w:t>
      </w:r>
    </w:p>
    <w:p w14:paraId="43A01E2D">
      <w:pPr>
        <w:pStyle w:val="4"/>
        <w:jc w:val="both"/>
      </w:pPr>
      <w:r>
        <w:rPr>
          <w:rFonts w:ascii="仿宋_GB2312" w:hAnsi="仿宋_GB2312" w:eastAsia="仿宋_GB2312" w:cs="仿宋_GB2312"/>
        </w:rPr>
        <w:t>《民用建筑工程室内环境污染控制标准》GB 50325-2020</w:t>
      </w:r>
    </w:p>
    <w:p w14:paraId="3DAB793C">
      <w:pPr>
        <w:pStyle w:val="4"/>
        <w:jc w:val="both"/>
      </w:pPr>
      <w:r>
        <w:rPr>
          <w:rFonts w:ascii="仿宋_GB2312" w:hAnsi="仿宋_GB2312" w:eastAsia="仿宋_GB2312" w:cs="仿宋_GB2312"/>
        </w:rPr>
        <w:t>以及其他与本工程有关的国家、地方现行规范、标准及规定。</w:t>
      </w:r>
    </w:p>
    <w:p w14:paraId="002E881B">
      <w:pPr>
        <w:pStyle w:val="4"/>
        <w:jc w:val="both"/>
      </w:pPr>
      <w:r>
        <w:rPr>
          <w:rFonts w:ascii="仿宋_GB2312" w:hAnsi="仿宋_GB2312" w:eastAsia="仿宋_GB2312" w:cs="仿宋_GB2312"/>
        </w:rPr>
        <w:t>2.2  设计基础资料与边界条件</w:t>
      </w:r>
    </w:p>
    <w:p w14:paraId="33FE1FE0">
      <w:pPr>
        <w:pStyle w:val="4"/>
        <w:jc w:val="both"/>
      </w:pPr>
      <w:r>
        <w:rPr>
          <w:rFonts w:ascii="仿宋_GB2312" w:hAnsi="仿宋_GB2312" w:eastAsia="仿宋_GB2312" w:cs="仿宋_GB2312"/>
        </w:rPr>
        <w:t>（1）建筑条件：西安残疾人训练中心体能馆，建筑面积约552㎡，室内净高约5m；</w:t>
      </w:r>
    </w:p>
    <w:p w14:paraId="3586E566">
      <w:pPr>
        <w:pStyle w:val="4"/>
        <w:jc w:val="both"/>
      </w:pPr>
      <w:r>
        <w:rPr>
          <w:rFonts w:ascii="仿宋_GB2312" w:hAnsi="仿宋_GB2312" w:eastAsia="仿宋_GB2312" w:cs="仿宋_GB2312"/>
        </w:rPr>
        <w:t>（2）气象条件：本项目位于西安市，属寒冷地区，室外设计参数按《民用建筑供暖通风与空气调节设计规范》GB 50736-2012规定的西安地区气象参数确定；</w:t>
      </w:r>
    </w:p>
    <w:p w14:paraId="406097F6">
      <w:pPr>
        <w:pStyle w:val="4"/>
        <w:jc w:val="both"/>
      </w:pPr>
      <w:r>
        <w:rPr>
          <w:rFonts w:ascii="仿宋_GB2312" w:hAnsi="仿宋_GB2312" w:eastAsia="仿宋_GB2312" w:cs="仿宋_GB2312"/>
        </w:rPr>
        <w:t>（3）电源条件：空调系统电源由甲方提供，电压等级及容量以电气设计为准；</w:t>
      </w:r>
    </w:p>
    <w:p w14:paraId="6045A617">
      <w:pPr>
        <w:pStyle w:val="4"/>
        <w:jc w:val="both"/>
      </w:pPr>
      <w:r>
        <w:rPr>
          <w:rFonts w:ascii="仿宋_GB2312" w:hAnsi="仿宋_GB2312" w:eastAsia="仿宋_GB2312" w:cs="仿宋_GB2312"/>
        </w:rPr>
        <w:t>（4）场地条件：热泵机组室外安装场地由甲方提供，应满足机组通风散热、检修及噪音控制要求。</w:t>
      </w:r>
    </w:p>
    <w:p w14:paraId="51F5717A">
      <w:pPr>
        <w:pStyle w:val="4"/>
        <w:jc w:val="both"/>
      </w:pPr>
      <w:r>
        <w:rPr>
          <w:rFonts w:ascii="仿宋_GB2312" w:hAnsi="仿宋_GB2312" w:eastAsia="仿宋_GB2312" w:cs="仿宋_GB2312"/>
        </w:rPr>
        <w:t>3  设计参数</w:t>
      </w:r>
    </w:p>
    <w:p w14:paraId="07B6A596">
      <w:pPr>
        <w:pStyle w:val="4"/>
        <w:jc w:val="both"/>
      </w:pPr>
      <w:r>
        <w:rPr>
          <w:rFonts w:ascii="仿宋_GB2312" w:hAnsi="仿宋_GB2312" w:eastAsia="仿宋_GB2312" w:cs="仿宋_GB2312"/>
        </w:rPr>
        <w:t>3.1  室外设计参数</w:t>
      </w:r>
    </w:p>
    <w:p w14:paraId="1B041E34">
      <w:pPr>
        <w:pStyle w:val="4"/>
        <w:jc w:val="both"/>
      </w:pPr>
      <w:r>
        <w:rPr>
          <w:rFonts w:ascii="仿宋_GB2312" w:hAnsi="仿宋_GB2312" w:eastAsia="仿宋_GB2312" w:cs="仿宋_GB2312"/>
        </w:rPr>
        <w:t>室外设计参数依据《民用建筑供暖通风与空气调节设计规范》GB 50736-2012中西安地区气象参数确定，具体数值以设计阶段精确计算为准。本项目采用低温风冷热泵机组，其低温制热性能满足西安地区冬季运行要求。</w:t>
      </w:r>
    </w:p>
    <w:p w14:paraId="11E13FD3">
      <w:pPr>
        <w:pStyle w:val="4"/>
        <w:jc w:val="both"/>
      </w:pPr>
      <w:r>
        <w:rPr>
          <w:rFonts w:ascii="仿宋_GB2312" w:hAnsi="仿宋_GB2312" w:eastAsia="仿宋_GB2312" w:cs="仿宋_GB2312"/>
        </w:rPr>
        <w:t>3.2  室内设计参数</w:t>
      </w:r>
    </w:p>
    <w:p w14:paraId="698B4D9A">
      <w:pPr>
        <w:pStyle w:val="4"/>
        <w:jc w:val="both"/>
      </w:pPr>
      <w:r>
        <w:rPr>
          <w:rFonts w:ascii="仿宋_GB2312" w:hAnsi="仿宋_GB2312" w:eastAsia="仿宋_GB2312" w:cs="仿宋_GB2312"/>
        </w:rPr>
        <w:t>结合体能馆人员活动强度大、人体散热散湿量大的特点，室内设计参数推荐如下（最终以设计计算为准）。</w:t>
      </w:r>
    </w:p>
    <w:p w14:paraId="6463C5A0">
      <w:pPr>
        <w:pStyle w:val="4"/>
        <w:jc w:val="both"/>
      </w:pPr>
      <w:r>
        <w:rPr>
          <w:rFonts w:ascii="仿宋_GB2312" w:hAnsi="仿宋_GB2312" w:eastAsia="仿宋_GB2312" w:cs="仿宋_GB2312"/>
        </w:rPr>
        <w:t>表3-1  室内设计参数推荐值</w:t>
      </w:r>
    </w:p>
    <w:tbl>
      <w:tblPr>
        <w:tblStyle w:val="2"/>
        <w:tblW w:w="8513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1"/>
        <w:gridCol w:w="2941"/>
        <w:gridCol w:w="2941"/>
      </w:tblGrid>
      <w:tr w14:paraId="6D0AD45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D353DC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19"/>
              </w:rPr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参数项目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986628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19"/>
              </w:rPr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夏季</w:t>
            </w:r>
          </w:p>
        </w:tc>
        <w:tc>
          <w:tcPr>
            <w:tcW w:w="294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4DA2F7">
            <w:pPr>
              <w:pStyle w:val="4"/>
              <w:snapToGrid w:val="0"/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19"/>
              </w:rPr>
            </w:pPr>
            <w:r>
              <w:rPr>
                <w:rFonts w:ascii="仿宋_GB2312" w:hAnsi="仿宋_GB2312" w:eastAsia="仿宋_GB2312" w:cs="仿宋_GB2312"/>
                <w:b/>
                <w:sz w:val="19"/>
              </w:rPr>
              <w:t>冬季</w:t>
            </w:r>
          </w:p>
        </w:tc>
      </w:tr>
      <w:tr w14:paraId="5CBB4A7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3A4360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室内设计温度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C26D77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24～26℃</w:t>
            </w:r>
          </w:p>
        </w:tc>
        <w:tc>
          <w:tcPr>
            <w:tcW w:w="2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F3EA8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18～20℃</w:t>
            </w:r>
          </w:p>
        </w:tc>
      </w:tr>
      <w:tr w14:paraId="73D3025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8732FB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相对湿度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A20FD4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45%～65%</w:t>
            </w:r>
          </w:p>
        </w:tc>
        <w:tc>
          <w:tcPr>
            <w:tcW w:w="2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20DE8B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40%～60%</w:t>
            </w:r>
          </w:p>
        </w:tc>
      </w:tr>
      <w:tr w14:paraId="643DC0B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CE7382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人员新风量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318E8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≥30m³/(h·人)</w:t>
            </w:r>
          </w:p>
        </w:tc>
        <w:tc>
          <w:tcPr>
            <w:tcW w:w="2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2F8C57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≥30m³/(h·人)</w:t>
            </w:r>
          </w:p>
        </w:tc>
      </w:tr>
      <w:tr w14:paraId="16BAE8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3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AF8F0B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室内噪声</w:t>
            </w:r>
          </w:p>
        </w:tc>
        <w:tc>
          <w:tcPr>
            <w:tcW w:w="29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9E4541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≤60dB(A)</w:t>
            </w:r>
          </w:p>
        </w:tc>
        <w:tc>
          <w:tcPr>
            <w:tcW w:w="294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FE7E98">
            <w:pPr>
              <w:pStyle w:val="4"/>
              <w:snapToGrid w:val="0"/>
              <w:ind w:left="0" w:leftChars="0" w:right="0" w:rightChars="0" w:firstLine="0" w:firstLineChars="0"/>
              <w:jc w:val="left"/>
              <w:rPr>
                <w:rFonts w:ascii="仿宋_GB2312" w:eastAsia="仿宋_GB2312"/>
                <w:sz w:val="19"/>
              </w:rPr>
            </w:pPr>
            <w:r>
              <w:rPr>
                <w:rFonts w:ascii="仿宋_GB2312" w:hAnsi="仿宋_GB2312" w:eastAsia="仿宋_GB2312" w:cs="仿宋_GB2312"/>
                <w:sz w:val="19"/>
              </w:rPr>
              <w:t>≤60dB(A)</w:t>
            </w:r>
          </w:p>
        </w:tc>
      </w:tr>
    </w:tbl>
    <w:p w14:paraId="12C2A5AA">
      <w:pPr>
        <w:pStyle w:val="4"/>
        <w:jc w:val="both"/>
      </w:pPr>
      <w:r>
        <w:rPr>
          <w:rFonts w:ascii="仿宋_GB2312" w:hAnsi="仿宋_GB2312" w:eastAsia="仿宋_GB2312" w:cs="仿宋_GB2312"/>
        </w:rPr>
        <w:t>3.3  系统配置核算</w:t>
      </w:r>
    </w:p>
    <w:p w14:paraId="5CEF1271">
      <w:pPr>
        <w:pStyle w:val="4"/>
        <w:jc w:val="both"/>
      </w:pPr>
      <w:r>
        <w:rPr>
          <w:rFonts w:ascii="仿宋_GB2312" w:hAnsi="仿宋_GB2312" w:eastAsia="仿宋_GB2312" w:cs="仿宋_GB2312"/>
        </w:rPr>
        <w:t>依据本项目给定的设备配置，对系统主要参数核算如下（送风量、冷量按设备铭牌额定值计）。</w:t>
      </w:r>
    </w:p>
    <w:p w14:paraId="7AE8CBDD">
      <w:pPr>
        <w:pStyle w:val="4"/>
        <w:jc w:val="both"/>
      </w:pPr>
      <w:r>
        <w:rPr>
          <w:rFonts w:ascii="仿宋_GB2312" w:hAnsi="仿宋_GB2312" w:eastAsia="仿宋_GB2312" w:cs="仿宋_GB2312"/>
        </w:rPr>
        <w:t>表3-2  系统设备配置主要参数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2"/>
        <w:gridCol w:w="3071"/>
        <w:gridCol w:w="3071"/>
      </w:tblGrid>
      <w:tr w14:paraId="08554F4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DE66E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项目</w:t>
            </w:r>
          </w:p>
        </w:tc>
        <w:tc>
          <w:tcPr>
            <w:tcW w:w="1803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26776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</w:t>
            </w:r>
          </w:p>
        </w:tc>
        <w:tc>
          <w:tcPr>
            <w:tcW w:w="1803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C3F20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数值</w:t>
            </w:r>
          </w:p>
        </w:tc>
      </w:tr>
      <w:tr w14:paraId="6C3525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F288A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末端送风量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3D42B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立式吊装射流机组5台，风量≥5000m³/h/台，采用EC风机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FC29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总风量≥25000m³/h</w:t>
            </w:r>
          </w:p>
        </w:tc>
      </w:tr>
      <w:tr w14:paraId="745FB0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</w:tblPrEx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41D36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末端冷量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77AF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立式吊装射流机组5台，单台制冷量≥34kW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526C6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总冷量≥170kW</w:t>
            </w:r>
          </w:p>
        </w:tc>
      </w:tr>
      <w:tr w14:paraId="0DB1501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5050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新风量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D7924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≥送风量的30%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016D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≥7500m³/h</w:t>
            </w:r>
          </w:p>
        </w:tc>
      </w:tr>
      <w:tr w14:paraId="5B13700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BC857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单台新风量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74B39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≥送风量的30%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596E3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≥1500m³/h</w:t>
            </w:r>
          </w:p>
        </w:tc>
      </w:tr>
      <w:tr w14:paraId="2C6108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C501D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主机配置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F540F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2台低温变频风冷模块，单台制冷量≥75kW, 单台制热量≥80kW</w:t>
            </w:r>
          </w:p>
        </w:tc>
        <w:tc>
          <w:tcPr>
            <w:tcW w:w="180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6565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冷量≥150kW，热量≥160kW</w:t>
            </w:r>
          </w:p>
        </w:tc>
      </w:tr>
    </w:tbl>
    <w:p w14:paraId="43567E23">
      <w:pPr>
        <w:pStyle w:val="4"/>
        <w:jc w:val="both"/>
      </w:pPr>
      <w:r>
        <w:rPr>
          <w:rFonts w:ascii="仿宋_GB2312" w:hAnsi="仿宋_GB2312" w:eastAsia="仿宋_GB2312" w:cs="仿宋_GB2312"/>
        </w:rPr>
        <w:t>说明：末端预留30%新风，全系统总新风量≥7500m³/h，按人均新风量40m³/(h·人)估算，可满足约180~200人同时训练的新风需求，能有效保证体能馆室内空气新鲜度。选型末端总冷量与主机总冷量要匹配合理，主机按综合负荷选配并通过全变频运行适应负荷变化，兼具经济性与可靠性。系统管路及水泵等各投标商根据自己选型设备及现场情况深化配置。</w:t>
      </w:r>
    </w:p>
    <w:p w14:paraId="62A7D235">
      <w:pPr>
        <w:pStyle w:val="4"/>
        <w:jc w:val="both"/>
      </w:pPr>
      <w:r>
        <w:rPr>
          <w:rFonts w:ascii="仿宋_GB2312" w:hAnsi="仿宋_GB2312" w:eastAsia="仿宋_GB2312" w:cs="仿宋_GB2312"/>
        </w:rPr>
        <w:t>4  空调系统方案</w:t>
      </w:r>
    </w:p>
    <w:p w14:paraId="0DB1970A">
      <w:pPr>
        <w:pStyle w:val="4"/>
        <w:jc w:val="both"/>
      </w:pPr>
      <w:r>
        <w:rPr>
          <w:rFonts w:ascii="仿宋_GB2312" w:hAnsi="仿宋_GB2312" w:eastAsia="仿宋_GB2312" w:cs="仿宋_GB2312"/>
        </w:rPr>
        <w:t>4.1  系统总体架构</w:t>
      </w:r>
    </w:p>
    <w:p w14:paraId="588529DB">
      <w:pPr>
        <w:pStyle w:val="4"/>
        <w:jc w:val="both"/>
      </w:pPr>
      <w:r>
        <w:rPr>
          <w:rFonts w:ascii="仿宋_GB2312" w:hAnsi="仿宋_GB2312" w:eastAsia="仿宋_GB2312" w:cs="仿宋_GB2312"/>
        </w:rPr>
        <w:t>本系统由“冷热源＋末端＋新风＋控制”四部分组成：全变频低温风冷热泵机组作为冷热源，通过水系统向末端射流机组输送冷冻水／热水；射流机组立式吊装于4m~5m高侧墙，将处理后的空气以远距离射流方式送入室内；新风经墙体开孔引入射流机组回风口，与回风混合后经机组换热处理送入室内；末端全变频EC风机由统一控制器集中控制启停与风量。</w:t>
      </w:r>
    </w:p>
    <w:p w14:paraId="5DEFB314">
      <w:pPr>
        <w:pStyle w:val="4"/>
        <w:jc w:val="both"/>
      </w:pPr>
      <w:r>
        <w:rPr>
          <w:rFonts w:ascii="仿宋_GB2312" w:hAnsi="仿宋_GB2312" w:eastAsia="仿宋_GB2312" w:cs="仿宋_GB2312"/>
        </w:rPr>
        <w:t>4.2  冷热源系统方案</w:t>
      </w:r>
    </w:p>
    <w:p w14:paraId="210F74F0">
      <w:pPr>
        <w:pStyle w:val="4"/>
        <w:jc w:val="both"/>
      </w:pPr>
      <w:r>
        <w:rPr>
          <w:rFonts w:ascii="仿宋_GB2312" w:hAnsi="仿宋_GB2312" w:eastAsia="仿宋_GB2312" w:cs="仿宋_GB2312"/>
        </w:rPr>
        <w:t>本项目冷热源选用2台全变频低温风冷热泵机组，具备以下技术特点：</w:t>
      </w:r>
    </w:p>
    <w:p w14:paraId="611B5B32">
      <w:pPr>
        <w:pStyle w:val="4"/>
        <w:jc w:val="both"/>
      </w:pPr>
      <w:r>
        <w:rPr>
          <w:rFonts w:ascii="仿宋_GB2312" w:hAnsi="仿宋_GB2312" w:eastAsia="仿宋_GB2312" w:cs="仿宋_GB2312"/>
        </w:rPr>
        <w:t>（1）低温制热能力：机组为低温型风冷热泵，可在西安寒冷地区冬季低温工况下稳定高效制热，满足体能馆冬季供暖需求；</w:t>
      </w:r>
    </w:p>
    <w:p w14:paraId="5F9C0048">
      <w:pPr>
        <w:pStyle w:val="4"/>
        <w:jc w:val="both"/>
      </w:pPr>
      <w:r>
        <w:rPr>
          <w:rFonts w:ascii="仿宋_GB2312" w:hAnsi="仿宋_GB2312" w:eastAsia="仿宋_GB2312" w:cs="仿宋_GB2312"/>
        </w:rPr>
        <w:t>（2）全变频调节：机组采用全变频压缩机，根据末端负荷变化自动调节运行频率与输出能力，部分负荷下运行能效高，节能效果显著；</w:t>
      </w:r>
    </w:p>
    <w:p w14:paraId="70BCDBCF">
      <w:pPr>
        <w:pStyle w:val="4"/>
        <w:jc w:val="both"/>
      </w:pPr>
      <w:r>
        <w:rPr>
          <w:rFonts w:ascii="仿宋_GB2312" w:hAnsi="仿宋_GB2312" w:eastAsia="仿宋_GB2312" w:cs="仿宋_GB2312"/>
        </w:rPr>
        <w:t>（3）一机两用：一套系统同时提供制冷与制热，冷热源集中、管路简洁、管理方便；</w:t>
      </w:r>
    </w:p>
    <w:p w14:paraId="22E8703C">
      <w:pPr>
        <w:pStyle w:val="4"/>
        <w:jc w:val="both"/>
      </w:pPr>
      <w:r>
        <w:rPr>
          <w:rFonts w:ascii="仿宋_GB2312" w:hAnsi="仿宋_GB2312" w:eastAsia="仿宋_GB2312" w:cs="仿宋_GB2312"/>
        </w:rPr>
        <w:t>（4）互为备用：两台机组在负荷较小时可单台运行，负荷大时双机并联运行，提高系统可靠性与全年综合能效。</w:t>
      </w:r>
    </w:p>
    <w:p w14:paraId="315FF9B6">
      <w:pPr>
        <w:pStyle w:val="4"/>
        <w:jc w:val="both"/>
      </w:pPr>
      <w:r>
        <w:rPr>
          <w:rFonts w:ascii="仿宋_GB2312" w:hAnsi="仿宋_GB2312" w:eastAsia="仿宋_GB2312" w:cs="仿宋_GB2312"/>
        </w:rPr>
        <w:t>4.3  末端送风系统方案</w:t>
      </w:r>
    </w:p>
    <w:p w14:paraId="4E8AC394">
      <w:pPr>
        <w:pStyle w:val="4"/>
        <w:jc w:val="both"/>
      </w:pPr>
      <w:r>
        <w:rPr>
          <w:rFonts w:ascii="仿宋_GB2312" w:hAnsi="仿宋_GB2312" w:eastAsia="仿宋_GB2312" w:cs="仿宋_GB2312"/>
        </w:rPr>
        <w:t>（1）机组形式：选用射流机组，单台风量≥5000m³/h、冷量≥34kW；</w:t>
      </w:r>
    </w:p>
    <w:p w14:paraId="62F1BBAF">
      <w:pPr>
        <w:pStyle w:val="4"/>
        <w:jc w:val="both"/>
      </w:pPr>
      <w:r>
        <w:rPr>
          <w:rFonts w:ascii="仿宋_GB2312" w:hAnsi="仿宋_GB2312" w:eastAsia="仿宋_GB2312" w:cs="仿宋_GB2312"/>
        </w:rPr>
        <w:t>（2）安装方式：机组采用立式吊装型，安装于4m~5m高侧墙处，不占用地面活动空间，不影响训练场地使用；</w:t>
      </w:r>
    </w:p>
    <w:p w14:paraId="31DB5198">
      <w:pPr>
        <w:pStyle w:val="4"/>
        <w:jc w:val="both"/>
      </w:pPr>
      <w:r>
        <w:rPr>
          <w:rFonts w:ascii="仿宋_GB2312" w:hAnsi="仿宋_GB2312" w:eastAsia="仿宋_GB2312" w:cs="仿宋_GB2312"/>
        </w:rPr>
        <w:t>（3）送风方式：射流机组通过射流风口实现远距离、无风管送风，气流射程远、覆盖范围大，可有效消除高大空间温度分层，保证人员活动区温度均匀；</w:t>
      </w:r>
    </w:p>
    <w:p w14:paraId="018AFCE6">
      <w:pPr>
        <w:pStyle w:val="4"/>
        <w:jc w:val="both"/>
      </w:pPr>
      <w:r>
        <w:rPr>
          <w:rFonts w:ascii="仿宋_GB2312" w:hAnsi="仿宋_GB2312" w:eastAsia="仿宋_GB2312" w:cs="仿宋_GB2312"/>
        </w:rPr>
        <w:t>（4）气流组织：冬季热风适当下倾送风，快速消除温度分层；夏季冷风适当上倾送风，避免冷风直吹训练人员，兼顾防吹风感（送风角度调整以设备技术资料为准）。</w:t>
      </w:r>
    </w:p>
    <w:p w14:paraId="66725FC7">
      <w:pPr>
        <w:pStyle w:val="4"/>
        <w:jc w:val="both"/>
      </w:pPr>
      <w:r>
        <w:rPr>
          <w:rFonts w:ascii="仿宋_GB2312" w:hAnsi="仿宋_GB2312" w:eastAsia="仿宋_GB2312" w:cs="仿宋_GB2312"/>
        </w:rPr>
        <w:t>4.4  新风系统方案</w:t>
      </w:r>
    </w:p>
    <w:p w14:paraId="288EBF57">
      <w:pPr>
        <w:pStyle w:val="4"/>
        <w:jc w:val="both"/>
      </w:pPr>
      <w:r>
        <w:rPr>
          <w:rFonts w:ascii="仿宋_GB2312" w:hAnsi="仿宋_GB2312" w:eastAsia="仿宋_GB2312" w:cs="仿宋_GB2312"/>
        </w:rPr>
        <w:t>（1）新风量配置：每台射流机组预留20%新风量，单台新风量约1000m³/h，全系统新风量约5000m³/h；</w:t>
      </w:r>
    </w:p>
    <w:p w14:paraId="68C9EB61">
      <w:pPr>
        <w:pStyle w:val="4"/>
        <w:jc w:val="both"/>
      </w:pPr>
      <w:r>
        <w:rPr>
          <w:rFonts w:ascii="仿宋_GB2312" w:hAnsi="仿宋_GB2312" w:eastAsia="仿宋_GB2312" w:cs="仿宋_GB2312"/>
        </w:rPr>
        <w:t>（2）新风引入方式：在机组回风口对应墙体开孔，室外新风经墙体开孔进入机组回风口，与室内回风混合后，经机组过滤、换热处理后送入室内；</w:t>
      </w:r>
    </w:p>
    <w:p w14:paraId="75B308F1">
      <w:pPr>
        <w:pStyle w:val="4"/>
        <w:jc w:val="both"/>
      </w:pPr>
      <w:r>
        <w:rPr>
          <w:rFonts w:ascii="仿宋_GB2312" w:hAnsi="仿宋_GB2312" w:eastAsia="仿宋_GB2312" w:cs="仿宋_GB2312"/>
        </w:rPr>
        <w:t>（3）新风处理：新风与回风混合后经射流机组空气过滤段与换热盘管处理，满足室内温度与空气品质要求；</w:t>
      </w:r>
    </w:p>
    <w:p w14:paraId="55E07B33">
      <w:pPr>
        <w:pStyle w:val="4"/>
        <w:jc w:val="both"/>
      </w:pPr>
      <w:r>
        <w:rPr>
          <w:rFonts w:ascii="仿宋_GB2312" w:hAnsi="仿宋_GB2312" w:eastAsia="仿宋_GB2312" w:cs="仿宋_GB2312"/>
        </w:rPr>
        <w:t>（4）空气新鲜度保障：通过合理的新风比设计，在满足新风量的同时避免新风过大造成的冷热负荷浪费，保证体能馆内空气新鲜、含氧量充足。</w:t>
      </w:r>
    </w:p>
    <w:p w14:paraId="206C25EC">
      <w:pPr>
        <w:pStyle w:val="4"/>
        <w:jc w:val="both"/>
      </w:pPr>
      <w:r>
        <w:rPr>
          <w:rFonts w:ascii="仿宋_GB2312" w:hAnsi="仿宋_GB2312" w:eastAsia="仿宋_GB2312" w:cs="仿宋_GB2312"/>
        </w:rPr>
        <w:t>4.5  控制系统方案</w:t>
      </w:r>
    </w:p>
    <w:p w14:paraId="21FA8F4A">
      <w:pPr>
        <w:pStyle w:val="4"/>
        <w:jc w:val="both"/>
      </w:pPr>
      <w:r>
        <w:rPr>
          <w:rFonts w:ascii="仿宋_GB2312" w:hAnsi="仿宋_GB2312" w:eastAsia="仿宋_GB2312" w:cs="仿宋_GB2312"/>
        </w:rPr>
        <w:t>（1）末端控制：末端射流机组风机全部采用全变频EC风机，可实现风量无级调节；</w:t>
      </w:r>
    </w:p>
    <w:p w14:paraId="340B7BC1">
      <w:pPr>
        <w:pStyle w:val="4"/>
        <w:jc w:val="both"/>
      </w:pPr>
      <w:r>
        <w:rPr>
          <w:rFonts w:ascii="仿宋_GB2312" w:hAnsi="仿宋_GB2312" w:eastAsia="仿宋_GB2312" w:cs="仿宋_GB2312"/>
        </w:rPr>
        <w:t>（2）集中控制：5台末端机组通过统一控制器集中控制，实现机组启停、风量大小的统一管理；</w:t>
      </w:r>
    </w:p>
    <w:p w14:paraId="7FB80360">
      <w:pPr>
        <w:pStyle w:val="4"/>
        <w:jc w:val="both"/>
      </w:pPr>
      <w:r>
        <w:rPr>
          <w:rFonts w:ascii="仿宋_GB2312" w:hAnsi="仿宋_GB2312" w:eastAsia="仿宋_GB2312" w:cs="仿宋_GB2312"/>
        </w:rPr>
        <w:t>（3）按需运行：根据室内温度、人员活动情况分时段调节风量，负荷降低时自动降低风机转速与热泵机组输出，实现“按需供冷供热”，降低运行能耗；</w:t>
      </w:r>
    </w:p>
    <w:p w14:paraId="3ABAFF73">
      <w:pPr>
        <w:pStyle w:val="4"/>
        <w:jc w:val="both"/>
      </w:pPr>
      <w:r>
        <w:rPr>
          <w:rFonts w:ascii="仿宋_GB2312" w:hAnsi="仿宋_GB2312" w:eastAsia="仿宋_GB2312" w:cs="仿宋_GB2312"/>
        </w:rPr>
        <w:t>（4）联动控制：冷热源主机与末端风机联动运行，根据末端需求自动启停主机，提高系统运行效率。</w:t>
      </w:r>
    </w:p>
    <w:p w14:paraId="7AF397C4">
      <w:pPr>
        <w:pStyle w:val="4"/>
        <w:jc w:val="both"/>
      </w:pPr>
      <w:r>
        <w:rPr>
          <w:rFonts w:ascii="仿宋_GB2312" w:hAnsi="仿宋_GB2312" w:eastAsia="仿宋_GB2312" w:cs="仿宋_GB2312"/>
        </w:rPr>
        <w:t>5  主要设备选型及技术参数</w:t>
      </w:r>
    </w:p>
    <w:p w14:paraId="7EDB3B36">
      <w:pPr>
        <w:pStyle w:val="4"/>
        <w:jc w:val="both"/>
      </w:pPr>
      <w:r>
        <w:rPr>
          <w:rFonts w:ascii="仿宋_GB2312" w:hAnsi="仿宋_GB2312" w:eastAsia="仿宋_GB2312" w:cs="仿宋_GB2312"/>
        </w:rPr>
        <w:t>5.1  冷热源设备</w:t>
      </w:r>
    </w:p>
    <w:p w14:paraId="33E4A733">
      <w:pPr>
        <w:pStyle w:val="4"/>
        <w:jc w:val="both"/>
      </w:pPr>
      <w:r>
        <w:rPr>
          <w:rFonts w:ascii="仿宋_GB2312" w:hAnsi="仿宋_GB2312" w:eastAsia="仿宋_GB2312" w:cs="仿宋_GB2312"/>
        </w:rPr>
        <w:t>表5-1  低温风冷热泵机组（核心产品）主要技术参数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1"/>
        <w:gridCol w:w="5903"/>
      </w:tblGrid>
      <w:tr w14:paraId="53F4B95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D05E6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项目</w:t>
            </w:r>
          </w:p>
        </w:tc>
        <w:tc>
          <w:tcPr>
            <w:tcW w:w="3466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CD0C2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</w:t>
            </w:r>
          </w:p>
        </w:tc>
      </w:tr>
      <w:tr w14:paraId="77186E3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C8F9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设备名称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2BA8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全变频低温风冷热泵机组</w:t>
            </w:r>
          </w:p>
        </w:tc>
      </w:tr>
      <w:tr w14:paraId="7148FDB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FE6B6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单台名义能力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29892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≥75kW/80KW（制冷／制热）</w:t>
            </w:r>
          </w:p>
        </w:tc>
      </w:tr>
      <w:tr w14:paraId="20A0CC6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CC752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台数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0BF48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2台</w:t>
            </w:r>
          </w:p>
        </w:tc>
      </w:tr>
      <w:tr w14:paraId="3000FD9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901C8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总配置能力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9347B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≥150kW/160KW（制冷／制热）</w:t>
            </w:r>
          </w:p>
        </w:tc>
      </w:tr>
      <w:tr w14:paraId="7B626BD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05DA0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冷媒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3FE67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环保冷媒R410A</w:t>
            </w:r>
          </w:p>
        </w:tc>
      </w:tr>
      <w:tr w14:paraId="15F633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D974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能效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25B59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一级能效</w:t>
            </w:r>
          </w:p>
        </w:tc>
      </w:tr>
      <w:tr w14:paraId="62253A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6753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运行方式</w:t>
            </w:r>
          </w:p>
        </w:tc>
        <w:tc>
          <w:tcPr>
            <w:tcW w:w="3466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DF12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全变频，双机并联运行</w:t>
            </w:r>
          </w:p>
        </w:tc>
      </w:tr>
    </w:tbl>
    <w:p w14:paraId="1D4348E6">
      <w:pPr>
        <w:pStyle w:val="4"/>
        <w:jc w:val="both"/>
      </w:pPr>
      <w:r>
        <w:rPr>
          <w:rFonts w:ascii="仿宋_GB2312" w:hAnsi="仿宋_GB2312" w:eastAsia="仿宋_GB2312" w:cs="仿宋_GB2312"/>
        </w:rPr>
        <w:t>5.2  末端设备</w:t>
      </w:r>
    </w:p>
    <w:p w14:paraId="25F59FB9">
      <w:pPr>
        <w:pStyle w:val="4"/>
        <w:jc w:val="both"/>
      </w:pPr>
      <w:r>
        <w:rPr>
          <w:rFonts w:ascii="仿宋_GB2312" w:hAnsi="仿宋_GB2312" w:eastAsia="仿宋_GB2312" w:cs="仿宋_GB2312"/>
        </w:rPr>
        <w:t>表5-2  射流机组主要技术参数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4"/>
        <w:gridCol w:w="5850"/>
      </w:tblGrid>
      <w:tr w14:paraId="421B198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4BD6F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项目</w:t>
            </w:r>
          </w:p>
        </w:tc>
        <w:tc>
          <w:tcPr>
            <w:tcW w:w="3435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44D2C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</w:t>
            </w:r>
          </w:p>
        </w:tc>
      </w:tr>
      <w:tr w14:paraId="56D7D60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08908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设备名称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9CB7C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射流机组（立式吊装型）</w:t>
            </w:r>
          </w:p>
        </w:tc>
      </w:tr>
      <w:tr w14:paraId="57E9E57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DE88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单台风量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FDAA4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≥5000m³/h</w:t>
            </w:r>
          </w:p>
        </w:tc>
      </w:tr>
      <w:tr w14:paraId="0E5CBF3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E4469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单台冷量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AFF1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≥34kW</w:t>
            </w:r>
          </w:p>
        </w:tc>
      </w:tr>
      <w:tr w14:paraId="17E36E8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46FCB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台数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E1F19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5台</w:t>
            </w:r>
          </w:p>
        </w:tc>
      </w:tr>
      <w:tr w14:paraId="26E862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03224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风机形式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F16F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全变频EC风机</w:t>
            </w:r>
          </w:p>
        </w:tc>
      </w:tr>
      <w:tr w14:paraId="5129257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DEC5A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安装方式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FB55E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立式吊装于4m~5m高侧墙</w:t>
            </w:r>
          </w:p>
        </w:tc>
      </w:tr>
      <w:tr w14:paraId="4108D9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02CA7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新风量</w:t>
            </w:r>
          </w:p>
        </w:tc>
        <w:tc>
          <w:tcPr>
            <w:tcW w:w="3435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F729A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每台预留≥20%新风</w:t>
            </w:r>
          </w:p>
        </w:tc>
      </w:tr>
    </w:tbl>
    <w:p w14:paraId="4724378E">
      <w:pPr>
        <w:pStyle w:val="4"/>
        <w:jc w:val="both"/>
      </w:pPr>
      <w:r>
        <w:rPr>
          <w:rFonts w:ascii="仿宋_GB2312" w:hAnsi="仿宋_GB2312" w:eastAsia="仿宋_GB2312" w:cs="仿宋_GB2312"/>
        </w:rPr>
        <w:t>5.3  主要设备清单</w:t>
      </w:r>
    </w:p>
    <w:p w14:paraId="26611D6B">
      <w:pPr>
        <w:pStyle w:val="4"/>
        <w:jc w:val="both"/>
      </w:pPr>
      <w:r>
        <w:rPr>
          <w:rFonts w:ascii="仿宋_GB2312" w:hAnsi="仿宋_GB2312" w:eastAsia="仿宋_GB2312" w:cs="仿宋_GB2312"/>
        </w:rPr>
        <w:t>表5-3  主要设备清单</w:t>
      </w:r>
    </w:p>
    <w:tbl>
      <w:tblPr>
        <w:tblStyle w:val="2"/>
        <w:tblW w:w="4997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495"/>
        <w:gridCol w:w="2715"/>
        <w:gridCol w:w="961"/>
        <w:gridCol w:w="961"/>
        <w:gridCol w:w="1419"/>
      </w:tblGrid>
      <w:tr w14:paraId="5C88BA7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4C104E1">
            <w:pPr>
              <w:pStyle w:val="4"/>
              <w:jc w:val="both"/>
            </w:pPr>
            <w:bookmarkStart w:id="0" w:name="_GoBack"/>
            <w:r>
              <w:rPr>
                <w:rFonts w:ascii="仿宋_GB2312" w:hAnsi="仿宋_GB2312" w:eastAsia="仿宋_GB2312" w:cs="仿宋_GB2312"/>
                <w:sz w:val="19"/>
              </w:rPr>
              <w:t>序号</w:t>
            </w:r>
          </w:p>
        </w:tc>
        <w:tc>
          <w:tcPr>
            <w:tcW w:w="878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CB543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设备名称</w:t>
            </w:r>
          </w:p>
        </w:tc>
        <w:tc>
          <w:tcPr>
            <w:tcW w:w="1594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3A28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主要参数</w:t>
            </w:r>
          </w:p>
        </w:tc>
        <w:tc>
          <w:tcPr>
            <w:tcW w:w="564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91ABF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数量</w:t>
            </w:r>
          </w:p>
        </w:tc>
        <w:tc>
          <w:tcPr>
            <w:tcW w:w="564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DA0C5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单位</w:t>
            </w:r>
          </w:p>
        </w:tc>
        <w:tc>
          <w:tcPr>
            <w:tcW w:w="833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1F96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备注</w:t>
            </w:r>
          </w:p>
        </w:tc>
      </w:tr>
      <w:tr w14:paraId="78825CE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908C4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1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7B9C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低温风冷热泵机组</w:t>
            </w:r>
          </w:p>
        </w:tc>
        <w:tc>
          <w:tcPr>
            <w:tcW w:w="1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DA32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≥75kW/80KW（制冷／制热）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D55B4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CF49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台</w:t>
            </w:r>
          </w:p>
        </w:tc>
        <w:tc>
          <w:tcPr>
            <w:tcW w:w="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32C2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全变频一级能效</w:t>
            </w:r>
          </w:p>
        </w:tc>
      </w:tr>
      <w:tr w14:paraId="72F7981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31494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2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1AB1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射流机组</w:t>
            </w:r>
          </w:p>
        </w:tc>
        <w:tc>
          <w:tcPr>
            <w:tcW w:w="1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1ABA1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风量≥5000m³/h、冷量≥34kW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D5672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5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B171F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台</w:t>
            </w:r>
          </w:p>
        </w:tc>
        <w:tc>
          <w:tcPr>
            <w:tcW w:w="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C3963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立式吊装，EC风机，节能省空间</w:t>
            </w:r>
          </w:p>
        </w:tc>
      </w:tr>
      <w:tr w14:paraId="05067C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B2B6C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3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B84BB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集中控制器</w:t>
            </w:r>
          </w:p>
        </w:tc>
        <w:tc>
          <w:tcPr>
            <w:tcW w:w="1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0756A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统一控制启停及风量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E5340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27B1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套</w:t>
            </w:r>
          </w:p>
        </w:tc>
        <w:tc>
          <w:tcPr>
            <w:tcW w:w="8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28C41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含控制系统</w:t>
            </w:r>
          </w:p>
        </w:tc>
      </w:tr>
      <w:tr w14:paraId="2096738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B5358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4</w:t>
            </w:r>
          </w:p>
        </w:tc>
        <w:tc>
          <w:tcPr>
            <w:tcW w:w="878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8E6B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水系统附件</w:t>
            </w:r>
          </w:p>
        </w:tc>
        <w:tc>
          <w:tcPr>
            <w:tcW w:w="159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868F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循环泵、膨胀罐、阀门、管路等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D8C7D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DABEA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套</w:t>
            </w:r>
          </w:p>
        </w:tc>
        <w:tc>
          <w:tcPr>
            <w:tcW w:w="833" w:type="pc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AB398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按设计配置深化提供</w:t>
            </w:r>
          </w:p>
        </w:tc>
      </w:tr>
      <w:bookmarkEnd w:id="0"/>
    </w:tbl>
    <w:p w14:paraId="15B28EAE">
      <w:pPr>
        <w:pStyle w:val="4"/>
        <w:jc w:val="both"/>
      </w:pPr>
      <w:r>
        <w:rPr>
          <w:rFonts w:ascii="仿宋_GB2312" w:hAnsi="仿宋_GB2312" w:eastAsia="仿宋_GB2312" w:cs="仿宋_GB2312"/>
        </w:rPr>
        <w:t>6  系统运行模式与节能分析</w:t>
      </w:r>
    </w:p>
    <w:p w14:paraId="77F7728F">
      <w:pPr>
        <w:pStyle w:val="4"/>
        <w:jc w:val="both"/>
      </w:pPr>
      <w:r>
        <w:rPr>
          <w:rFonts w:ascii="仿宋_GB2312" w:hAnsi="仿宋_GB2312" w:eastAsia="仿宋_GB2312" w:cs="仿宋_GB2312"/>
        </w:rPr>
        <w:t>6.1  系统运行模式</w:t>
      </w:r>
    </w:p>
    <w:p w14:paraId="71D2ADA9">
      <w:pPr>
        <w:pStyle w:val="4"/>
        <w:jc w:val="both"/>
      </w:pPr>
      <w:r>
        <w:rPr>
          <w:rFonts w:ascii="仿宋_GB2312" w:hAnsi="仿宋_GB2312" w:eastAsia="仿宋_GB2312" w:cs="仿宋_GB2312"/>
        </w:rPr>
        <w:t>（1）夏季制冷模式：热泵机组制冷运行，向射流机组提供冷冻水，射流机组向室内送冷风，新风与回风混合后降温除湿送入室内；</w:t>
      </w:r>
    </w:p>
    <w:p w14:paraId="3F1231D8">
      <w:pPr>
        <w:pStyle w:val="4"/>
        <w:jc w:val="both"/>
      </w:pPr>
      <w:r>
        <w:rPr>
          <w:rFonts w:ascii="仿宋_GB2312" w:hAnsi="仿宋_GB2312" w:eastAsia="仿宋_GB2312" w:cs="仿宋_GB2312"/>
        </w:rPr>
        <w:t>（2）冬季制热模式：热泵机组制热运行，向射流机组提供热水，射流机组向室内送热风，快速消除高大空间温度分层，保证人员活动区温度；</w:t>
      </w:r>
    </w:p>
    <w:p w14:paraId="5BAEF976">
      <w:pPr>
        <w:pStyle w:val="4"/>
        <w:jc w:val="both"/>
      </w:pPr>
      <w:r>
        <w:rPr>
          <w:rFonts w:ascii="仿宋_GB2312" w:hAnsi="仿宋_GB2312" w:eastAsia="仿宋_GB2312" w:cs="仿宋_GB2312"/>
        </w:rPr>
        <w:t>（3）过渡季模式：负荷较小时，主机低频运行或单机运行，末端风机低转速运行，满足基本新风与换气需求；</w:t>
      </w:r>
    </w:p>
    <w:p w14:paraId="2BCF8EDE">
      <w:pPr>
        <w:pStyle w:val="4"/>
        <w:jc w:val="both"/>
      </w:pPr>
      <w:r>
        <w:rPr>
          <w:rFonts w:ascii="仿宋_GB2312" w:hAnsi="仿宋_GB2312" w:eastAsia="仿宋_GB2312" w:cs="仿宋_GB2312"/>
        </w:rPr>
        <w:t>（4）新风运行：系统全年按设计新风比运行，保证室内空气新鲜度。</w:t>
      </w:r>
    </w:p>
    <w:p w14:paraId="3D86AE0B">
      <w:pPr>
        <w:pStyle w:val="4"/>
        <w:jc w:val="both"/>
      </w:pPr>
      <w:r>
        <w:rPr>
          <w:rFonts w:ascii="仿宋_GB2312" w:hAnsi="仿宋_GB2312" w:eastAsia="仿宋_GB2312" w:cs="仿宋_GB2312"/>
        </w:rPr>
        <w:t>6.2  节能性分析</w:t>
      </w:r>
    </w:p>
    <w:p w14:paraId="7DD4B8EA">
      <w:pPr>
        <w:pStyle w:val="4"/>
        <w:jc w:val="both"/>
      </w:pPr>
      <w:r>
        <w:rPr>
          <w:rFonts w:ascii="仿宋_GB2312" w:hAnsi="仿宋_GB2312" w:eastAsia="仿宋_GB2312" w:cs="仿宋_GB2312"/>
        </w:rPr>
        <w:t>（1）全变频节能：主机与末端风机均采用全变频技术，负荷变化时自动调节输出，避免“大马拉小车”，部分负荷能效显著高于定频系统；</w:t>
      </w:r>
    </w:p>
    <w:p w14:paraId="6E63EED4">
      <w:pPr>
        <w:pStyle w:val="4"/>
        <w:jc w:val="both"/>
      </w:pPr>
      <w:r>
        <w:rPr>
          <w:rFonts w:ascii="仿宋_GB2312" w:hAnsi="仿宋_GB2312" w:eastAsia="仿宋_GB2312" w:cs="仿宋_GB2312"/>
        </w:rPr>
        <w:t>（2）射流送风节能：射流机组无风管远距离送风，减少风管输送过程中的冷热损失与风机压头损耗，输送能耗低；</w:t>
      </w:r>
    </w:p>
    <w:p w14:paraId="7C08780F">
      <w:pPr>
        <w:pStyle w:val="4"/>
        <w:jc w:val="both"/>
      </w:pPr>
      <w:r>
        <w:rPr>
          <w:rFonts w:ascii="仿宋_GB2312" w:hAnsi="仿宋_GB2312" w:eastAsia="仿宋_GB2312" w:cs="仿宋_GB2312"/>
        </w:rPr>
        <w:t>（3）低温热泵高效节能：低温风冷热泵机组在西安寒冷地区冬季制热工况下性能系数高，较电加热等方案大幅降低运行费用；</w:t>
      </w:r>
    </w:p>
    <w:p w14:paraId="4F9E8C44">
      <w:pPr>
        <w:pStyle w:val="4"/>
        <w:jc w:val="both"/>
      </w:pPr>
      <w:r>
        <w:rPr>
          <w:rFonts w:ascii="仿宋_GB2312" w:hAnsi="仿宋_GB2312" w:eastAsia="仿宋_GB2312" w:cs="仿宋_GB2312"/>
        </w:rPr>
        <w:t>（4）集中控制节能：通过统一控制器按需调节风量与启停，避免无效运行，实现精细化节能管理。</w:t>
      </w:r>
    </w:p>
    <w:p w14:paraId="04305DE4">
      <w:pPr>
        <w:pStyle w:val="4"/>
        <w:jc w:val="both"/>
      </w:pPr>
      <w:r>
        <w:rPr>
          <w:rFonts w:ascii="仿宋_GB2312" w:hAnsi="仿宋_GB2312" w:eastAsia="仿宋_GB2312" w:cs="仿宋_GB2312"/>
        </w:rPr>
        <w:t>7  施工安装要点</w:t>
      </w:r>
    </w:p>
    <w:p w14:paraId="6B392A75">
      <w:pPr>
        <w:pStyle w:val="4"/>
        <w:jc w:val="both"/>
      </w:pPr>
      <w:r>
        <w:rPr>
          <w:rFonts w:ascii="仿宋_GB2312" w:hAnsi="仿宋_GB2312" w:eastAsia="仿宋_GB2312" w:cs="仿宋_GB2312"/>
        </w:rPr>
        <w:t>7.1  主机安装要点</w:t>
      </w:r>
    </w:p>
    <w:p w14:paraId="7762DB64">
      <w:pPr>
        <w:pStyle w:val="4"/>
        <w:jc w:val="both"/>
      </w:pPr>
      <w:r>
        <w:rPr>
          <w:rFonts w:ascii="仿宋_GB2312" w:hAnsi="仿宋_GB2312" w:eastAsia="仿宋_GB2312" w:cs="仿宋_GB2312"/>
        </w:rPr>
        <w:t>（1）机组应安装在通风良好、承重满足要求的基础或平台上，基础高度应满足排水与防冻要求；</w:t>
      </w:r>
    </w:p>
    <w:p w14:paraId="47DC66BC">
      <w:pPr>
        <w:pStyle w:val="4"/>
        <w:jc w:val="both"/>
      </w:pPr>
      <w:r>
        <w:rPr>
          <w:rFonts w:ascii="仿宋_GB2312" w:hAnsi="仿宋_GB2312" w:eastAsia="仿宋_GB2312" w:cs="仿宋_GB2312"/>
        </w:rPr>
        <w:t>（2）机组四周应留足检修与散热空间，进排风不得短路；</w:t>
      </w:r>
    </w:p>
    <w:p w14:paraId="455AB5B4">
      <w:pPr>
        <w:pStyle w:val="4"/>
        <w:jc w:val="both"/>
      </w:pPr>
      <w:r>
        <w:rPr>
          <w:rFonts w:ascii="仿宋_GB2312" w:hAnsi="仿宋_GB2312" w:eastAsia="仿宋_GB2312" w:cs="仿宋_GB2312"/>
        </w:rPr>
        <w:t>（3）机组基础应设减振措施，并注意与周边建筑的噪音控制；</w:t>
      </w:r>
    </w:p>
    <w:p w14:paraId="2D486595">
      <w:pPr>
        <w:pStyle w:val="4"/>
        <w:jc w:val="both"/>
      </w:pPr>
      <w:r>
        <w:rPr>
          <w:rFonts w:ascii="仿宋_GB2312" w:hAnsi="仿宋_GB2312" w:eastAsia="仿宋_GB2312" w:cs="仿宋_GB2312"/>
        </w:rPr>
        <w:t>（4）水系统应设防冻、过滤、排气、排污及检修阀门。</w:t>
      </w:r>
    </w:p>
    <w:p w14:paraId="79BA1EEB">
      <w:pPr>
        <w:pStyle w:val="4"/>
        <w:jc w:val="both"/>
      </w:pPr>
      <w:r>
        <w:rPr>
          <w:rFonts w:ascii="仿宋_GB2312" w:hAnsi="仿宋_GB2312" w:eastAsia="仿宋_GB2312" w:cs="仿宋_GB2312"/>
        </w:rPr>
        <w:t>7.2  射流机组吊装要点</w:t>
      </w:r>
    </w:p>
    <w:p w14:paraId="4B59C753">
      <w:pPr>
        <w:pStyle w:val="4"/>
        <w:jc w:val="both"/>
      </w:pPr>
      <w:r>
        <w:rPr>
          <w:rFonts w:ascii="仿宋_GB2312" w:hAnsi="仿宋_GB2312" w:eastAsia="仿宋_GB2312" w:cs="仿宋_GB2312"/>
        </w:rPr>
        <w:t>（1）机组立式吊装于4m~5m高侧墙，吊架应满足机组重量要求，采用防松、防振连接；</w:t>
      </w:r>
    </w:p>
    <w:p w14:paraId="1E73BBB7">
      <w:pPr>
        <w:pStyle w:val="4"/>
        <w:jc w:val="both"/>
      </w:pPr>
      <w:r>
        <w:rPr>
          <w:rFonts w:ascii="仿宋_GB2312" w:hAnsi="仿宋_GB2312" w:eastAsia="仿宋_GB2312" w:cs="仿宋_GB2312"/>
        </w:rPr>
        <w:t>（2）吊装位置应保证射流送风覆盖训练活动区域，避免送风死角；</w:t>
      </w:r>
    </w:p>
    <w:p w14:paraId="7DF9EBF1">
      <w:pPr>
        <w:pStyle w:val="4"/>
        <w:jc w:val="both"/>
      </w:pPr>
      <w:r>
        <w:rPr>
          <w:rFonts w:ascii="仿宋_GB2312" w:hAnsi="仿宋_GB2312" w:eastAsia="仿宋_GB2312" w:cs="仿宋_GB2312"/>
        </w:rPr>
        <w:t>（3）机组与墙体、吊架之间应有减振处理，控制运行噪音；</w:t>
      </w:r>
    </w:p>
    <w:p w14:paraId="711B7775">
      <w:pPr>
        <w:pStyle w:val="4"/>
        <w:jc w:val="both"/>
      </w:pPr>
      <w:r>
        <w:rPr>
          <w:rFonts w:ascii="仿宋_GB2312" w:hAnsi="仿宋_GB2312" w:eastAsia="仿宋_GB2312" w:cs="仿宋_GB2312"/>
        </w:rPr>
        <w:t>（4）安装高度与水平度应符合设备技术要求，便于后期检修。</w:t>
      </w:r>
    </w:p>
    <w:p w14:paraId="0E9437BA">
      <w:pPr>
        <w:pStyle w:val="4"/>
        <w:jc w:val="both"/>
      </w:pPr>
      <w:r>
        <w:rPr>
          <w:rFonts w:ascii="仿宋_GB2312" w:hAnsi="仿宋_GB2312" w:eastAsia="仿宋_GB2312" w:cs="仿宋_GB2312"/>
        </w:rPr>
        <w:t>7.3  新风引入口施工要点</w:t>
      </w:r>
    </w:p>
    <w:p w14:paraId="0DD83BC8">
      <w:pPr>
        <w:pStyle w:val="4"/>
        <w:jc w:val="both"/>
      </w:pPr>
      <w:r>
        <w:rPr>
          <w:rFonts w:ascii="仿宋_GB2312" w:hAnsi="仿宋_GB2312" w:eastAsia="仿宋_GB2312" w:cs="仿宋_GB2312"/>
        </w:rPr>
        <w:t>（1）墙体开孔位置应结合机组回风口位置确定，开孔尺寸按新风量计算确定，并满足结构安全要求；</w:t>
      </w:r>
    </w:p>
    <w:p w14:paraId="68728140">
      <w:pPr>
        <w:pStyle w:val="4"/>
        <w:jc w:val="both"/>
      </w:pPr>
      <w:r>
        <w:rPr>
          <w:rFonts w:ascii="仿宋_GB2312" w:hAnsi="仿宋_GB2312" w:eastAsia="仿宋_GB2312" w:cs="仿宋_GB2312"/>
        </w:rPr>
        <w:t>（2）新风引入口应设防雨百叶、过滤网，防止雨水与杂物进入；</w:t>
      </w:r>
    </w:p>
    <w:p w14:paraId="233D4F65">
      <w:pPr>
        <w:pStyle w:val="4"/>
        <w:jc w:val="both"/>
      </w:pPr>
      <w:r>
        <w:rPr>
          <w:rFonts w:ascii="仿宋_GB2312" w:hAnsi="仿宋_GB2312" w:eastAsia="仿宋_GB2312" w:cs="仿宋_GB2312"/>
        </w:rPr>
        <w:t>（3）新风引入管与墙体之间应做好防水与密封处理；</w:t>
      </w:r>
    </w:p>
    <w:p w14:paraId="79A28856">
      <w:pPr>
        <w:pStyle w:val="4"/>
        <w:jc w:val="both"/>
      </w:pPr>
      <w:r>
        <w:rPr>
          <w:rFonts w:ascii="仿宋_GB2312" w:hAnsi="仿宋_GB2312" w:eastAsia="仿宋_GB2312" w:cs="仿宋_GB2312"/>
        </w:rPr>
        <w:t>（4）开孔施工应避免破坏墙体结构受力部位，必要时进行结构加固。</w:t>
      </w:r>
    </w:p>
    <w:p w14:paraId="7C82814D">
      <w:pPr>
        <w:pStyle w:val="4"/>
        <w:jc w:val="both"/>
      </w:pPr>
      <w:r>
        <w:rPr>
          <w:rFonts w:ascii="仿宋_GB2312" w:hAnsi="仿宋_GB2312" w:eastAsia="仿宋_GB2312" w:cs="仿宋_GB2312"/>
        </w:rPr>
        <w:t>7.4  水系统与保温</w:t>
      </w:r>
    </w:p>
    <w:p w14:paraId="7E297D9E">
      <w:pPr>
        <w:pStyle w:val="4"/>
        <w:jc w:val="both"/>
      </w:pPr>
      <w:r>
        <w:rPr>
          <w:rFonts w:ascii="仿宋_GB2312" w:hAnsi="仿宋_GB2312" w:eastAsia="仿宋_GB2312" w:cs="仿宋_GB2312"/>
        </w:rPr>
        <w:t>（1）冷冻水／热水管路应按设计坡度敷设，高点排气、低点排水；</w:t>
      </w:r>
    </w:p>
    <w:p w14:paraId="5EE9E0CC">
      <w:pPr>
        <w:pStyle w:val="4"/>
        <w:jc w:val="both"/>
      </w:pPr>
      <w:r>
        <w:rPr>
          <w:rFonts w:ascii="仿宋_GB2312" w:hAnsi="仿宋_GB2312" w:eastAsia="仿宋_GB2312" w:cs="仿宋_GB2312"/>
        </w:rPr>
        <w:t>（2）管路穿越墙体、楼板处应设套管，并做好密封；</w:t>
      </w:r>
    </w:p>
    <w:p w14:paraId="656369F8">
      <w:pPr>
        <w:pStyle w:val="4"/>
        <w:jc w:val="both"/>
      </w:pPr>
      <w:r>
        <w:rPr>
          <w:rFonts w:ascii="仿宋_GB2312" w:hAnsi="仿宋_GB2312" w:eastAsia="仿宋_GB2312" w:cs="仿宋_GB2312"/>
        </w:rPr>
        <w:t>（3）冷冻水管道、新风管及机组壳体应按规范做好保温防结露处理；</w:t>
      </w:r>
    </w:p>
    <w:p w14:paraId="1847B6DF">
      <w:pPr>
        <w:pStyle w:val="4"/>
        <w:jc w:val="both"/>
      </w:pPr>
      <w:r>
        <w:rPr>
          <w:rFonts w:ascii="仿宋_GB2312" w:hAnsi="仿宋_GB2312" w:eastAsia="仿宋_GB2312" w:cs="仿宋_GB2312"/>
        </w:rPr>
        <w:t>（4）水系统安装完成后应进行水压试验与冲洗。</w:t>
      </w:r>
    </w:p>
    <w:p w14:paraId="1CE5D3DE">
      <w:pPr>
        <w:pStyle w:val="4"/>
        <w:jc w:val="both"/>
      </w:pPr>
      <w:r>
        <w:rPr>
          <w:rFonts w:ascii="仿宋_GB2312" w:hAnsi="仿宋_GB2312" w:eastAsia="仿宋_GB2312" w:cs="仿宋_GB2312"/>
        </w:rPr>
        <w:t>7.5  电气与自控安装</w:t>
      </w:r>
    </w:p>
    <w:p w14:paraId="35637249">
      <w:pPr>
        <w:pStyle w:val="4"/>
        <w:jc w:val="both"/>
      </w:pPr>
      <w:r>
        <w:rPr>
          <w:rFonts w:ascii="仿宋_GB2312" w:hAnsi="仿宋_GB2312" w:eastAsia="仿宋_GB2312" w:cs="仿宋_GB2312"/>
        </w:rPr>
        <w:t>（1）主机、末端机组及控制器的供电、控制线路应按设计敷设，接地可靠；</w:t>
      </w:r>
    </w:p>
    <w:p w14:paraId="5B4FCA4C">
      <w:pPr>
        <w:pStyle w:val="4"/>
        <w:jc w:val="both"/>
      </w:pPr>
      <w:r>
        <w:rPr>
          <w:rFonts w:ascii="仿宋_GB2312" w:hAnsi="仿宋_GB2312" w:eastAsia="仿宋_GB2312" w:cs="仿宋_GB2312"/>
        </w:rPr>
        <w:t>（2）集中控制器安装位置应便于操作，线路应做好标识；</w:t>
      </w:r>
    </w:p>
    <w:p w14:paraId="1ED81A15">
      <w:pPr>
        <w:pStyle w:val="4"/>
        <w:jc w:val="both"/>
      </w:pPr>
      <w:r>
        <w:rPr>
          <w:rFonts w:ascii="仿宋_GB2312" w:hAnsi="仿宋_GB2312" w:eastAsia="仿宋_GB2312" w:cs="仿宋_GB2312"/>
        </w:rPr>
        <w:t>（3）系统调试应包括主机试运行、末端单机调试、联动调试与风量平衡调试。</w:t>
      </w:r>
    </w:p>
    <w:p w14:paraId="1B5EA8C8">
      <w:pPr>
        <w:pStyle w:val="4"/>
        <w:jc w:val="both"/>
      </w:pPr>
      <w:r>
        <w:rPr>
          <w:rFonts w:ascii="仿宋_GB2312" w:hAnsi="仿宋_GB2312" w:eastAsia="仿宋_GB2312" w:cs="仿宋_GB2312"/>
        </w:rPr>
        <w:t>7.6  安装：需要由具备建筑机电安装工程专业资质的单位承接（可以是投标人本身，也可委托第三方安装）。</w:t>
      </w:r>
    </w:p>
    <w:p w14:paraId="2504C70D">
      <w:pPr>
        <w:pStyle w:val="4"/>
        <w:jc w:val="both"/>
      </w:pPr>
      <w:r>
        <w:rPr>
          <w:rFonts w:ascii="仿宋_GB2312" w:hAnsi="仿宋_GB2312" w:eastAsia="仿宋_GB2312" w:cs="仿宋_GB2312"/>
        </w:rPr>
        <w:t>8  商务要求</w:t>
      </w:r>
    </w:p>
    <w:p w14:paraId="0114BCD1">
      <w:pPr>
        <w:pStyle w:val="4"/>
        <w:jc w:val="both"/>
      </w:pPr>
      <w:r>
        <w:rPr>
          <w:rFonts w:ascii="仿宋_GB2312" w:hAnsi="仿宋_GB2312" w:eastAsia="仿宋_GB2312" w:cs="仿宋_GB2312"/>
        </w:rPr>
        <w:t>8.1 质保期：2年</w:t>
      </w:r>
    </w:p>
    <w:p w14:paraId="1986E9CC">
      <w:r>
        <w:rPr>
          <w:rFonts w:ascii="仿宋_GB2312" w:hAnsi="仿宋_GB2312" w:eastAsia="仿宋_GB2312" w:cs="仿宋_GB2312"/>
        </w:rPr>
        <w:t>8.2 付款方式：合同签订之日起5个工作日内，支付合同价款的40%作为预付款。货到现场、安装调试完成并经验收合格后10个工作日内，甲方凭《终验合格单》支付至合同总金额的100.0%，乙方应在收取每笔款项前开具等额合法有效票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455D38"/>
    <w:rsid w:val="6345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2026-10-09T12:19:00Z</dcterms:created>
  <dc:creator>叶子</dc:creator>
  <cp:lastModifiedBy>叶子</cp:lastModifiedBy>
  <dcterms:modified xsi:type="dcterms:W3CDTF">2026-10-09T12:19:50Z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690B4C48BCE648D296534B1E73F42591_11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