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版本号：SZT2026-SN-QC-ZC-FW-0659.20260707001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西安市长安区2026年城市体检评估工作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SZT2026-SN-QC-ZC-FW-0659.</w:t>
      </w:r>
      <w:r>
        <w:br/>
      </w:r>
      <w:r>
        <w:br/>
      </w:r>
      <w:r>
        <w:br/>
      </w:r>
    </w:p>
    <w:p>
      <w:pPr>
        <w:pStyle w:val="null3"/>
        <w:jc w:val="center"/>
        <w:outlineLvl w:val="2"/>
      </w:pPr>
      <w:r>
        <w:rPr>
          <w:rFonts w:ascii="仿宋_GB2312" w:hAnsi="仿宋_GB2312" w:cs="仿宋_GB2312" w:eastAsia="仿宋_GB2312"/>
          <w:sz w:val="28"/>
          <w:b/>
        </w:rPr>
        <w:t>西安市长安区住房和城乡建设局</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西安市长安区住房和城乡建设局</w:t>
      </w:r>
      <w:r>
        <w:rPr>
          <w:rFonts w:ascii="仿宋_GB2312" w:hAnsi="仿宋_GB2312" w:cs="仿宋_GB2312" w:eastAsia="仿宋_GB2312"/>
        </w:rPr>
        <w:t>委托，拟对</w:t>
      </w:r>
      <w:r>
        <w:rPr>
          <w:rFonts w:ascii="仿宋_GB2312" w:hAnsi="仿宋_GB2312" w:cs="仿宋_GB2312" w:eastAsia="仿宋_GB2312"/>
        </w:rPr>
        <w:t>西安市长安区2026年城市体检评估工作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SZT2026-SN-QC-ZC-FW-0659.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西安市长安区2026年城市体检评估工作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长安区统筹推进 2026 年度区级城市综合体检与完整社区专项体检及城市体检更新基础数据建库工作。 一是扎实开展区级城市综合体检工作和完整社区专项体检。综合体检围绕住房、社区（小区）、街区、城区四大维度，优化完善区级城市体检指标体系；完整社区专项体检对照陕西省完整社区建设标准，搭建涵盖基本公共服务、便民商业、公共活动空间、市政配套、物业管理、社区治理六大板块指标体系。两项体检同步开展数据采集与城市体检主题宣传工作，依托采集数据开展全区问题深度研判与完整社区专项问题剖析，精准梳理制约城市竞争力、综合承载力、可持续发展的薄弱环节，以及群众急难愁盼的突出民生短板。综合体检形成问题清单、整治提升建议清单；完整社区专项体检形成社区问题、需求、资源三张清单，编制完成《长安区 2026 年城市体检和完整社区专项体检报告》。 二是推进城市体检基础数据建库。统筹汇聚全域基础空间信息，构建覆盖辖区、标准统一、动态更新的城市体检基础数据库，为城市精细化治理、区域高质量发展、城市更新项目谋划实施提供坚实的数据支撑。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1、供应商资质：供应商具有有效的城乡规划（国土空间规划）编制乙级及以上（含乙级）资质证书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西安市长安区西部大道999号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029-85290952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郝娜娜、杨艳、李毓菲、陈先德、马帅、赵倩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成交公告发出后向采购代理机构支付招标代理服务费。招标代理服务费的收取按照国家计委颁布的《招标代理服务收费管理暂行办法》（计价格[2002]1980号）和（发改办价格[2003]857号）中收费标准收取。在领取成交通知书时向采购代理机构一次性交纳。 开户名称：陕西中技招标有限公司 开户银行：招商银行西安分行营业部 银行账号：1299 1681 2810 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西安市长安区住房和城乡建设局</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向采购人提交完整的成果资料，由采购人组织专家开展评审，经专家评审合格、采购人复核确认并出具验收意见后，视为项目验收通过。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长安区统筹推进 2026 年度区级城市综合体检与完整社区专项体检及城市体检更新基础数据建库工作。 一是扎实开展区级城市综合体检工作和完整社区专项体检。综合体检围绕住房、社区（小区）、街区、城区四大维度，优化完善区级城市体检指标体系；完整社区专项体检对照陕西省完整社区建设标准，搭建涵盖基本公共服务、便民商业、公共活动空间、市政配套、物业管理、社区治理六大板块指标体系。两项体检同步开展数据采集与城市体检主题宣传工作，依托采集数据开展全区问题深度研判与完整社区专项问题剖析，精准梳理制约城市竞争力、综合承载力、可持续发展的薄弱环节，以及群众急难愁盼的突出民生短板。综合体检形成问题清单、整治提升建议清单；完整社区专项体检形成社区问题、需求、资源三张清单，编制完成《长安区 2026 年城市体检和完整社区专项体检报告》。 二是推进城市体检基础数据建库。统筹汇聚全域基础空间信息，构建覆盖辖区、标准统一、动态更新的城市体检基础数据库，为城市精细化治理、区域高质量发展、城市更新项目谋划实施提供坚实的数据支撑。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西安市长安区2026年城市体检评估工作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标的名称：西安市长安区2026年城市体检评估工作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长安区统筹推进</w:t>
            </w:r>
            <w:r>
              <w:rPr>
                <w:rFonts w:ascii="仿宋_GB2312" w:hAnsi="仿宋_GB2312" w:cs="仿宋_GB2312" w:eastAsia="仿宋_GB2312"/>
                <w:sz w:val="21"/>
              </w:rPr>
              <w:t>2026 年度区级城市综合体检与完整社区专项体检及城市体检更新基础数据建库工作。</w:t>
            </w:r>
          </w:p>
          <w:p>
            <w:pPr>
              <w:pStyle w:val="null3"/>
              <w:ind w:firstLine="420"/>
              <w:jc w:val="both"/>
            </w:pPr>
            <w:r>
              <w:rPr>
                <w:rFonts w:ascii="仿宋_GB2312" w:hAnsi="仿宋_GB2312" w:cs="仿宋_GB2312" w:eastAsia="仿宋_GB2312"/>
                <w:sz w:val="21"/>
              </w:rPr>
              <w:t>一是扎实开展区级城市综合体检工作和完整社区专项体检。综合体检围绕住房、社区（小区）、街区、城区四大维度，优化完善区级城市体检指标体系；</w:t>
            </w:r>
            <w:r>
              <w:rPr>
                <w:rFonts w:ascii="仿宋_GB2312" w:hAnsi="仿宋_GB2312" w:cs="仿宋_GB2312" w:eastAsia="仿宋_GB2312"/>
                <w:sz w:val="21"/>
              </w:rPr>
              <w:t>完整社区专项体检对照陕西省完整社区建设标准，搭建涵盖基本公共服务、便民商业、公共活动空间、市政配套、物业管理、社区治理六大板块</w:t>
            </w:r>
            <w:r>
              <w:rPr>
                <w:rFonts w:ascii="仿宋_GB2312" w:hAnsi="仿宋_GB2312" w:cs="仿宋_GB2312" w:eastAsia="仿宋_GB2312"/>
                <w:sz w:val="21"/>
              </w:rPr>
              <w:t>指标体系。两项体检同步开展数据采集与城市体检主题宣传工作，依托采集数据开展全区问题深度研判与完整社区专项问题剖析，精准梳理制约城市竞争力、综合承载力、可持续发展的薄弱环节，以及群众急难愁盼的突出民生短板。综合体检形成问题清单、整治提升建议清单；完整社区专项体检形成</w:t>
            </w:r>
            <w:r>
              <w:rPr>
                <w:rFonts w:ascii="仿宋_GB2312" w:hAnsi="仿宋_GB2312" w:cs="仿宋_GB2312" w:eastAsia="仿宋_GB2312"/>
                <w:sz w:val="21"/>
              </w:rPr>
              <w:t>社区问题、需求、资源三张清单</w:t>
            </w:r>
            <w:r>
              <w:rPr>
                <w:rFonts w:ascii="仿宋_GB2312" w:hAnsi="仿宋_GB2312" w:cs="仿宋_GB2312" w:eastAsia="仿宋_GB2312"/>
                <w:sz w:val="21"/>
              </w:rPr>
              <w:t>，编制完成《长安区</w:t>
            </w:r>
            <w:r>
              <w:rPr>
                <w:rFonts w:ascii="仿宋_GB2312" w:hAnsi="仿宋_GB2312" w:cs="仿宋_GB2312" w:eastAsia="仿宋_GB2312"/>
                <w:sz w:val="21"/>
              </w:rPr>
              <w:t>2026 年城市体检和完整社区专项体检报告》。</w:t>
            </w:r>
          </w:p>
          <w:p>
            <w:pPr>
              <w:pStyle w:val="null3"/>
              <w:ind w:firstLine="420"/>
              <w:jc w:val="both"/>
            </w:pPr>
            <w:r>
              <w:rPr>
                <w:rFonts w:ascii="仿宋_GB2312" w:hAnsi="仿宋_GB2312" w:cs="仿宋_GB2312" w:eastAsia="仿宋_GB2312"/>
                <w:sz w:val="21"/>
              </w:rPr>
              <w:t>二是推进城市体检基础数据建库。统筹汇聚全域基础空间信息，构建覆盖辖区、标准统一、动态更新的城市体检基础数据库，为城市精细化治理、区域高质量发展、城市更新项目谋划实施提供坚实的数据支撑。</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（一）区级城市综合体检及完整社区专项体检</w:t>
            </w:r>
          </w:p>
          <w:p>
            <w:pPr>
              <w:pStyle w:val="null3"/>
              <w:ind w:firstLine="420"/>
              <w:jc w:val="both"/>
            </w:pPr>
            <w:r>
              <w:rPr>
                <w:rFonts w:ascii="仿宋_GB2312" w:hAnsi="仿宋_GB2312" w:cs="仿宋_GB2312" w:eastAsia="仿宋_GB2312"/>
                <w:sz w:val="21"/>
              </w:rPr>
              <w:t>1.体检范围及对象</w:t>
            </w:r>
          </w:p>
          <w:p>
            <w:pPr>
              <w:pStyle w:val="null3"/>
              <w:ind w:firstLine="420"/>
              <w:jc w:val="both"/>
            </w:pPr>
            <w:r>
              <w:rPr>
                <w:rFonts w:ascii="仿宋_GB2312" w:hAnsi="仿宋_GB2312" w:cs="仿宋_GB2312" w:eastAsia="仿宋_GB2312"/>
                <w:sz w:val="21"/>
              </w:rPr>
              <w:t>长安区城市综合体检包含住房、社区（小区）、街区、城区（城市）四个维度，体检范围为长安区自管区；体检对象包括建成区范围内的全部城镇居住建筑、全部社区（小区）和街道；</w:t>
            </w:r>
          </w:p>
          <w:p>
            <w:pPr>
              <w:pStyle w:val="null3"/>
              <w:ind w:firstLine="420"/>
              <w:jc w:val="both"/>
            </w:pPr>
            <w:r>
              <w:rPr>
                <w:rFonts w:ascii="仿宋_GB2312" w:hAnsi="仿宋_GB2312" w:cs="仿宋_GB2312" w:eastAsia="仿宋_GB2312"/>
                <w:sz w:val="21"/>
              </w:rPr>
              <w:t>完整社区专项体检全域初步摸排范围为全部社区，深入体检范围为通过全域初步摸排后筛选的</w:t>
            </w:r>
            <w:r>
              <w:rPr>
                <w:rFonts w:ascii="仿宋_GB2312" w:hAnsi="仿宋_GB2312" w:cs="仿宋_GB2312" w:eastAsia="仿宋_GB2312"/>
                <w:sz w:val="21"/>
              </w:rPr>
              <w:t>3-5个社区。</w:t>
            </w:r>
          </w:p>
          <w:p>
            <w:pPr>
              <w:pStyle w:val="null3"/>
              <w:ind w:firstLine="420"/>
              <w:jc w:val="both"/>
            </w:pPr>
            <w:r>
              <w:rPr>
                <w:rFonts w:ascii="仿宋_GB2312" w:hAnsi="仿宋_GB2312" w:cs="仿宋_GB2312" w:eastAsia="仿宋_GB2312"/>
                <w:sz w:val="21"/>
              </w:rPr>
              <w:t>2.工作内容及要求</w:t>
            </w:r>
          </w:p>
          <w:p>
            <w:pPr>
              <w:pStyle w:val="null3"/>
              <w:ind w:firstLine="420"/>
              <w:jc w:val="both"/>
            </w:pPr>
            <w:r>
              <w:rPr>
                <w:rFonts w:ascii="仿宋_GB2312" w:hAnsi="仿宋_GB2312" w:cs="仿宋_GB2312" w:eastAsia="仿宋_GB2312"/>
                <w:sz w:val="21"/>
              </w:rPr>
              <w:t>2.1制定城市体检评估工作实施方案</w:t>
            </w:r>
          </w:p>
          <w:p>
            <w:pPr>
              <w:pStyle w:val="null3"/>
              <w:ind w:firstLine="420"/>
              <w:jc w:val="both"/>
            </w:pPr>
            <w:r>
              <w:rPr>
                <w:rFonts w:ascii="仿宋_GB2312" w:hAnsi="仿宋_GB2312" w:cs="仿宋_GB2312" w:eastAsia="仿宋_GB2312"/>
                <w:sz w:val="21"/>
              </w:rPr>
              <w:t>明确区级城市综合体检及社区专项体检工作的总体要求、工作目标、体检范围、工作机制、工作任务及重点等；详细制定工作任务与时间安排，对体检指标体系制定、数据采集和上报、城市体检宣传、报告编制、项目库建设等工作明确内容要求、职责分工以及完成时间，确保工作规范有序推进。</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21"/>
              </w:rPr>
              <w:t>构建长安区城市体检指标体系</w:t>
            </w:r>
          </w:p>
          <w:p>
            <w:pPr>
              <w:pStyle w:val="null3"/>
              <w:ind w:firstLine="420"/>
              <w:jc w:val="both"/>
            </w:pPr>
            <w:r>
              <w:rPr>
                <w:rFonts w:ascii="仿宋_GB2312" w:hAnsi="仿宋_GB2312" w:cs="仿宋_GB2312" w:eastAsia="仿宋_GB2312"/>
                <w:sz w:val="21"/>
              </w:rPr>
              <w:t>依据西安市城市综合体检及完整社区专项体检相关文件要求，结合长安区实际及特色，以精准发现问题为导向，为促进城市综合体检与社区专项体检统筹，联动城市更新项目实施，建立城区、街区、社区（小区）、住房四个维度，涵盖生态宜居、历史文化保护利用、安全韧性、智慧高效等几大方面的长安区特色化城市体检指标体系。</w:t>
            </w:r>
          </w:p>
          <w:p>
            <w:pPr>
              <w:pStyle w:val="null3"/>
              <w:ind w:firstLine="420"/>
              <w:jc w:val="left"/>
            </w:pPr>
            <w:r>
              <w:rPr>
                <w:rFonts w:ascii="仿宋_GB2312" w:hAnsi="仿宋_GB2312" w:cs="仿宋_GB2312" w:eastAsia="仿宋_GB2312"/>
                <w:sz w:val="21"/>
              </w:rPr>
              <w:t>2.3开展多渠道数据采集及实地调查</w:t>
            </w:r>
          </w:p>
          <w:p>
            <w:pPr>
              <w:pStyle w:val="null3"/>
              <w:ind w:firstLine="420"/>
              <w:jc w:val="left"/>
            </w:pPr>
            <w:r>
              <w:rPr>
                <w:rFonts w:ascii="仿宋_GB2312" w:hAnsi="仿宋_GB2312" w:cs="仿宋_GB2312" w:eastAsia="仿宋_GB2312"/>
                <w:sz w:val="21"/>
              </w:rPr>
              <w:t>按照指标体系，明确数据来源，统筹收集区级各部门行业专项数据，同步组织各街办、社区利用微信小程序开展街区、社区（小区）、住房维度体检数据采集；开展业务培训指导，并针对填报困难的街区和社区提供一对一指导与辅助填报服务；针对社区专项体检筛选的</w:t>
            </w:r>
            <w:r>
              <w:rPr>
                <w:rFonts w:ascii="仿宋_GB2312" w:hAnsi="仿宋_GB2312" w:cs="仿宋_GB2312" w:eastAsia="仿宋_GB2312"/>
                <w:sz w:val="21"/>
              </w:rPr>
              <w:t>3-5个重点社区进行深入实地调研，收集相关数据资料；融合社会大数据、遥感数据等，实现多源数据整合汇交，夯实城市体检更新数据底座，切实保障体检更新基础数据全面、真实、准确。</w:t>
            </w:r>
          </w:p>
          <w:p>
            <w:pPr>
              <w:pStyle w:val="null3"/>
              <w:ind w:firstLine="420"/>
              <w:jc w:val="left"/>
            </w:pPr>
            <w:r>
              <w:rPr>
                <w:rFonts w:ascii="仿宋_GB2312" w:hAnsi="仿宋_GB2312" w:cs="仿宋_GB2312" w:eastAsia="仿宋_GB2312"/>
                <w:sz w:val="21"/>
              </w:rPr>
              <w:t>2.4编制城市体检报告和完整社区专项体检报告</w:t>
            </w:r>
          </w:p>
          <w:p>
            <w:pPr>
              <w:pStyle w:val="null3"/>
              <w:ind w:firstLine="420"/>
              <w:jc w:val="left"/>
            </w:pPr>
            <w:r>
              <w:rPr>
                <w:rFonts w:ascii="仿宋_GB2312" w:hAnsi="仿宋_GB2312" w:cs="仿宋_GB2312" w:eastAsia="仿宋_GB2312"/>
                <w:sz w:val="21"/>
              </w:rPr>
              <w:t>在数据核算、指标评价、问题短板分析基础上，编制《长安区</w:t>
            </w:r>
            <w:r>
              <w:rPr>
                <w:rFonts w:ascii="仿宋_GB2312" w:hAnsi="仿宋_GB2312" w:cs="仿宋_GB2312" w:eastAsia="仿宋_GB2312"/>
                <w:sz w:val="21"/>
              </w:rPr>
              <w:t>2026年城市体检和完整社区专项体检报告》，结合问题影响范围、整改难易程度、实施落地条件等实际情况，将体检排查发现的各类问题科学划分为限时整改类、尽力解决类，梳理形成问题清单、整治建议清单，为后续问题整改、城市更新提质、精细化管理及项目谋划、实施提供科学依据与行动指引。</w:t>
            </w:r>
          </w:p>
          <w:p>
            <w:pPr>
              <w:pStyle w:val="null3"/>
              <w:ind w:firstLine="420"/>
              <w:jc w:val="left"/>
            </w:pPr>
            <w:r>
              <w:rPr>
                <w:rFonts w:ascii="仿宋_GB2312" w:hAnsi="仿宋_GB2312" w:cs="仿宋_GB2312" w:eastAsia="仿宋_GB2312"/>
                <w:sz w:val="21"/>
              </w:rPr>
              <w:t>2.5开展城市体检宣传</w:t>
            </w:r>
          </w:p>
          <w:p>
            <w:pPr>
              <w:pStyle w:val="null3"/>
              <w:ind w:firstLine="420"/>
              <w:jc w:val="left"/>
            </w:pPr>
            <w:r>
              <w:rPr>
                <w:rFonts w:ascii="仿宋_GB2312" w:hAnsi="仿宋_GB2312" w:cs="仿宋_GB2312" w:eastAsia="仿宋_GB2312"/>
                <w:sz w:val="21"/>
              </w:rPr>
              <w:t>组织开展本区内城市体检宣传活动，内容包括制作宣传物料，借助自媒体、户外视频、电子显示屏、发放宣传册等公共宣传资源开展宣传，吸引社会广大居民参与到城市体检中来。</w:t>
            </w:r>
          </w:p>
          <w:p>
            <w:pPr>
              <w:pStyle w:val="null3"/>
              <w:ind w:firstLine="420"/>
              <w:jc w:val="both"/>
            </w:pPr>
            <w:r>
              <w:rPr>
                <w:rFonts w:ascii="仿宋_GB2312" w:hAnsi="仿宋_GB2312" w:cs="仿宋_GB2312" w:eastAsia="仿宋_GB2312"/>
                <w:sz w:val="21"/>
              </w:rPr>
              <w:t>（二）建立体检更新基础数据库</w:t>
            </w:r>
          </w:p>
          <w:p>
            <w:pPr>
              <w:pStyle w:val="null3"/>
              <w:ind w:firstLine="420"/>
              <w:jc w:val="left"/>
            </w:pPr>
            <w:r>
              <w:rPr>
                <w:rFonts w:ascii="仿宋_GB2312" w:hAnsi="仿宋_GB2312" w:cs="仿宋_GB2312" w:eastAsia="仿宋_GB2312"/>
                <w:sz w:val="21"/>
              </w:rPr>
              <w:t>1.开展房屋数据规整</w:t>
            </w:r>
          </w:p>
          <w:p>
            <w:pPr>
              <w:pStyle w:val="null3"/>
              <w:ind w:firstLine="420"/>
              <w:jc w:val="left"/>
            </w:pPr>
            <w:r>
              <w:rPr>
                <w:rFonts w:ascii="仿宋_GB2312" w:hAnsi="仿宋_GB2312" w:cs="仿宋_GB2312" w:eastAsia="仿宋_GB2312"/>
                <w:sz w:val="21"/>
              </w:rPr>
              <w:t>对长安区现有多版房屋建筑存量数据开展系统性数据治理，针对格式不一、精度各异、信息零散、底数不清等问题，开展标准化处理工作，形成空间数据，实现房屋底数清晰、数据规范统一，按照分级分类原则建立统一管理台账，便于检索查询，为后续多源数据融合汇总、城市精细化管理及相关工作开展筑牢基础支撑。</w:t>
            </w:r>
          </w:p>
          <w:p>
            <w:pPr>
              <w:pStyle w:val="null3"/>
              <w:ind w:firstLine="420"/>
              <w:jc w:val="left"/>
            </w:pPr>
            <w:r>
              <w:rPr>
                <w:rFonts w:ascii="仿宋_GB2312" w:hAnsi="仿宋_GB2312" w:cs="仿宋_GB2312" w:eastAsia="仿宋_GB2312"/>
                <w:sz w:val="21"/>
              </w:rPr>
              <w:t>2.构建城市体检基础数据库</w:t>
            </w:r>
          </w:p>
          <w:p>
            <w:pPr>
              <w:pStyle w:val="null3"/>
              <w:ind w:firstLine="420"/>
              <w:jc w:val="left"/>
            </w:pPr>
            <w:r>
              <w:rPr>
                <w:rFonts w:ascii="仿宋_GB2312" w:hAnsi="仿宋_GB2312" w:cs="仿宋_GB2312" w:eastAsia="仿宋_GB2312"/>
                <w:sz w:val="21"/>
              </w:rPr>
              <w:t>全面汇聚长安区各类行政管理边界数据；按照统一坐标体系构建房屋</w:t>
            </w:r>
            <w:r>
              <w:rPr>
                <w:rFonts w:ascii="仿宋_GB2312" w:hAnsi="仿宋_GB2312" w:cs="仿宋_GB2312" w:eastAsia="仿宋_GB2312"/>
                <w:sz w:val="21"/>
              </w:rPr>
              <w:t>-社区-街道-城区四个维度的体检更新基础数据库，实现各类数据精准落位，为城市体检、城市更新、房屋安全管理、老旧小区及危房改造等工作提供统一的数据分析决策支撑。</w:t>
            </w:r>
          </w:p>
          <w:p>
            <w:pPr>
              <w:pStyle w:val="null3"/>
              <w:spacing w:before="315"/>
              <w:ind w:left="420"/>
              <w:jc w:val="both"/>
            </w:pPr>
            <w:r>
              <w:rPr>
                <w:rFonts w:ascii="仿宋_GB2312" w:hAnsi="仿宋_GB2312" w:cs="仿宋_GB2312" w:eastAsia="仿宋_GB2312"/>
                <w:sz w:val="21"/>
                <w:b/>
              </w:rPr>
              <w:t>三</w:t>
            </w:r>
            <w:r>
              <w:rPr>
                <w:rFonts w:ascii="仿宋_GB2312" w:hAnsi="仿宋_GB2312" w:cs="仿宋_GB2312" w:eastAsia="仿宋_GB2312"/>
                <w:sz w:val="21"/>
                <w:b/>
              </w:rPr>
              <w:t>、技术要求</w:t>
            </w:r>
          </w:p>
          <w:p>
            <w:pPr>
              <w:pStyle w:val="null3"/>
              <w:ind w:firstLine="420"/>
              <w:jc w:val="both"/>
            </w:pPr>
            <w:r>
              <w:rPr>
                <w:rFonts w:ascii="仿宋_GB2312" w:hAnsi="仿宋_GB2312" w:cs="仿宋_GB2312" w:eastAsia="仿宋_GB2312"/>
                <w:sz w:val="21"/>
              </w:rPr>
              <w:t>严格</w:t>
            </w:r>
            <w:r>
              <w:rPr>
                <w:rFonts w:ascii="仿宋_GB2312" w:hAnsi="仿宋_GB2312" w:cs="仿宋_GB2312" w:eastAsia="仿宋_GB2312"/>
                <w:sz w:val="21"/>
              </w:rPr>
              <w:t>执行</w:t>
            </w:r>
            <w:r>
              <w:rPr>
                <w:rFonts w:ascii="仿宋_GB2312" w:hAnsi="仿宋_GB2312" w:cs="仿宋_GB2312" w:eastAsia="仿宋_GB2312"/>
                <w:sz w:val="21"/>
              </w:rPr>
              <w:t>国家</w:t>
            </w:r>
            <w:r>
              <w:rPr>
                <w:rFonts w:ascii="仿宋_GB2312" w:hAnsi="仿宋_GB2312" w:cs="仿宋_GB2312" w:eastAsia="仿宋_GB2312"/>
                <w:sz w:val="21"/>
              </w:rPr>
              <w:t>、</w:t>
            </w:r>
            <w:r>
              <w:rPr>
                <w:rFonts w:ascii="仿宋_GB2312" w:hAnsi="仿宋_GB2312" w:cs="仿宋_GB2312" w:eastAsia="仿宋_GB2312"/>
                <w:sz w:val="21"/>
              </w:rPr>
              <w:t>陕西省、西安市</w:t>
            </w:r>
            <w:r>
              <w:rPr>
                <w:rFonts w:ascii="仿宋_GB2312" w:hAnsi="仿宋_GB2312" w:cs="仿宋_GB2312" w:eastAsia="仿宋_GB2312"/>
                <w:sz w:val="21"/>
              </w:rPr>
              <w:t>相关行业标准</w:t>
            </w:r>
            <w:r>
              <w:rPr>
                <w:rFonts w:ascii="仿宋_GB2312" w:hAnsi="仿宋_GB2312" w:cs="仿宋_GB2312" w:eastAsia="仿宋_GB2312"/>
                <w:sz w:val="21"/>
              </w:rPr>
              <w:t>、</w:t>
            </w:r>
            <w:r>
              <w:rPr>
                <w:rFonts w:ascii="仿宋_GB2312" w:hAnsi="仿宋_GB2312" w:cs="仿宋_GB2312" w:eastAsia="仿宋_GB2312"/>
                <w:sz w:val="21"/>
              </w:rPr>
              <w:t>规范</w:t>
            </w:r>
            <w:r>
              <w:rPr>
                <w:rFonts w:ascii="仿宋_GB2312" w:hAnsi="仿宋_GB2312" w:cs="仿宋_GB2312" w:eastAsia="仿宋_GB2312"/>
                <w:sz w:val="21"/>
              </w:rPr>
              <w:t>、</w:t>
            </w:r>
            <w:r>
              <w:rPr>
                <w:rFonts w:ascii="仿宋_GB2312" w:hAnsi="仿宋_GB2312" w:cs="仿宋_GB2312" w:eastAsia="仿宋_GB2312"/>
                <w:sz w:val="21"/>
              </w:rPr>
              <w:t>相关技术规定</w:t>
            </w:r>
            <w:r>
              <w:rPr>
                <w:rFonts w:ascii="仿宋_GB2312" w:hAnsi="仿宋_GB2312" w:cs="仿宋_GB2312" w:eastAsia="仿宋_GB2312"/>
                <w:sz w:val="21"/>
              </w:rPr>
              <w:t>、</w:t>
            </w:r>
            <w:r>
              <w:rPr>
                <w:rFonts w:ascii="仿宋_GB2312" w:hAnsi="仿宋_GB2312" w:cs="仿宋_GB2312" w:eastAsia="仿宋_GB2312"/>
                <w:sz w:val="21"/>
              </w:rPr>
              <w:t>政策性文件</w:t>
            </w:r>
            <w:r>
              <w:rPr>
                <w:rFonts w:ascii="仿宋_GB2312" w:hAnsi="仿宋_GB2312" w:cs="仿宋_GB2312" w:eastAsia="仿宋_GB2312"/>
                <w:sz w:val="21"/>
              </w:rPr>
              <w:t>。</w:t>
            </w:r>
          </w:p>
          <w:p>
            <w:pPr>
              <w:pStyle w:val="null3"/>
              <w:spacing w:before="315"/>
              <w:ind w:left="420"/>
              <w:jc w:val="both"/>
            </w:pPr>
            <w:r>
              <w:rPr>
                <w:rFonts w:ascii="仿宋_GB2312" w:hAnsi="仿宋_GB2312" w:cs="仿宋_GB2312" w:eastAsia="仿宋_GB2312"/>
                <w:sz w:val="21"/>
                <w:b/>
              </w:rPr>
              <w:t>四、服务要求</w:t>
            </w:r>
          </w:p>
          <w:p>
            <w:pPr>
              <w:pStyle w:val="null3"/>
              <w:ind w:firstLine="420"/>
              <w:jc w:val="both"/>
            </w:pPr>
            <w:r>
              <w:rPr>
                <w:rFonts w:ascii="仿宋_GB2312" w:hAnsi="仿宋_GB2312" w:cs="仿宋_GB2312" w:eastAsia="仿宋_GB2312"/>
                <w:sz w:val="21"/>
              </w:rPr>
              <w:t>1.须配备专业、稳定的项目服务团队，配备项目负责人、技术骨干、调研人员等专职人员，全程负责项目实施、数据校核、调研走访、报告编制及对接答疑，保障项目按期保质完成。</w:t>
            </w:r>
          </w:p>
          <w:p>
            <w:pPr>
              <w:pStyle w:val="null3"/>
              <w:spacing w:before="315"/>
              <w:ind w:left="420"/>
              <w:jc w:val="both"/>
            </w:pPr>
            <w:r>
              <w:rPr>
                <w:rFonts w:ascii="仿宋_GB2312" w:hAnsi="仿宋_GB2312" w:cs="仿宋_GB2312" w:eastAsia="仿宋_GB2312"/>
                <w:sz w:val="21"/>
                <w:b/>
              </w:rPr>
              <w:t>五</w:t>
            </w:r>
            <w:r>
              <w:rPr>
                <w:rFonts w:ascii="仿宋_GB2312" w:hAnsi="仿宋_GB2312" w:cs="仿宋_GB2312" w:eastAsia="仿宋_GB2312"/>
                <w:sz w:val="21"/>
                <w:b/>
              </w:rPr>
              <w:t>、商务要求</w:t>
            </w:r>
          </w:p>
          <w:p>
            <w:pPr>
              <w:pStyle w:val="null3"/>
              <w:ind w:firstLine="420"/>
              <w:jc w:val="both"/>
            </w:pPr>
            <w:r>
              <w:rPr>
                <w:rFonts w:ascii="仿宋_GB2312" w:hAnsi="仿宋_GB2312" w:cs="仿宋_GB2312" w:eastAsia="仿宋_GB2312"/>
                <w:sz w:val="21"/>
              </w:rPr>
              <w:t>1.服务期限</w:t>
            </w:r>
          </w:p>
          <w:p>
            <w:pPr>
              <w:pStyle w:val="null3"/>
              <w:ind w:firstLine="420"/>
              <w:jc w:val="both"/>
            </w:pPr>
            <w:r>
              <w:rPr>
                <w:rFonts w:ascii="仿宋_GB2312" w:hAnsi="仿宋_GB2312" w:cs="仿宋_GB2312" w:eastAsia="仿宋_GB2312"/>
                <w:sz w:val="21"/>
              </w:rPr>
              <w:t>自签订合同之日起</w:t>
            </w:r>
            <w:r>
              <w:rPr>
                <w:rFonts w:ascii="仿宋_GB2312" w:hAnsi="仿宋_GB2312" w:cs="仿宋_GB2312" w:eastAsia="仿宋_GB2312"/>
                <w:sz w:val="21"/>
              </w:rPr>
              <w:t>180日历天。</w:t>
            </w:r>
          </w:p>
          <w:p>
            <w:pPr>
              <w:pStyle w:val="null3"/>
              <w:ind w:firstLine="420"/>
              <w:jc w:val="both"/>
            </w:pPr>
            <w:r>
              <w:rPr>
                <w:rFonts w:ascii="仿宋_GB2312" w:hAnsi="仿宋_GB2312" w:cs="仿宋_GB2312" w:eastAsia="仿宋_GB2312"/>
                <w:sz w:val="21"/>
              </w:rPr>
              <w:t>2.款项结算</w:t>
            </w:r>
          </w:p>
          <w:p>
            <w:pPr>
              <w:pStyle w:val="null3"/>
              <w:ind w:firstLine="420"/>
              <w:jc w:val="both"/>
            </w:pPr>
            <w:r>
              <w:rPr>
                <w:rFonts w:ascii="仿宋_GB2312" w:hAnsi="仿宋_GB2312" w:cs="仿宋_GB2312" w:eastAsia="仿宋_GB2312"/>
                <w:sz w:val="21"/>
              </w:rPr>
              <w:t>完成全部</w:t>
            </w:r>
            <w:r>
              <w:rPr>
                <w:rFonts w:ascii="仿宋_GB2312" w:hAnsi="仿宋_GB2312" w:cs="仿宋_GB2312" w:eastAsia="仿宋_GB2312"/>
                <w:sz w:val="21"/>
              </w:rPr>
              <w:t>工作内容并</w:t>
            </w:r>
            <w:r>
              <w:rPr>
                <w:rFonts w:ascii="仿宋_GB2312" w:hAnsi="仿宋_GB2312" w:cs="仿宋_GB2312" w:eastAsia="仿宋_GB2312"/>
                <w:sz w:val="21"/>
              </w:rPr>
              <w:t>经甲方审核确认后十个工作日内支付合同总价款的</w:t>
            </w:r>
            <w:r>
              <w:rPr>
                <w:rFonts w:ascii="仿宋_GB2312" w:hAnsi="仿宋_GB2312" w:cs="仿宋_GB2312" w:eastAsia="仿宋_GB2312"/>
                <w:sz w:val="21"/>
              </w:rPr>
              <w:t>60%；项目成果通过专家评审、甲方验收合格后十个工作日内支付合同总价款的40%。</w:t>
            </w:r>
          </w:p>
          <w:p>
            <w:pPr>
              <w:pStyle w:val="null3"/>
              <w:spacing w:before="315"/>
              <w:jc w:val="both"/>
            </w:pPr>
            <w:r>
              <w:rPr>
                <w:rFonts w:ascii="仿宋_GB2312" w:hAnsi="仿宋_GB2312" w:cs="仿宋_GB2312" w:eastAsia="仿宋_GB2312"/>
                <w:sz w:val="21"/>
                <w:b/>
              </w:rPr>
              <w:t>六、其他</w:t>
            </w:r>
          </w:p>
          <w:p>
            <w:pPr>
              <w:pStyle w:val="null3"/>
              <w:ind w:firstLine="420"/>
              <w:jc w:val="both"/>
            </w:pPr>
            <w:r>
              <w:rPr>
                <w:rFonts w:ascii="仿宋_GB2312" w:hAnsi="仿宋_GB2312" w:cs="仿宋_GB2312" w:eastAsia="仿宋_GB2312"/>
                <w:sz w:val="21"/>
              </w:rPr>
              <w:t>1.进度要求</w:t>
            </w:r>
          </w:p>
          <w:p>
            <w:pPr>
              <w:pStyle w:val="null3"/>
              <w:ind w:firstLine="420"/>
              <w:jc w:val="both"/>
            </w:pPr>
            <w:r>
              <w:rPr>
                <w:rFonts w:ascii="仿宋_GB2312" w:hAnsi="仿宋_GB2312" w:cs="仿宋_GB2312" w:eastAsia="仿宋_GB2312"/>
                <w:sz w:val="21"/>
              </w:rPr>
              <w:t>于合同签订后</w:t>
            </w:r>
            <w:r>
              <w:rPr>
                <w:rFonts w:ascii="仿宋_GB2312" w:hAnsi="仿宋_GB2312" w:cs="仿宋_GB2312" w:eastAsia="仿宋_GB2312"/>
                <w:sz w:val="21"/>
              </w:rPr>
              <w:t>3个月内完成《</w:t>
            </w:r>
            <w:r>
              <w:rPr>
                <w:rFonts w:ascii="仿宋_GB2312" w:hAnsi="仿宋_GB2312" w:cs="仿宋_GB2312" w:eastAsia="仿宋_GB2312"/>
                <w:sz w:val="21"/>
              </w:rPr>
              <w:t>长安区</w:t>
            </w:r>
            <w:r>
              <w:rPr>
                <w:rFonts w:ascii="仿宋_GB2312" w:hAnsi="仿宋_GB2312" w:cs="仿宋_GB2312" w:eastAsia="仿宋_GB2312"/>
                <w:sz w:val="21"/>
              </w:rPr>
              <w:t>2026年</w:t>
            </w:r>
            <w:r>
              <w:rPr>
                <w:rFonts w:ascii="仿宋_GB2312" w:hAnsi="仿宋_GB2312" w:cs="仿宋_GB2312" w:eastAsia="仿宋_GB2312"/>
                <w:sz w:val="21"/>
              </w:rPr>
              <w:t>城市体检报告及完整社区专项体检报告》和体检更新基础数据库初步成果，</w:t>
            </w:r>
            <w:r>
              <w:rPr>
                <w:rFonts w:ascii="仿宋_GB2312" w:hAnsi="仿宋_GB2312" w:cs="仿宋_GB2312" w:eastAsia="仿宋_GB2312"/>
                <w:sz w:val="21"/>
              </w:rPr>
              <w:t>3个月内完成《长安区2026年城市体检报告及完整社区专项体检报告》和体检更新基础数据库最终成果。</w:t>
            </w:r>
          </w:p>
          <w:p>
            <w:pPr>
              <w:pStyle w:val="null3"/>
              <w:ind w:firstLine="420"/>
              <w:jc w:val="both"/>
            </w:pPr>
            <w:r>
              <w:rPr>
                <w:rFonts w:ascii="仿宋_GB2312" w:hAnsi="仿宋_GB2312" w:cs="仿宋_GB2312" w:eastAsia="仿宋_GB2312"/>
                <w:sz w:val="21"/>
              </w:rPr>
              <w:t>2.成果交付要求</w:t>
            </w:r>
          </w:p>
          <w:p>
            <w:pPr>
              <w:pStyle w:val="null3"/>
              <w:ind w:firstLine="420"/>
              <w:jc w:val="both"/>
            </w:pPr>
            <w:r>
              <w:rPr>
                <w:rFonts w:ascii="仿宋_GB2312" w:hAnsi="仿宋_GB2312" w:cs="仿宋_GB2312" w:eastAsia="仿宋_GB2312"/>
                <w:sz w:val="21"/>
              </w:rPr>
              <w:t>按照采购人要求提交成果文件，包括《长安区</w:t>
            </w:r>
            <w:r>
              <w:rPr>
                <w:rFonts w:ascii="仿宋_GB2312" w:hAnsi="仿宋_GB2312" w:cs="仿宋_GB2312" w:eastAsia="仿宋_GB2312"/>
                <w:sz w:val="21"/>
              </w:rPr>
              <w:t>2026年城市体检报告及完整社区专项体检报告》、体检更新基础数据库。文字应装订成册，A4规格；成果电子文本以光盘形式提交。体检更新基础数据库成果，格式为GDB,以U盘形式提交。</w:t>
            </w:r>
          </w:p>
          <w:p>
            <w:pPr>
              <w:pStyle w:val="null3"/>
              <w:ind w:firstLine="420"/>
              <w:jc w:val="both"/>
            </w:pPr>
            <w:r>
              <w:rPr>
                <w:rFonts w:ascii="仿宋_GB2312" w:hAnsi="仿宋_GB2312" w:cs="仿宋_GB2312" w:eastAsia="仿宋_GB2312"/>
                <w:sz w:val="21"/>
              </w:rPr>
              <w:t>3.质量保修范围和保修期：</w:t>
            </w:r>
          </w:p>
          <w:p>
            <w:pPr>
              <w:pStyle w:val="null3"/>
              <w:ind w:firstLine="420"/>
              <w:jc w:val="both"/>
            </w:pPr>
            <w:r>
              <w:rPr>
                <w:rFonts w:ascii="仿宋_GB2312" w:hAnsi="仿宋_GB2312" w:cs="仿宋_GB2312" w:eastAsia="仿宋_GB2312"/>
                <w:sz w:val="21"/>
              </w:rPr>
              <w:t>本项目整体保修期为</w:t>
            </w:r>
            <w:r>
              <w:rPr>
                <w:rFonts w:ascii="仿宋_GB2312" w:hAnsi="仿宋_GB2312" w:cs="仿宋_GB2312" w:eastAsia="仿宋_GB2312"/>
                <w:sz w:val="21"/>
              </w:rPr>
              <w:t>3个月。自本项目全部成果通过专家评审、甲方最终验收合格并出具正式验收意见之日起计算。保修期内，乙方须设立专属对接人员，全程响应甲方保修需求，接到甲方整改通知后，24小时内完成响应，常规问题3个工作日内整改完毕、提交修正成果。</w:t>
            </w:r>
          </w:p>
          <w:p>
            <w:pPr>
              <w:pStyle w:val="null3"/>
              <w:ind w:firstLine="420"/>
              <w:jc w:val="both"/>
            </w:pPr>
            <w:r>
              <w:rPr>
                <w:rFonts w:ascii="仿宋_GB2312" w:hAnsi="仿宋_GB2312" w:cs="仿宋_GB2312" w:eastAsia="仿宋_GB2312"/>
                <w:sz w:val="21"/>
              </w:rPr>
              <w:t>4.验收要求</w:t>
            </w:r>
          </w:p>
          <w:p>
            <w:pPr>
              <w:pStyle w:val="null3"/>
              <w:ind w:firstLine="420"/>
              <w:jc w:val="both"/>
            </w:pPr>
            <w:r>
              <w:rPr>
                <w:rFonts w:ascii="仿宋_GB2312" w:hAnsi="仿宋_GB2312" w:cs="仿宋_GB2312" w:eastAsia="仿宋_GB2312"/>
                <w:sz w:val="21"/>
              </w:rPr>
              <w:t>向采购人提交完整的成果资料，由采购人组织专家开展评审，经专家评审合格、采购人复核确认并出具验收意见后，视为项目验收通过。</w:t>
            </w:r>
          </w:p>
          <w:p>
            <w:pPr>
              <w:pStyle w:val="null3"/>
              <w:ind w:firstLine="420"/>
              <w:jc w:val="both"/>
            </w:pPr>
            <w:r>
              <w:rPr>
                <w:rFonts w:ascii="仿宋_GB2312" w:hAnsi="仿宋_GB2312" w:cs="仿宋_GB2312" w:eastAsia="仿宋_GB2312"/>
                <w:sz w:val="21"/>
              </w:rPr>
              <w:t>5.违约责任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按《中华人民共和国民法典》中的相关条款执行。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未按合同或招标书要求提供服务，</w:t>
            </w:r>
            <w:r>
              <w:rPr>
                <w:rFonts w:ascii="仿宋_GB2312" w:hAnsi="仿宋_GB2312" w:cs="仿宋_GB2312" w:eastAsia="仿宋_GB2312"/>
                <w:sz w:val="21"/>
              </w:rPr>
              <w:t>提交的成果质量未能达到采购文件规定的标准</w:t>
            </w:r>
            <w:r>
              <w:rPr>
                <w:rFonts w:ascii="仿宋_GB2312" w:hAnsi="仿宋_GB2312" w:cs="仿宋_GB2312" w:eastAsia="仿宋_GB2312"/>
                <w:sz w:val="21"/>
              </w:rPr>
              <w:t>，</w:t>
            </w:r>
            <w:r>
              <w:rPr>
                <w:rFonts w:ascii="仿宋_GB2312" w:hAnsi="仿宋_GB2312" w:cs="仿宋_GB2312" w:eastAsia="仿宋_GB2312"/>
                <w:sz w:val="21"/>
              </w:rPr>
              <w:t>采购单位</w:t>
            </w:r>
            <w:r>
              <w:rPr>
                <w:rFonts w:ascii="仿宋_GB2312" w:hAnsi="仿宋_GB2312" w:cs="仿宋_GB2312" w:eastAsia="仿宋_GB2312"/>
                <w:sz w:val="21"/>
              </w:rPr>
              <w:t>有权终止合同。</w:t>
            </w:r>
          </w:p>
          <w:p>
            <w:pPr>
              <w:pStyle w:val="null3"/>
              <w:spacing w:before="315"/>
              <w:ind w:left="420"/>
              <w:jc w:val="both"/>
            </w:pPr>
            <w:r>
              <w:rPr>
                <w:rFonts w:ascii="仿宋_GB2312" w:hAnsi="仿宋_GB2312" w:cs="仿宋_GB2312" w:eastAsia="仿宋_GB2312"/>
                <w:sz w:val="21"/>
              </w:rPr>
              <w:t>（</w:t>
            </w:r>
            <w:r>
              <w:rPr>
                <w:rFonts w:ascii="仿宋_GB2312" w:hAnsi="仿宋_GB2312" w:cs="仿宋_GB2312" w:eastAsia="仿宋_GB2312"/>
                <w:sz w:val="21"/>
              </w:rPr>
              <w:t>3）乙方及其工作人员需遵守采购单位的保密规定，不以任何形式将收集的所有资料提供给合同双方以外的其他方，如有违反保密规定，采购单位有权终止合同。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须配备专业、稳定的项目服务团队，配备项目负责人、技术骨干、调研人员等专职人员，全程负责项目实施、数据校核、调研走访、报告编制及对接答疑，保障项目按期保质完成。</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向采购人提交完整的成果资料，由采购人组织专家开展评审，经专家评审合格、采购人复核确认并出具验收意见后，视为项目验收通过。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进度款，完成全部工作内容并经甲方审核确认后，达到付款条件起10个工作日内，支付合同总金额的60.0%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进度款，项目成果通过专家评审、甲方验收合格后，达到付款条件起10个工作日内，支付合同总金额的40.0%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（2）未按合同或招标书要求提供服务，提交的成果质量未能达到采购文件规定的标准，采购单位有权终止合同。 （3）乙方及其工作人员需遵守采购单位的保密规定，不以任何形式将收集的所有资料提供给合同双方以外的其他方，如有违反保密规定，采购单位有权终止合同。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陕西省中小企业政府采购信用融资办法》（陕财办采（2018）23号）、《陕西省财政厅关于加快推进我省中小企业政府采购信用融资工作的通知》《陕财办采（2020）15号》、《西安市长安区财政局关于进一步做好政采贷工作的通知》（长财字〔2021〕223号）的有关规定，有融资需求的供应商可根据自身情况，在陕西省政府采购信用融资平台（含各市分平台）自主选择金融机构及其融资产品，凭政府采购中标（成交）通知书或政府采购合同向金融机构提出融资申请。 融资政策链接：http://www.ccgp-shanxi.gov.cn/zcdservice/zcd/shanxi/) 2.本项目成交供应商须在领取成交通知书时提供纸质响应文件一套正本及一套副本交由采购代理机构备案，该文件须与线上电子投标文件完全一致。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 6个月内的银行资信证明或财政部门认可的政府采购专业担保机构出具的投标担保函）； 3、具有依法缴纳税收和社会保障资金的良好记录（同时提供响应文件递交截止时间前12个月内缴存的任意时段的社保及税收缴纳证明；依法不需要缴纳的应提供相关证明文件)； 4、具有履行合同所必需的设备和专业技术能力的书面声明； 5、参加采购活动前 3 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具有良好的商业信誉和健全的财务会计制度（提供2025年度财务审计报告或响应文件递交截止时间前近 6个月内的银行资信证明或财政部门认可的政府采购专业担保机构出具的投标担保函）；</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供应商具有有效的城乡规划（国土空间规划）编制乙级及以上（含乙级）资质证书</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法定代表人直接参加的，须出示身份证；法定代表人授权他人参加的，须提供法定代表人授权委托书，法定代表人及被授权人身份证明；</w:t>
            </w:r>
          </w:p>
        </w:tc>
        <w:tc>
          <w:tcPr>
            <w:tcW w:type="dxa" w:w="1661"/>
          </w:tcPr>
          <w:p>
            <w:pPr>
              <w:pStyle w:val="null3"/>
            </w:pPr>
            <w:r>
              <w:rPr>
                <w:rFonts w:ascii="仿宋_GB2312" w:hAnsi="仿宋_GB2312" w:cs="仿宋_GB2312" w:eastAsia="仿宋_GB2312"/>
              </w:rPr>
              <w:t>响应文件封面 附件.docx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服务期响应磋商文件要求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付款方式响应磋商文件的要求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响应文件有效期响应磋商文件的要求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供应商报价未超出采购预算及最高限价</w:t>
            </w:r>
          </w:p>
        </w:tc>
        <w:tc>
          <w:tcPr>
            <w:tcW w:type="dxa" w:w="1661"/>
          </w:tcPr>
          <w:p>
            <w:pPr>
              <w:pStyle w:val="null3"/>
            </w:pPr>
            <w:r>
              <w:rPr>
                <w:rFonts w:ascii="仿宋_GB2312" w:hAnsi="仿宋_GB2312" w:cs="仿宋_GB2312" w:eastAsia="仿宋_GB2312"/>
              </w:rPr>
              <w:t>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评审内容包括：①对项目背景、任务解读理解②项目需求分析③区域现状及工作基础分析 每一项内容全面详细、阐述条理清晰得2分，满分6分，每项存在一处缺陷，扣0.5分，扣完为止。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评审内容包括：①总体工作方案②项目实施步骤③技术路线④成果交付规划 每一项内容全面详细、阐述条理清晰得3分，满分12分，每项存在一处缺陷，扣0.5分，扣完为止。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项目关键性技术、重点难点的解决方案</w:t>
            </w:r>
          </w:p>
        </w:tc>
        <w:tc>
          <w:tcPr>
            <w:tcW w:type="dxa" w:w="2492"/>
          </w:tcPr>
          <w:p>
            <w:pPr>
              <w:pStyle w:val="null3"/>
            </w:pPr>
            <w:r>
              <w:rPr>
                <w:rFonts w:ascii="仿宋_GB2312" w:hAnsi="仿宋_GB2312" w:cs="仿宋_GB2312" w:eastAsia="仿宋_GB2312"/>
              </w:rPr>
              <w:t>评审内容包括：①对项目实施重点难点的认识；②针对项目实施重点难点制定的专项解决对策；③数据摸排、精准问题诊断、整治建议以及数据建库等核心关键技术突破方案。 每一项内容全面详细、阐述条理清晰得3分，满分9分，每项存在一处缺陷，扣0.5分，扣完为止。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数据资源与分析处理方法</w:t>
            </w:r>
          </w:p>
        </w:tc>
        <w:tc>
          <w:tcPr>
            <w:tcW w:type="dxa" w:w="2492"/>
          </w:tcPr>
          <w:p>
            <w:pPr>
              <w:pStyle w:val="null3"/>
            </w:pPr>
            <w:r>
              <w:rPr>
                <w:rFonts w:ascii="仿宋_GB2312" w:hAnsi="仿宋_GB2312" w:cs="仿宋_GB2312" w:eastAsia="仿宋_GB2312"/>
              </w:rPr>
              <w:t>评审内容包括：①具备建筑、交通、基础设施、卫星影像等数据资源基础；②配备智能采集工具，采集方法多元合规；③具备先进数据分析处理技术及数据库构建技术。 每一项内容全面详细、阐述条理清晰得3分，满分9分，每项存在一处缺陷，扣0.5分，扣完为止。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进度与质量控制方案</w:t>
            </w:r>
          </w:p>
        </w:tc>
        <w:tc>
          <w:tcPr>
            <w:tcW w:type="dxa" w:w="2492"/>
          </w:tcPr>
          <w:p>
            <w:pPr>
              <w:pStyle w:val="null3"/>
            </w:pPr>
            <w:r>
              <w:rPr>
                <w:rFonts w:ascii="仿宋_GB2312" w:hAnsi="仿宋_GB2312" w:cs="仿宋_GB2312" w:eastAsia="仿宋_GB2312"/>
              </w:rPr>
              <w:t>评审内容包括：①进度与质量保障措施②服务承诺 每一项内容全面详细、阐述条理清晰得2分，满分4分，每项存在一处缺陷，扣0.5分，扣完为止。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项目总负责人</w:t>
            </w:r>
          </w:p>
        </w:tc>
        <w:tc>
          <w:tcPr>
            <w:tcW w:type="dxa" w:w="2492"/>
          </w:tcPr>
          <w:p>
            <w:pPr>
              <w:pStyle w:val="null3"/>
            </w:pPr>
            <w:r>
              <w:rPr>
                <w:rFonts w:ascii="仿宋_GB2312" w:hAnsi="仿宋_GB2312" w:cs="仿宋_GB2312" w:eastAsia="仿宋_GB2312"/>
              </w:rPr>
              <w:t>1、具备建筑类或规划类中级职称得1分，高级职称得3分； 2、具备国家一级注册建筑师执业资格或国家注册城乡规划师职业资格的，得2分。 （提供相关证书复印件并加盖公章及开标前6个月内任意一个月在本单位的社保缴纳证明，未提供齐全不得分。）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项目组整体人员配备</w:t>
            </w:r>
          </w:p>
        </w:tc>
        <w:tc>
          <w:tcPr>
            <w:tcW w:type="dxa" w:w="2492"/>
          </w:tcPr>
          <w:p>
            <w:pPr>
              <w:pStyle w:val="null3"/>
            </w:pPr>
            <w:r>
              <w:rPr>
                <w:rFonts w:ascii="仿宋_GB2312" w:hAnsi="仿宋_GB2312" w:cs="仿宋_GB2312" w:eastAsia="仿宋_GB2312"/>
              </w:rPr>
              <w:t>拟投入项目团队人员（不含项目总负责人）知识构架全面，专业性强，满足项目需求，分工明确、配置合理，科学合理，总体实力较强。 1、每提供一名具有一级注册建筑师或注册城乡规划师或注册测绘师职业资格的得2分，本项最高得10分； 2、项目组成员专业（以毕业证为准）为建筑学、城市（乡）规划、地理信息系统、人文地理、土地资源管理、风景园林、计算机科学与技术等相关专业，每涵盖上述一个专业得1分，本项最高得7分；（同一人员不重复计分） 3、数据专项负责人为地理信息专业（包括地理信息、测绘）高级职称得3分，中级职称得1分（项目总负责人与数据专项负责人不为同一人）。 （提供相关证书复印件并加盖公章及开标前6个月内任意一个月在本单位的社保缴纳证明，未提供齐全不得分。）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技术履约能力</w:t>
            </w:r>
          </w:p>
        </w:tc>
        <w:tc>
          <w:tcPr>
            <w:tcW w:type="dxa" w:w="2492"/>
          </w:tcPr>
          <w:p>
            <w:pPr>
              <w:pStyle w:val="null3"/>
            </w:pPr>
            <w:r>
              <w:rPr>
                <w:rFonts w:ascii="仿宋_GB2312" w:hAnsi="仿宋_GB2312" w:cs="仿宋_GB2312" w:eastAsia="仿宋_GB2312"/>
              </w:rPr>
              <w:t>投标人具有近5年（2021年至今）具有体检评估、城市更新、数据建库或数据处理和维护等类似项目业绩，每提供1项有效业绩得2分，最高得20分。（以加盖公章的合同复印件为准，日期以合同签订时间为准）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满足磋商文件内容及技术要求且最低的磋商报价为评审基准价，其价格分为满分。 报价得分=（评审基准价／磋商报价）×15。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