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804320">
      <w:pPr>
        <w:spacing w:before="120" w:line="360" w:lineRule="auto"/>
        <w:jc w:val="center"/>
        <w:rPr>
          <w:rFonts w:hint="eastAsia" w:ascii="仿宋" w:hAnsi="仿宋" w:eastAsia="仿宋" w:cs="仿宋"/>
          <w:b/>
          <w:bCs/>
          <w:sz w:val="44"/>
          <w:szCs w:val="44"/>
        </w:rPr>
      </w:pPr>
    </w:p>
    <w:p w14:paraId="274F4DF3">
      <w:pPr>
        <w:spacing w:before="120" w:line="360" w:lineRule="auto"/>
        <w:jc w:val="center"/>
        <w:rPr>
          <w:rFonts w:hint="eastAsia" w:ascii="仿宋" w:hAnsi="仿宋" w:eastAsia="仿宋" w:cs="仿宋"/>
          <w:b/>
          <w:bCs/>
          <w:sz w:val="44"/>
          <w:szCs w:val="44"/>
        </w:rPr>
      </w:pPr>
      <w:bookmarkStart w:id="2" w:name="_GoBack"/>
      <w:bookmarkEnd w:id="2"/>
      <w:r>
        <w:rPr>
          <w:rFonts w:hint="eastAsia" w:ascii="仿宋" w:hAnsi="仿宋" w:eastAsia="仿宋" w:cs="仿宋"/>
          <w:b/>
          <w:bCs/>
          <w:sz w:val="44"/>
          <w:szCs w:val="44"/>
        </w:rPr>
        <w:t>采 购 合 同</w:t>
      </w:r>
    </w:p>
    <w:p w14:paraId="38F44C87">
      <w:pPr>
        <w:spacing w:before="120" w:line="360" w:lineRule="auto"/>
        <w:jc w:val="center"/>
        <w:rPr>
          <w:rFonts w:hint="eastAsia" w:ascii="仿宋" w:hAnsi="仿宋" w:eastAsia="仿宋" w:cs="仿宋"/>
          <w:sz w:val="28"/>
          <w:szCs w:val="28"/>
        </w:rPr>
      </w:pPr>
    </w:p>
    <w:p w14:paraId="0B07B8EC">
      <w:pPr>
        <w:spacing w:before="120" w:line="360" w:lineRule="auto"/>
        <w:ind w:firstLine="6860" w:firstLineChars="2450"/>
        <w:jc w:val="left"/>
        <w:rPr>
          <w:rFonts w:hint="eastAsia" w:ascii="仿宋" w:hAnsi="仿宋" w:eastAsia="仿宋" w:cs="仿宋"/>
          <w:sz w:val="28"/>
          <w:szCs w:val="28"/>
        </w:rPr>
      </w:pPr>
      <w:bookmarkStart w:id="0" w:name="_Toc109542396"/>
      <w:bookmarkStart w:id="1" w:name="_Toc109543216"/>
      <w:r>
        <w:rPr>
          <w:rFonts w:hint="eastAsia" w:ascii="仿宋" w:hAnsi="仿宋" w:eastAsia="仿宋" w:cs="仿宋"/>
          <w:sz w:val="28"/>
          <w:szCs w:val="28"/>
        </w:rPr>
        <w:t>合同编号：</w:t>
      </w:r>
      <w:bookmarkEnd w:id="0"/>
      <w:bookmarkEnd w:id="1"/>
    </w:p>
    <w:p w14:paraId="27BC14BA">
      <w:pPr>
        <w:widowControl w:val="0"/>
        <w:spacing w:before="120" w:after="0" w:line="360" w:lineRule="auto"/>
        <w:ind w:firstLine="0"/>
        <w:jc w:val="both"/>
        <w:rPr>
          <w:rFonts w:hint="eastAsia" w:ascii="仿宋" w:hAnsi="仿宋" w:eastAsia="仿宋" w:cs="仿宋"/>
          <w:kern w:val="2"/>
          <w:sz w:val="28"/>
          <w:szCs w:val="28"/>
          <w:lang w:val="en-US" w:eastAsia="zh-CN" w:bidi="ar-SA"/>
        </w:rPr>
      </w:pPr>
    </w:p>
    <w:p w14:paraId="0ABC277E">
      <w:pPr>
        <w:spacing w:before="120" w:line="360" w:lineRule="auto"/>
        <w:jc w:val="left"/>
        <w:rPr>
          <w:rFonts w:hint="eastAsia" w:ascii="仿宋" w:hAnsi="仿宋" w:eastAsia="仿宋" w:cs="仿宋"/>
          <w:sz w:val="28"/>
          <w:szCs w:val="28"/>
        </w:rPr>
      </w:pPr>
    </w:p>
    <w:p w14:paraId="177AB033">
      <w:pPr>
        <w:spacing w:before="120" w:line="360" w:lineRule="auto"/>
        <w:jc w:val="left"/>
        <w:rPr>
          <w:rFonts w:hint="eastAsia" w:ascii="仿宋" w:hAnsi="仿宋" w:eastAsia="仿宋" w:cs="仿宋"/>
          <w:sz w:val="28"/>
          <w:szCs w:val="28"/>
        </w:rPr>
      </w:pPr>
    </w:p>
    <w:p w14:paraId="2EA4638B">
      <w:pPr>
        <w:spacing w:before="120" w:line="360" w:lineRule="auto"/>
        <w:ind w:left="960"/>
        <w:jc w:val="left"/>
        <w:rPr>
          <w:rFonts w:hint="eastAsia" w:ascii="仿宋" w:hAnsi="仿宋" w:eastAsia="仿宋" w:cs="仿宋"/>
          <w:sz w:val="28"/>
          <w:szCs w:val="28"/>
        </w:rPr>
      </w:pPr>
    </w:p>
    <w:p w14:paraId="24CBC3DE">
      <w:pPr>
        <w:spacing w:before="120" w:line="360" w:lineRule="auto"/>
        <w:ind w:left="960"/>
        <w:jc w:val="left"/>
        <w:rPr>
          <w:rFonts w:hint="eastAsia" w:ascii="仿宋" w:hAnsi="仿宋" w:eastAsia="仿宋" w:cs="仿宋"/>
          <w:sz w:val="28"/>
          <w:szCs w:val="28"/>
        </w:rPr>
      </w:pPr>
      <w:r>
        <w:rPr>
          <w:rFonts w:hint="eastAsia" w:ascii="仿宋" w:hAnsi="仿宋" w:eastAsia="仿宋" w:cs="仿宋"/>
          <w:sz w:val="28"/>
          <w:szCs w:val="28"/>
        </w:rPr>
        <w:t>项目名称：</w:t>
      </w:r>
      <w:r>
        <w:rPr>
          <w:rFonts w:hint="eastAsia" w:ascii="仿宋" w:hAnsi="仿宋" w:eastAsia="仿宋" w:cs="仿宋"/>
          <w:sz w:val="28"/>
          <w:szCs w:val="28"/>
          <w:u w:val="single"/>
        </w:rPr>
        <w:t xml:space="preserve">   西安市长安区2026年城市体检评估工作  </w:t>
      </w:r>
    </w:p>
    <w:p w14:paraId="6AA738C6">
      <w:pPr>
        <w:spacing w:before="120" w:line="360" w:lineRule="auto"/>
        <w:ind w:left="960"/>
        <w:jc w:val="left"/>
        <w:rPr>
          <w:rFonts w:hint="eastAsia" w:ascii="仿宋" w:hAnsi="仿宋" w:eastAsia="仿宋" w:cs="仿宋"/>
          <w:sz w:val="28"/>
          <w:szCs w:val="28"/>
        </w:rPr>
      </w:pPr>
    </w:p>
    <w:p w14:paraId="7AD39515">
      <w:pPr>
        <w:spacing w:before="120" w:line="360" w:lineRule="auto"/>
        <w:ind w:left="960"/>
        <w:jc w:val="left"/>
        <w:rPr>
          <w:rFonts w:hint="eastAsia" w:ascii="仿宋" w:hAnsi="仿宋" w:eastAsia="仿宋" w:cs="仿宋"/>
          <w:sz w:val="28"/>
          <w:szCs w:val="28"/>
        </w:rPr>
      </w:pPr>
      <w:r>
        <w:rPr>
          <w:rFonts w:hint="eastAsia" w:ascii="仿宋" w:hAnsi="仿宋" w:eastAsia="仿宋" w:cs="仿宋"/>
          <w:sz w:val="28"/>
          <w:szCs w:val="28"/>
        </w:rPr>
        <w:t>采购人：</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西安市长安区住房和城乡建设局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268F6B05">
      <w:pPr>
        <w:spacing w:before="120" w:line="360" w:lineRule="auto"/>
        <w:ind w:left="960"/>
        <w:jc w:val="left"/>
        <w:rPr>
          <w:rFonts w:hint="eastAsia" w:ascii="仿宋" w:hAnsi="仿宋" w:eastAsia="仿宋" w:cs="仿宋"/>
          <w:sz w:val="28"/>
          <w:szCs w:val="28"/>
        </w:rPr>
      </w:pPr>
    </w:p>
    <w:p w14:paraId="07BAB18D">
      <w:pPr>
        <w:spacing w:before="120" w:line="360" w:lineRule="auto"/>
        <w:ind w:left="960"/>
        <w:jc w:val="left"/>
        <w:rPr>
          <w:rFonts w:hint="eastAsia" w:ascii="仿宋" w:hAnsi="仿宋" w:eastAsia="仿宋" w:cs="仿宋"/>
          <w:sz w:val="28"/>
          <w:szCs w:val="28"/>
          <w:u w:val="single"/>
        </w:rPr>
      </w:pPr>
      <w:r>
        <w:rPr>
          <w:rFonts w:hint="eastAsia" w:ascii="仿宋" w:hAnsi="仿宋" w:eastAsia="仿宋" w:cs="仿宋"/>
          <w:sz w:val="28"/>
          <w:szCs w:val="28"/>
        </w:rPr>
        <w:t>成交供应商：</w:t>
      </w:r>
      <w:r>
        <w:rPr>
          <w:rFonts w:hint="eastAsia" w:ascii="仿宋" w:hAnsi="仿宋" w:eastAsia="仿宋" w:cs="仿宋"/>
          <w:sz w:val="28"/>
          <w:szCs w:val="28"/>
          <w:u w:val="single"/>
        </w:rPr>
        <w:t xml:space="preserve">                                      </w:t>
      </w:r>
    </w:p>
    <w:p w14:paraId="1C9CDF4E">
      <w:pPr>
        <w:spacing w:before="120" w:line="360" w:lineRule="auto"/>
        <w:ind w:firstLine="980" w:firstLineChars="350"/>
        <w:jc w:val="left"/>
        <w:rPr>
          <w:rFonts w:hint="eastAsia" w:ascii="仿宋" w:hAnsi="仿宋" w:eastAsia="仿宋" w:cs="仿宋"/>
          <w:sz w:val="28"/>
          <w:szCs w:val="28"/>
        </w:rPr>
      </w:pPr>
    </w:p>
    <w:p w14:paraId="764FA0B3">
      <w:pPr>
        <w:spacing w:line="360" w:lineRule="auto"/>
        <w:ind w:firstLine="980" w:firstLineChars="350"/>
        <w:jc w:val="left"/>
        <w:rPr>
          <w:rFonts w:hint="eastAsia" w:ascii="仿宋" w:hAnsi="仿宋" w:eastAsia="仿宋" w:cs="仿宋"/>
          <w:sz w:val="24"/>
          <w:szCs w:val="20"/>
        </w:rPr>
      </w:pPr>
      <w:r>
        <w:rPr>
          <w:rFonts w:hint="eastAsia" w:ascii="仿宋" w:hAnsi="仿宋" w:eastAsia="仿宋" w:cs="仿宋"/>
          <w:sz w:val="28"/>
          <w:szCs w:val="28"/>
        </w:rPr>
        <w:t>签署日期</w:t>
      </w:r>
      <w:r>
        <w:rPr>
          <w:rFonts w:hint="eastAsia" w:ascii="仿宋" w:hAnsi="仿宋" w:eastAsia="仿宋" w:cs="仿宋"/>
          <w:sz w:val="24"/>
          <w:szCs w:val="20"/>
        </w:rPr>
        <w:t>：</w:t>
      </w:r>
      <w:r>
        <w:rPr>
          <w:rFonts w:hint="eastAsia" w:ascii="仿宋" w:hAnsi="仿宋" w:eastAsia="仿宋" w:cs="仿宋"/>
          <w:sz w:val="24"/>
          <w:szCs w:val="20"/>
          <w:u w:val="single"/>
        </w:rPr>
        <w:t>　　　　　　　　　　　　　         　　　　　　</w:t>
      </w:r>
    </w:p>
    <w:p w14:paraId="3BFC110C">
      <w:pPr>
        <w:spacing w:line="360" w:lineRule="auto"/>
        <w:jc w:val="left"/>
        <w:rPr>
          <w:rFonts w:hint="eastAsia" w:ascii="仿宋" w:hAnsi="仿宋" w:eastAsia="仿宋" w:cs="仿宋"/>
          <w:sz w:val="24"/>
          <w:szCs w:val="20"/>
        </w:rPr>
      </w:pPr>
    </w:p>
    <w:p w14:paraId="1D156343">
      <w:pPr>
        <w:spacing w:line="360" w:lineRule="auto"/>
        <w:jc w:val="left"/>
        <w:rPr>
          <w:rFonts w:hint="eastAsia" w:ascii="仿宋" w:hAnsi="仿宋" w:eastAsia="仿宋" w:cs="仿宋"/>
          <w:sz w:val="24"/>
          <w:szCs w:val="20"/>
        </w:rPr>
      </w:pPr>
    </w:p>
    <w:p w14:paraId="0A32B59A">
      <w:pPr>
        <w:tabs>
          <w:tab w:val="left" w:pos="735"/>
        </w:tabs>
        <w:autoSpaceDE w:val="0"/>
        <w:autoSpaceDN w:val="0"/>
        <w:adjustRightInd w:val="0"/>
        <w:snapToGrid w:val="0"/>
        <w:spacing w:line="360" w:lineRule="auto"/>
        <w:jc w:val="left"/>
        <w:rPr>
          <w:rFonts w:hint="eastAsia" w:ascii="仿宋" w:hAnsi="仿宋" w:eastAsia="仿宋" w:cs="仿宋"/>
          <w:b/>
          <w:bCs/>
          <w:sz w:val="24"/>
          <w:szCs w:val="24"/>
          <w:lang w:val="zh-CN"/>
        </w:rPr>
      </w:pPr>
      <w:r>
        <w:rPr>
          <w:rFonts w:hint="eastAsia" w:ascii="仿宋" w:hAnsi="仿宋" w:eastAsia="仿宋" w:cs="仿宋"/>
          <w:b/>
          <w:bCs/>
          <w:sz w:val="24"/>
          <w:szCs w:val="24"/>
          <w:lang w:val="zh-CN"/>
        </w:rPr>
        <w:br w:type="page"/>
      </w:r>
      <w:r>
        <w:rPr>
          <w:rFonts w:hint="eastAsia" w:ascii="仿宋" w:hAnsi="仿宋" w:eastAsia="仿宋" w:cs="仿宋"/>
          <w:b/>
          <w:bCs/>
          <w:sz w:val="24"/>
          <w:szCs w:val="24"/>
          <w:lang w:val="zh-CN"/>
        </w:rPr>
        <w:t>甲方：西安市长安区住房和城乡建设局</w:t>
      </w:r>
    </w:p>
    <w:p w14:paraId="76175AAC">
      <w:pPr>
        <w:tabs>
          <w:tab w:val="left" w:pos="735"/>
        </w:tabs>
        <w:autoSpaceDE w:val="0"/>
        <w:autoSpaceDN w:val="0"/>
        <w:adjustRightInd w:val="0"/>
        <w:snapToGrid w:val="0"/>
        <w:spacing w:line="360" w:lineRule="auto"/>
        <w:jc w:val="left"/>
        <w:rPr>
          <w:rFonts w:hint="eastAsia" w:ascii="仿宋" w:hAnsi="仿宋" w:eastAsia="仿宋" w:cs="仿宋"/>
          <w:b/>
          <w:bCs/>
          <w:sz w:val="24"/>
          <w:szCs w:val="24"/>
          <w:lang w:val="zh-CN"/>
        </w:rPr>
      </w:pPr>
      <w:r>
        <w:rPr>
          <w:rFonts w:hint="eastAsia" w:ascii="仿宋" w:hAnsi="仿宋" w:eastAsia="仿宋" w:cs="仿宋"/>
          <w:b/>
          <w:bCs/>
          <w:sz w:val="24"/>
          <w:szCs w:val="24"/>
          <w:lang w:val="zh-CN"/>
        </w:rPr>
        <w:t>乙方：</w:t>
      </w:r>
    </w:p>
    <w:p w14:paraId="09A13269">
      <w:pPr>
        <w:numPr>
          <w:ilvl w:val="0"/>
          <w:numId w:val="1"/>
        </w:numPr>
        <w:tabs>
          <w:tab w:val="left" w:pos="735"/>
        </w:tabs>
        <w:autoSpaceDE w:val="0"/>
        <w:autoSpaceDN w:val="0"/>
        <w:adjustRightInd w:val="0"/>
        <w:snapToGrid w:val="0"/>
        <w:spacing w:line="360" w:lineRule="auto"/>
        <w:jc w:val="left"/>
        <w:rPr>
          <w:rFonts w:hint="eastAsia" w:ascii="仿宋" w:hAnsi="仿宋" w:eastAsia="仿宋" w:cs="仿宋"/>
          <w:b/>
          <w:bCs/>
          <w:sz w:val="24"/>
          <w:szCs w:val="24"/>
          <w:lang w:val="zh-CN"/>
        </w:rPr>
      </w:pPr>
      <w:r>
        <w:rPr>
          <w:rFonts w:hint="eastAsia" w:ascii="仿宋" w:hAnsi="仿宋" w:eastAsia="仿宋" w:cs="仿宋"/>
          <w:b/>
          <w:bCs/>
          <w:sz w:val="24"/>
          <w:szCs w:val="24"/>
          <w:lang w:val="zh-CN"/>
        </w:rPr>
        <w:t>合同内容:</w:t>
      </w:r>
    </w:p>
    <w:p w14:paraId="056FC2C7">
      <w:pPr>
        <w:autoSpaceDE w:val="0"/>
        <w:autoSpaceDN w:val="0"/>
        <w:adjustRightInd w:val="0"/>
        <w:spacing w:line="360" w:lineRule="auto"/>
        <w:ind w:firstLine="480" w:firstLineChars="200"/>
        <w:jc w:val="left"/>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项目名称：西安市长安区2026年城市体检评估工作</w:t>
      </w:r>
    </w:p>
    <w:p w14:paraId="2E58A8EC">
      <w:pPr>
        <w:autoSpaceDE w:val="0"/>
        <w:autoSpaceDN w:val="0"/>
        <w:adjustRightInd w:val="0"/>
        <w:spacing w:line="360" w:lineRule="auto"/>
        <w:ind w:firstLine="480" w:firstLineChars="200"/>
        <w:jc w:val="left"/>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项目编号：SZT2026-SN-QC-ZC-FW-0659</w:t>
      </w:r>
    </w:p>
    <w:p w14:paraId="405EEE00">
      <w:pPr>
        <w:autoSpaceDE w:val="0"/>
        <w:autoSpaceDN w:val="0"/>
        <w:adjustRightInd w:val="0"/>
        <w:spacing w:line="360" w:lineRule="auto"/>
        <w:ind w:firstLine="480" w:firstLineChars="200"/>
        <w:jc w:val="left"/>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项目概况：</w:t>
      </w:r>
    </w:p>
    <w:p w14:paraId="4832CAB5">
      <w:pPr>
        <w:keepNext w:val="0"/>
        <w:keepLines w:val="0"/>
        <w:pageBreakBefore w:val="0"/>
        <w:kinsoku/>
        <w:wordWrap/>
        <w:overflowPunct/>
        <w:topLinePunct w:val="0"/>
        <w:autoSpaceDE/>
        <w:autoSpaceDN/>
        <w:bidi w:val="0"/>
        <w:spacing w:line="360" w:lineRule="auto"/>
        <w:ind w:firstLine="440" w:firstLineChars="200"/>
        <w:jc w:val="both"/>
        <w:textAlignment w:val="auto"/>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长安区统筹推进 2026 年度区级城市综合体检与完整社区专项体检及城市体检更新基础数据建库工作。</w:t>
      </w:r>
    </w:p>
    <w:p w14:paraId="0019BEAD">
      <w:pPr>
        <w:keepNext w:val="0"/>
        <w:keepLines w:val="0"/>
        <w:pageBreakBefore w:val="0"/>
        <w:kinsoku/>
        <w:wordWrap/>
        <w:overflowPunct/>
        <w:topLinePunct w:val="0"/>
        <w:autoSpaceDE/>
        <w:autoSpaceDN/>
        <w:bidi w:val="0"/>
        <w:spacing w:line="360" w:lineRule="auto"/>
        <w:ind w:firstLine="440" w:firstLineChars="200"/>
        <w:jc w:val="both"/>
        <w:textAlignment w:val="auto"/>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一是扎实开展区级城市综合体检工作和完整社区专项体检。综合体检围绕住房、社区（小区）、街区、城区四大维度，优化完善区级城市体检指标体系；完整社区专项体检对照陕西省完整社区建设标准，搭建涵盖基本公共服务、便民商业、公共活动空间、市政配套、物业管理、社区治理六大板块指标体系。两项体检同步开展数据采集与城市体检主题宣传工作，依托采集数据开展全区问题深度研判与完整社区专项问题剖析，精准梳理制约城市竞争力、综合承载力、可持续发展的薄弱环节，以及群众急难愁盼的突出民生短板。综合体检形成问题清单、整治提升建议清单；完整社区专项体检形成社区问题、需求、资源三张清单，编制完成《长安区 2026 年城市体检和完整社区专项体检报告》。</w:t>
      </w:r>
    </w:p>
    <w:p w14:paraId="549F68D5">
      <w:pPr>
        <w:autoSpaceDE w:val="0"/>
        <w:autoSpaceDN w:val="0"/>
        <w:adjustRightInd w:val="0"/>
        <w:spacing w:line="360" w:lineRule="auto"/>
        <w:ind w:firstLine="440" w:firstLineChars="200"/>
        <w:jc w:val="left"/>
        <w:rPr>
          <w:rFonts w:hint="default" w:ascii="仿宋" w:hAnsi="仿宋" w:eastAsia="仿宋" w:cs="仿宋"/>
          <w:bCs/>
          <w:sz w:val="24"/>
          <w:szCs w:val="24"/>
          <w:lang w:val="en-US" w:eastAsia="zh-CN"/>
        </w:rPr>
      </w:pPr>
      <w:r>
        <w:rPr>
          <w:rFonts w:hint="eastAsia" w:ascii="仿宋" w:hAnsi="仿宋" w:eastAsia="仿宋" w:cs="仿宋"/>
          <w:kern w:val="2"/>
          <w:sz w:val="22"/>
          <w:szCs w:val="22"/>
          <w:highlight w:val="none"/>
          <w:lang w:val="en-US" w:eastAsia="zh-CN" w:bidi="ar-SA"/>
        </w:rPr>
        <w:t>二是推进城市体检基础数据建库。统筹汇聚全域基础空间信息，构建覆盖辖区、标准统一、动态更新的城市体检基础数据库，为城市精细化治理、区域高质量发展、城市更新项目谋划实施提供坚实的数据支撑。</w:t>
      </w:r>
    </w:p>
    <w:p w14:paraId="491F448F">
      <w:pPr>
        <w:tabs>
          <w:tab w:val="left" w:pos="735"/>
        </w:tabs>
        <w:adjustRightInd w:val="0"/>
        <w:snapToGrid w:val="0"/>
        <w:spacing w:line="360" w:lineRule="auto"/>
        <w:jc w:val="left"/>
        <w:rPr>
          <w:rFonts w:hint="eastAsia" w:ascii="仿宋" w:hAnsi="仿宋" w:eastAsia="仿宋" w:cs="仿宋"/>
          <w:b/>
          <w:sz w:val="24"/>
          <w:szCs w:val="24"/>
        </w:rPr>
      </w:pPr>
      <w:r>
        <w:rPr>
          <w:rFonts w:hint="eastAsia" w:ascii="仿宋" w:hAnsi="仿宋" w:eastAsia="仿宋" w:cs="仿宋"/>
          <w:b/>
          <w:sz w:val="24"/>
          <w:szCs w:val="24"/>
        </w:rPr>
        <w:t>二、合同价款</w:t>
      </w:r>
    </w:p>
    <w:p w14:paraId="191D3281">
      <w:pPr>
        <w:autoSpaceDE w:val="0"/>
        <w:autoSpaceDN w:val="0"/>
        <w:adjustRightInd w:val="0"/>
        <w:spacing w:line="360" w:lineRule="auto"/>
        <w:ind w:firstLine="480" w:firstLineChars="200"/>
        <w:jc w:val="left"/>
        <w:rPr>
          <w:rFonts w:hint="eastAsia" w:ascii="仿宋" w:hAnsi="仿宋" w:eastAsia="仿宋" w:cs="仿宋"/>
          <w:bCs/>
          <w:sz w:val="24"/>
          <w:szCs w:val="24"/>
        </w:rPr>
      </w:pPr>
      <w:r>
        <w:rPr>
          <w:rFonts w:hint="eastAsia" w:ascii="仿宋" w:hAnsi="仿宋" w:eastAsia="仿宋" w:cs="仿宋"/>
          <w:bCs/>
          <w:sz w:val="24"/>
          <w:szCs w:val="24"/>
        </w:rPr>
        <w:t>（一）合同总价款为人民币（大写）</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 xml:space="preserve"> ）。</w:t>
      </w:r>
    </w:p>
    <w:p w14:paraId="2EFD6E5C">
      <w:pPr>
        <w:autoSpaceDE w:val="0"/>
        <w:autoSpaceDN w:val="0"/>
        <w:adjustRightInd w:val="0"/>
        <w:spacing w:line="360" w:lineRule="auto"/>
        <w:ind w:firstLine="480" w:firstLineChars="200"/>
        <w:jc w:val="left"/>
        <w:rPr>
          <w:rFonts w:ascii="仿宋" w:hAnsi="仿宋" w:eastAsia="仿宋" w:cs="仿宋"/>
          <w:sz w:val="24"/>
          <w:szCs w:val="20"/>
          <w:u w:val="single"/>
        </w:rPr>
      </w:pPr>
      <w:r>
        <w:rPr>
          <w:rFonts w:hint="eastAsia" w:ascii="仿宋" w:hAnsi="仿宋" w:eastAsia="仿宋" w:cs="仿宋"/>
          <w:bCs/>
          <w:sz w:val="24"/>
          <w:szCs w:val="24"/>
        </w:rPr>
        <w:t>（二）合同总价包括：</w:t>
      </w:r>
      <w:r>
        <w:rPr>
          <w:rFonts w:hint="eastAsia" w:ascii="仿宋" w:hAnsi="仿宋" w:eastAsia="仿宋" w:cs="仿宋"/>
          <w:bCs/>
          <w:sz w:val="24"/>
          <w:szCs w:val="24"/>
          <w:u w:val="single"/>
        </w:rPr>
        <w:t xml:space="preserve">                       。</w:t>
      </w:r>
    </w:p>
    <w:p w14:paraId="68FF8D9C">
      <w:pPr>
        <w:tabs>
          <w:tab w:val="left" w:pos="735"/>
        </w:tabs>
        <w:adjustRightInd w:val="0"/>
        <w:snapToGrid w:val="0"/>
        <w:spacing w:line="360" w:lineRule="auto"/>
        <w:jc w:val="left"/>
        <w:rPr>
          <w:rFonts w:hint="eastAsia" w:ascii="仿宋" w:hAnsi="仿宋" w:eastAsia="仿宋" w:cs="仿宋"/>
          <w:b/>
          <w:sz w:val="24"/>
          <w:szCs w:val="24"/>
        </w:rPr>
      </w:pPr>
      <w:r>
        <w:rPr>
          <w:rFonts w:hint="eastAsia" w:ascii="仿宋" w:hAnsi="仿宋" w:eastAsia="仿宋" w:cs="仿宋"/>
          <w:b/>
          <w:sz w:val="24"/>
          <w:szCs w:val="24"/>
        </w:rPr>
        <w:t>三、合同结算</w:t>
      </w:r>
    </w:p>
    <w:p w14:paraId="72BDDE7F">
      <w:pPr>
        <w:tabs>
          <w:tab w:val="left" w:pos="735"/>
        </w:tabs>
        <w:adjustRightInd w:val="0"/>
        <w:snapToGrid w:val="0"/>
        <w:spacing w:line="360" w:lineRule="auto"/>
        <w:ind w:firstLine="470" w:firstLineChars="196"/>
        <w:jc w:val="left"/>
        <w:rPr>
          <w:rFonts w:hint="eastAsia" w:ascii="仿宋" w:hAnsi="仿宋" w:eastAsia="仿宋" w:cs="仿宋"/>
          <w:sz w:val="24"/>
          <w:szCs w:val="24"/>
        </w:rPr>
      </w:pPr>
      <w:r>
        <w:rPr>
          <w:rFonts w:hint="eastAsia" w:ascii="仿宋" w:hAnsi="仿宋" w:eastAsia="仿宋" w:cs="仿宋"/>
          <w:sz w:val="24"/>
          <w:szCs w:val="24"/>
        </w:rPr>
        <w:t>完成全部工作内容并经甲方审核确认后十个工作日内支付合同总价款的60%；项目成果通过专家评审、甲方验收合格后十个工作日内支付合同总价款的40%。</w:t>
      </w:r>
    </w:p>
    <w:p w14:paraId="488087F7">
      <w:pPr>
        <w:tabs>
          <w:tab w:val="left" w:pos="735"/>
        </w:tabs>
        <w:adjustRightInd w:val="0"/>
        <w:snapToGrid w:val="0"/>
        <w:spacing w:line="360" w:lineRule="auto"/>
        <w:jc w:val="left"/>
        <w:rPr>
          <w:rFonts w:hint="eastAsia" w:ascii="仿宋" w:hAnsi="仿宋" w:eastAsia="仿宋" w:cs="仿宋"/>
          <w:b/>
          <w:sz w:val="24"/>
          <w:szCs w:val="24"/>
        </w:rPr>
      </w:pPr>
      <w:r>
        <w:rPr>
          <w:rFonts w:hint="eastAsia" w:ascii="仿宋" w:hAnsi="仿宋" w:eastAsia="仿宋" w:cs="仿宋"/>
          <w:b/>
          <w:sz w:val="24"/>
          <w:szCs w:val="24"/>
        </w:rPr>
        <w:t>四、服务期限</w:t>
      </w:r>
    </w:p>
    <w:p w14:paraId="16B39633">
      <w:pPr>
        <w:widowControl w:val="0"/>
        <w:spacing w:after="0" w:line="360" w:lineRule="auto"/>
        <w:jc w:val="both"/>
        <w:rPr>
          <w:rFonts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 xml:space="preserve">    自签订合同之日起180日历天。</w:t>
      </w:r>
    </w:p>
    <w:p w14:paraId="664B1728">
      <w:pPr>
        <w:widowControl w:val="0"/>
        <w:spacing w:after="0" w:line="360" w:lineRule="auto"/>
        <w:jc w:val="both"/>
        <w:rPr>
          <w:rFonts w:hint="eastAsia" w:ascii="仿宋" w:hAnsi="仿宋" w:eastAsia="仿宋" w:cs="仿宋"/>
          <w:b/>
          <w:kern w:val="2"/>
          <w:sz w:val="24"/>
          <w:szCs w:val="24"/>
          <w:lang w:val="en-US" w:eastAsia="zh-CN" w:bidi="ar-SA"/>
        </w:rPr>
      </w:pPr>
      <w:r>
        <w:rPr>
          <w:rFonts w:hint="eastAsia" w:ascii="仿宋" w:hAnsi="仿宋" w:eastAsia="仿宋" w:cs="仿宋"/>
          <w:b/>
          <w:kern w:val="2"/>
          <w:sz w:val="24"/>
          <w:szCs w:val="24"/>
          <w:lang w:val="en-US" w:eastAsia="zh-CN" w:bidi="ar-SA"/>
        </w:rPr>
        <w:t>五、服务内容</w:t>
      </w:r>
    </w:p>
    <w:p w14:paraId="52DDBE6E">
      <w:pPr>
        <w:keepNext w:val="0"/>
        <w:keepLines w:val="0"/>
        <w:pageBreakBefore w:val="0"/>
        <w:kinsoku/>
        <w:wordWrap/>
        <w:overflowPunct/>
        <w:topLinePunct w:val="0"/>
        <w:autoSpaceDE/>
        <w:autoSpaceDN/>
        <w:bidi w:val="0"/>
        <w:spacing w:line="360" w:lineRule="auto"/>
        <w:ind w:firstLine="440" w:firstLineChars="200"/>
        <w:jc w:val="both"/>
        <w:textAlignment w:val="auto"/>
        <w:outlineLvl w:val="1"/>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（一）区级城市综合体检及完整社区专项体检</w:t>
      </w:r>
    </w:p>
    <w:p w14:paraId="41C582C4">
      <w:pPr>
        <w:keepNext w:val="0"/>
        <w:keepLines w:val="0"/>
        <w:pageBreakBefore w:val="0"/>
        <w:kinsoku/>
        <w:wordWrap/>
        <w:overflowPunct/>
        <w:topLinePunct w:val="0"/>
        <w:autoSpaceDE/>
        <w:autoSpaceDN/>
        <w:bidi w:val="0"/>
        <w:spacing w:line="360" w:lineRule="auto"/>
        <w:ind w:firstLine="440" w:firstLineChars="200"/>
        <w:jc w:val="both"/>
        <w:textAlignment w:val="auto"/>
        <w:outlineLvl w:val="1"/>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1.体检范围及对象</w:t>
      </w:r>
    </w:p>
    <w:p w14:paraId="5AE78391">
      <w:pPr>
        <w:keepNext w:val="0"/>
        <w:keepLines w:val="0"/>
        <w:pageBreakBefore w:val="0"/>
        <w:kinsoku/>
        <w:wordWrap/>
        <w:overflowPunct/>
        <w:topLinePunct w:val="0"/>
        <w:autoSpaceDE/>
        <w:autoSpaceDN/>
        <w:bidi w:val="0"/>
        <w:spacing w:line="360" w:lineRule="auto"/>
        <w:ind w:firstLine="440" w:firstLineChars="200"/>
        <w:jc w:val="both"/>
        <w:textAlignment w:val="auto"/>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长安区城市综合体检包含住房、社区（小区）、街区、城区（城市）四个维度，体检范围为长安区自管区；体检对象包括建成区范围内的全部城镇居住建筑、全部社区（小区）和街道；</w:t>
      </w:r>
    </w:p>
    <w:p w14:paraId="4DA8C97E">
      <w:pPr>
        <w:keepNext w:val="0"/>
        <w:keepLines w:val="0"/>
        <w:pageBreakBefore w:val="0"/>
        <w:kinsoku/>
        <w:wordWrap/>
        <w:overflowPunct/>
        <w:topLinePunct w:val="0"/>
        <w:autoSpaceDE/>
        <w:autoSpaceDN/>
        <w:bidi w:val="0"/>
        <w:spacing w:line="360" w:lineRule="auto"/>
        <w:ind w:firstLine="440" w:firstLineChars="200"/>
        <w:jc w:val="both"/>
        <w:textAlignment w:val="auto"/>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完整社区专项体检全域初步摸排范围为全部社区，深入体检范围为通过全域初步摸排后筛选的3-5个社区。</w:t>
      </w:r>
    </w:p>
    <w:p w14:paraId="34067BC6">
      <w:pPr>
        <w:keepNext w:val="0"/>
        <w:keepLines w:val="0"/>
        <w:pageBreakBefore w:val="0"/>
        <w:kinsoku/>
        <w:wordWrap/>
        <w:overflowPunct/>
        <w:topLinePunct w:val="0"/>
        <w:autoSpaceDE/>
        <w:autoSpaceDN/>
        <w:bidi w:val="0"/>
        <w:spacing w:line="360" w:lineRule="auto"/>
        <w:ind w:firstLine="440" w:firstLineChars="200"/>
        <w:textAlignment w:val="auto"/>
        <w:outlineLvl w:val="1"/>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2.工作内容及要求</w:t>
      </w:r>
    </w:p>
    <w:p w14:paraId="0FB5981E">
      <w:pPr>
        <w:keepNext w:val="0"/>
        <w:keepLines w:val="0"/>
        <w:pageBreakBefore w:val="0"/>
        <w:kinsoku/>
        <w:wordWrap/>
        <w:overflowPunct/>
        <w:topLinePunct w:val="0"/>
        <w:autoSpaceDE/>
        <w:autoSpaceDN/>
        <w:bidi w:val="0"/>
        <w:spacing w:line="360" w:lineRule="auto"/>
        <w:ind w:firstLine="440" w:firstLineChars="200"/>
        <w:textAlignment w:val="auto"/>
        <w:outlineLvl w:val="2"/>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2.1制定城市体检评估工作实施方案</w:t>
      </w:r>
    </w:p>
    <w:p w14:paraId="4E8E7787">
      <w:pPr>
        <w:keepNext w:val="0"/>
        <w:keepLines w:val="0"/>
        <w:pageBreakBefore w:val="0"/>
        <w:kinsoku/>
        <w:wordWrap/>
        <w:overflowPunct/>
        <w:topLinePunct w:val="0"/>
        <w:autoSpaceDE/>
        <w:autoSpaceDN/>
        <w:bidi w:val="0"/>
        <w:spacing w:line="360" w:lineRule="auto"/>
        <w:ind w:firstLine="440" w:firstLineChars="200"/>
        <w:jc w:val="both"/>
        <w:textAlignment w:val="auto"/>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明确区级城市综合体检及社区专项体检工作的总体要求、工作目标、体检范围、工作机制、工作任务及重点等；详细制定工作任务与时间安排，对体检指标体系制定、数据采集和上报、城市体检宣传、报告编制、项目库建设等工作明确内容要求、职责分工以及完成时间，确保工作规范有序推进。</w:t>
      </w:r>
    </w:p>
    <w:p w14:paraId="76CAFDDC">
      <w:pPr>
        <w:keepNext w:val="0"/>
        <w:keepLines w:val="0"/>
        <w:pageBreakBefore w:val="0"/>
        <w:kinsoku/>
        <w:wordWrap/>
        <w:overflowPunct/>
        <w:topLinePunct w:val="0"/>
        <w:autoSpaceDE/>
        <w:autoSpaceDN/>
        <w:bidi w:val="0"/>
        <w:spacing w:line="360" w:lineRule="auto"/>
        <w:ind w:firstLine="440" w:firstLineChars="200"/>
        <w:textAlignment w:val="auto"/>
        <w:outlineLvl w:val="2"/>
        <w:rPr>
          <w:rFonts w:hint="eastAsia" w:ascii="仿宋" w:hAnsi="仿宋" w:eastAsia="仿宋" w:cs="仿宋"/>
          <w:kern w:val="2"/>
          <w:sz w:val="22"/>
          <w:szCs w:val="22"/>
          <w:highlight w:val="none"/>
          <w:lang w:val="en-US" w:eastAsia="zh-CN" w:bidi="ar-SA"/>
        </w:rPr>
      </w:pPr>
      <w:r>
        <w:rPr>
          <w:rFonts w:hint="eastAsia" w:ascii="仿宋" w:hAnsi="仿宋" w:eastAsia="仿宋" w:cs="仿宋"/>
          <w:sz w:val="22"/>
          <w:szCs w:val="22"/>
          <w:highlight w:val="none"/>
          <w:lang w:val="en-US" w:eastAsia="zh-CN"/>
        </w:rPr>
        <w:t>2.2</w:t>
      </w:r>
      <w:r>
        <w:rPr>
          <w:rFonts w:hint="eastAsia" w:ascii="仿宋" w:hAnsi="仿宋" w:eastAsia="仿宋" w:cs="仿宋"/>
          <w:kern w:val="2"/>
          <w:sz w:val="22"/>
          <w:szCs w:val="22"/>
          <w:highlight w:val="none"/>
          <w:lang w:val="en-US" w:eastAsia="zh-CN" w:bidi="ar-SA"/>
        </w:rPr>
        <w:t>构建长安区城市体检指标体系</w:t>
      </w:r>
    </w:p>
    <w:p w14:paraId="3DF5A4D6">
      <w:pPr>
        <w:keepNext w:val="0"/>
        <w:keepLines w:val="0"/>
        <w:pageBreakBefore w:val="0"/>
        <w:kinsoku/>
        <w:wordWrap/>
        <w:overflowPunct/>
        <w:topLinePunct w:val="0"/>
        <w:autoSpaceDE/>
        <w:autoSpaceDN/>
        <w:bidi w:val="0"/>
        <w:spacing w:line="360" w:lineRule="auto"/>
        <w:ind w:firstLine="440" w:firstLineChars="200"/>
        <w:jc w:val="both"/>
        <w:textAlignment w:val="auto"/>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依据西安市城市综合体检及完整社区专项体检相关文件要求，结合长安区实际及特色，以精准发现问题为导向，为促进城市综合体检与社区专项体检统筹，联动城市更新项目实施，建立城区、街区、社区（小区）、住房四个维度，涵盖生态宜居、历史文化保护利用、安全韧性、智慧高效等几大方面的长安区特色化城市体检指标体系。</w:t>
      </w:r>
    </w:p>
    <w:p w14:paraId="18179E28">
      <w:pPr>
        <w:keepNext w:val="0"/>
        <w:keepLines w:val="0"/>
        <w:pageBreakBefore w:val="0"/>
        <w:kinsoku/>
        <w:wordWrap/>
        <w:overflowPunct/>
        <w:topLinePunct w:val="0"/>
        <w:autoSpaceDE/>
        <w:autoSpaceDN/>
        <w:bidi w:val="0"/>
        <w:spacing w:line="360" w:lineRule="auto"/>
        <w:ind w:firstLine="440" w:firstLineChars="200"/>
        <w:jc w:val="left"/>
        <w:textAlignment w:val="auto"/>
        <w:outlineLvl w:val="2"/>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2.3开展多渠道数据采集及实地调查</w:t>
      </w:r>
    </w:p>
    <w:p w14:paraId="35D5B935">
      <w:pPr>
        <w:keepNext w:val="0"/>
        <w:keepLines w:val="0"/>
        <w:pageBreakBefore w:val="0"/>
        <w:kinsoku/>
        <w:wordWrap/>
        <w:overflowPunct/>
        <w:topLinePunct w:val="0"/>
        <w:autoSpaceDE/>
        <w:autoSpaceDN/>
        <w:bidi w:val="0"/>
        <w:spacing w:line="360" w:lineRule="auto"/>
        <w:ind w:firstLine="440" w:firstLineChars="200"/>
        <w:jc w:val="left"/>
        <w:textAlignment w:val="auto"/>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按照指标体系，明确数据来源，统筹收集区级各部门行业专项数据，同步组织各街办、社区利用微信小程序开展街区、社区（小区）、住房维度体检数据采集；开展业务培训指导，并针对填报困难的街区和社区提供一对一指导与辅助填报服务；针对社区专项体检筛选的3-5个重点社区进行深入实地调研，收集相关数据资料；融合社会大数据、遥感数据等，实现多源数据整合汇交，夯实城市体检更新数据底座，切实保障体检更新基础数据全面、真实、准确。</w:t>
      </w:r>
    </w:p>
    <w:p w14:paraId="2C4F60E9">
      <w:pPr>
        <w:keepNext w:val="0"/>
        <w:keepLines w:val="0"/>
        <w:pageBreakBefore w:val="0"/>
        <w:kinsoku/>
        <w:wordWrap/>
        <w:overflowPunct/>
        <w:topLinePunct w:val="0"/>
        <w:autoSpaceDE/>
        <w:autoSpaceDN/>
        <w:bidi w:val="0"/>
        <w:spacing w:line="360" w:lineRule="auto"/>
        <w:ind w:firstLine="440" w:firstLineChars="200"/>
        <w:jc w:val="left"/>
        <w:textAlignment w:val="auto"/>
        <w:outlineLvl w:val="2"/>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2.4编制城市体检报告和完整社区专项体检报告</w:t>
      </w:r>
    </w:p>
    <w:p w14:paraId="616EE385">
      <w:pPr>
        <w:keepNext w:val="0"/>
        <w:keepLines w:val="0"/>
        <w:pageBreakBefore w:val="0"/>
        <w:kinsoku/>
        <w:wordWrap/>
        <w:overflowPunct/>
        <w:topLinePunct w:val="0"/>
        <w:autoSpaceDE/>
        <w:autoSpaceDN/>
        <w:bidi w:val="0"/>
        <w:spacing w:line="360" w:lineRule="auto"/>
        <w:ind w:firstLine="440" w:firstLineChars="200"/>
        <w:jc w:val="left"/>
        <w:textAlignment w:val="auto"/>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在数据核算、指标评价、问题短板分析基础上，编制《长安区2026年城市体检和完整社区专项体检报告》，结合问题影响范围、整改难易程度、实施落地条件等实际情况，将体检排查发现的各类问题科学划分为限时整改类、尽力解决类，梳理形成问题清单、整治建议清单，为后续问题整改、城市更新提质、精细化管理及项目谋划、实施提供科学依据与行动指引。</w:t>
      </w:r>
    </w:p>
    <w:p w14:paraId="7F710F18">
      <w:pPr>
        <w:keepNext w:val="0"/>
        <w:keepLines w:val="0"/>
        <w:pageBreakBefore w:val="0"/>
        <w:kinsoku/>
        <w:wordWrap/>
        <w:overflowPunct/>
        <w:topLinePunct w:val="0"/>
        <w:autoSpaceDE/>
        <w:autoSpaceDN/>
        <w:bidi w:val="0"/>
        <w:spacing w:line="360" w:lineRule="auto"/>
        <w:ind w:firstLine="440" w:firstLineChars="200"/>
        <w:jc w:val="left"/>
        <w:textAlignment w:val="auto"/>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2.5开展城市体检宣传</w:t>
      </w:r>
    </w:p>
    <w:p w14:paraId="0A091CD0">
      <w:pPr>
        <w:keepNext w:val="0"/>
        <w:keepLines w:val="0"/>
        <w:pageBreakBefore w:val="0"/>
        <w:kinsoku/>
        <w:wordWrap/>
        <w:overflowPunct/>
        <w:topLinePunct w:val="0"/>
        <w:autoSpaceDE/>
        <w:autoSpaceDN/>
        <w:bidi w:val="0"/>
        <w:spacing w:line="360" w:lineRule="auto"/>
        <w:ind w:firstLine="440" w:firstLineChars="200"/>
        <w:jc w:val="left"/>
        <w:textAlignment w:val="auto"/>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组织开展本区内城市体检宣传活动，内容包括制作宣传物料，借助自媒体、户外视频、电子显示屏、发放宣传册等公共宣传资源开展宣传，吸引社会广大居民参与到城市体检中来。</w:t>
      </w:r>
    </w:p>
    <w:p w14:paraId="75318B64">
      <w:pPr>
        <w:keepNext w:val="0"/>
        <w:keepLines w:val="0"/>
        <w:pageBreakBefore w:val="0"/>
        <w:kinsoku/>
        <w:wordWrap/>
        <w:overflowPunct/>
        <w:topLinePunct w:val="0"/>
        <w:autoSpaceDE/>
        <w:autoSpaceDN/>
        <w:bidi w:val="0"/>
        <w:spacing w:line="360" w:lineRule="auto"/>
        <w:ind w:firstLine="440" w:firstLineChars="200"/>
        <w:jc w:val="both"/>
        <w:textAlignment w:val="auto"/>
        <w:outlineLvl w:val="1"/>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（二）建立体检更新基础数据库</w:t>
      </w:r>
    </w:p>
    <w:p w14:paraId="3CC0776D">
      <w:pPr>
        <w:keepNext w:val="0"/>
        <w:keepLines w:val="0"/>
        <w:pageBreakBefore w:val="0"/>
        <w:kinsoku/>
        <w:wordWrap/>
        <w:overflowPunct/>
        <w:topLinePunct w:val="0"/>
        <w:autoSpaceDE/>
        <w:autoSpaceDN/>
        <w:bidi w:val="0"/>
        <w:spacing w:line="360" w:lineRule="auto"/>
        <w:ind w:firstLine="440" w:firstLineChars="200"/>
        <w:jc w:val="left"/>
        <w:textAlignment w:val="auto"/>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1.开展房屋数据规整</w:t>
      </w:r>
    </w:p>
    <w:p w14:paraId="13311EDD">
      <w:pPr>
        <w:keepNext w:val="0"/>
        <w:keepLines w:val="0"/>
        <w:pageBreakBefore w:val="0"/>
        <w:kinsoku/>
        <w:wordWrap/>
        <w:overflowPunct/>
        <w:topLinePunct w:val="0"/>
        <w:autoSpaceDE/>
        <w:autoSpaceDN/>
        <w:bidi w:val="0"/>
        <w:spacing w:line="360" w:lineRule="auto"/>
        <w:ind w:firstLine="440" w:firstLineChars="200"/>
        <w:jc w:val="left"/>
        <w:textAlignment w:val="auto"/>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对长安区现有多版房屋建筑存量数据开展系统性数据治理，针对格式不一、精度各异、信息零散、底数不清等问题，开展标准化处理工作，形成空间数据，实现房屋底数清晰、数据规范统一，按照分级分类原则建立统一管理台账，便于检索查询，为后续多源数据融合汇总、城市精细化管理及相关工作开展筑牢基础支撑。</w:t>
      </w:r>
    </w:p>
    <w:p w14:paraId="27BC7AE6">
      <w:pPr>
        <w:keepNext w:val="0"/>
        <w:keepLines w:val="0"/>
        <w:pageBreakBefore w:val="0"/>
        <w:kinsoku/>
        <w:wordWrap/>
        <w:overflowPunct/>
        <w:topLinePunct w:val="0"/>
        <w:autoSpaceDE/>
        <w:autoSpaceDN/>
        <w:bidi w:val="0"/>
        <w:spacing w:line="360" w:lineRule="auto"/>
        <w:ind w:firstLine="440" w:firstLineChars="200"/>
        <w:jc w:val="left"/>
        <w:textAlignment w:val="auto"/>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2.构建城市体检基础数据库</w:t>
      </w:r>
    </w:p>
    <w:p w14:paraId="17B3051B">
      <w:pPr>
        <w:adjustRightInd w:val="0"/>
        <w:snapToGrid w:val="0"/>
        <w:spacing w:line="360" w:lineRule="auto"/>
        <w:ind w:firstLine="440" w:firstLineChars="200"/>
        <w:jc w:val="left"/>
        <w:rPr>
          <w:rFonts w:ascii="仿宋" w:hAnsi="仿宋" w:eastAsia="仿宋" w:cs="仿宋"/>
          <w:sz w:val="24"/>
          <w:szCs w:val="24"/>
        </w:rPr>
      </w:pPr>
      <w:r>
        <w:rPr>
          <w:rFonts w:hint="eastAsia" w:ascii="仿宋" w:hAnsi="仿宋" w:eastAsia="仿宋" w:cs="仿宋"/>
          <w:kern w:val="2"/>
          <w:sz w:val="22"/>
          <w:szCs w:val="22"/>
          <w:highlight w:val="none"/>
          <w:lang w:val="en-US" w:eastAsia="zh-CN" w:bidi="ar-SA"/>
        </w:rPr>
        <w:t>全面汇聚长安区各类行政管理边界数据；按照统一坐标体系构建房屋-社区-街道-城区四个维度的体检更新基础数据库，实现各类数据精准落位，为城市体检、城市更新、房屋安全管理、老旧小区及危房改造等工作提供统一的数据分析决策支撑。</w:t>
      </w:r>
    </w:p>
    <w:p w14:paraId="233C99E7">
      <w:pPr>
        <w:numPr>
          <w:ilvl w:val="0"/>
          <w:numId w:val="2"/>
        </w:numPr>
        <w:adjustRightInd w:val="0"/>
        <w:snapToGrid w:val="0"/>
        <w:spacing w:line="360" w:lineRule="auto"/>
        <w:jc w:val="left"/>
        <w:rPr>
          <w:rFonts w:hint="eastAsia" w:ascii="仿宋" w:hAnsi="仿宋" w:eastAsia="仿宋" w:cs="仿宋"/>
          <w:b/>
          <w:bCs/>
          <w:sz w:val="24"/>
          <w:szCs w:val="24"/>
        </w:rPr>
      </w:pPr>
      <w:r>
        <w:rPr>
          <w:rFonts w:hint="eastAsia" w:ascii="仿宋" w:hAnsi="仿宋" w:eastAsia="仿宋" w:cs="仿宋"/>
          <w:b/>
          <w:bCs/>
          <w:sz w:val="24"/>
          <w:szCs w:val="24"/>
        </w:rPr>
        <w:t>项目质量要求</w:t>
      </w:r>
    </w:p>
    <w:p w14:paraId="6BE3354E">
      <w:pPr>
        <w:widowControl w:val="0"/>
        <w:spacing w:after="0" w:line="360" w:lineRule="auto"/>
        <w:ind w:firstLine="480" w:firstLineChars="2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（1）严格执行国家、陕西省、西安市相关行业标准、规范、相关技术规定、政策性文件。</w:t>
      </w:r>
    </w:p>
    <w:p w14:paraId="15846600">
      <w:pPr>
        <w:widowControl w:val="0"/>
        <w:spacing w:after="0" w:line="360" w:lineRule="auto"/>
        <w:ind w:firstLine="480" w:firstLineChars="200"/>
        <w:jc w:val="both"/>
        <w:rPr>
          <w:rFonts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（2）验收过程中所产生的一切费用均由成交供应商承担。报价时应考虑相关费用。</w:t>
      </w:r>
    </w:p>
    <w:p w14:paraId="3E3EE8A7">
      <w:pPr>
        <w:adjustRightInd w:val="0"/>
        <w:snapToGrid w:val="0"/>
        <w:spacing w:line="360" w:lineRule="auto"/>
        <w:jc w:val="left"/>
        <w:rPr>
          <w:rFonts w:hint="eastAsia" w:ascii="仿宋" w:hAnsi="仿宋" w:eastAsia="仿宋" w:cs="仿宋"/>
          <w:b/>
          <w:bCs/>
          <w:sz w:val="24"/>
          <w:szCs w:val="24"/>
        </w:rPr>
      </w:pPr>
      <w:r>
        <w:rPr>
          <w:rFonts w:hint="eastAsia" w:ascii="仿宋" w:hAnsi="仿宋" w:eastAsia="仿宋" w:cs="仿宋"/>
          <w:b/>
          <w:bCs/>
          <w:sz w:val="24"/>
          <w:szCs w:val="24"/>
        </w:rPr>
        <w:t>七、服务要求</w:t>
      </w:r>
    </w:p>
    <w:p w14:paraId="11D7A522">
      <w:pPr>
        <w:adjustRightInd w:val="0"/>
        <w:snapToGrid w:val="0"/>
        <w:spacing w:line="360" w:lineRule="auto"/>
        <w:jc w:val="left"/>
        <w:rPr>
          <w:rFonts w:hint="eastAsia" w:ascii="仿宋" w:hAnsi="仿宋" w:eastAsia="仿宋" w:cs="仿宋"/>
          <w:sz w:val="24"/>
          <w:szCs w:val="24"/>
          <w:u w:val="single"/>
        </w:rPr>
      </w:pPr>
      <w:r>
        <w:rPr>
          <w:rFonts w:hint="eastAsia" w:ascii="仿宋" w:hAnsi="仿宋" w:eastAsia="仿宋" w:cs="仿宋"/>
          <w:sz w:val="24"/>
          <w:szCs w:val="24"/>
        </w:rPr>
        <w:t xml:space="preserve">    须配备专业、稳定的项目服务团队，配备项目负责人、技术骨干、调研人员等专职人员，全程负责项目实施、数据校核、调研走访、报告编制及对接答疑，保障项目按期保质完成。</w:t>
      </w:r>
    </w:p>
    <w:p w14:paraId="4C5519B7">
      <w:pPr>
        <w:adjustRightInd w:val="0"/>
        <w:snapToGrid w:val="0"/>
        <w:spacing w:line="360" w:lineRule="auto"/>
        <w:jc w:val="left"/>
        <w:rPr>
          <w:rFonts w:ascii="Calibri" w:hAnsi="Calibri" w:eastAsia="仿宋" w:cs="Times New Roman"/>
          <w:sz w:val="24"/>
          <w:szCs w:val="20"/>
        </w:rPr>
      </w:pPr>
      <w:r>
        <w:rPr>
          <w:rFonts w:hint="eastAsia" w:ascii="仿宋" w:hAnsi="仿宋" w:eastAsia="仿宋" w:cs="仿宋"/>
          <w:b/>
          <w:sz w:val="24"/>
          <w:szCs w:val="24"/>
        </w:rPr>
        <w:t>八、验收</w:t>
      </w:r>
    </w:p>
    <w:p w14:paraId="46A96C39">
      <w:pPr>
        <w:widowControl w:val="0"/>
        <w:spacing w:after="0" w:line="360" w:lineRule="auto"/>
        <w:ind w:firstLine="420"/>
        <w:jc w:val="both"/>
        <w:rPr>
          <w:rFonts w:hint="eastAsia" w:ascii="仿宋" w:hAnsi="仿宋" w:eastAsia="仿宋" w:cs="仿宋"/>
          <w:kern w:val="2"/>
          <w:sz w:val="24"/>
          <w:szCs w:val="22"/>
          <w:lang w:val="en-US" w:eastAsia="zh-CN" w:bidi="ar-SA"/>
        </w:rPr>
      </w:pPr>
      <w:r>
        <w:rPr>
          <w:rFonts w:hint="eastAsia" w:ascii="仿宋" w:hAnsi="仿宋" w:eastAsia="仿宋" w:cs="仿宋"/>
          <w:kern w:val="2"/>
          <w:sz w:val="24"/>
          <w:szCs w:val="22"/>
          <w:lang w:val="en-US" w:eastAsia="zh-CN" w:bidi="ar-SA"/>
        </w:rPr>
        <w:t>向采购人提交完整的成果资料，由采购人组织专家开展评审，经专家评审合格、采购人复核确认并出具验收意见后，视为项目验收通过。</w:t>
      </w:r>
    </w:p>
    <w:p w14:paraId="1EC5DFB8">
      <w:pPr>
        <w:adjustRightInd w:val="0"/>
        <w:snapToGrid w:val="0"/>
        <w:spacing w:line="360" w:lineRule="auto"/>
        <w:jc w:val="left"/>
        <w:rPr>
          <w:rFonts w:hint="eastAsia" w:ascii="仿宋" w:hAnsi="仿宋" w:eastAsia="仿宋" w:cs="仿宋"/>
          <w:b/>
          <w:sz w:val="24"/>
          <w:szCs w:val="24"/>
        </w:rPr>
      </w:pPr>
      <w:r>
        <w:rPr>
          <w:rFonts w:hint="eastAsia" w:ascii="仿宋" w:hAnsi="仿宋" w:eastAsia="仿宋" w:cs="仿宋"/>
          <w:b/>
          <w:sz w:val="24"/>
          <w:szCs w:val="24"/>
        </w:rPr>
        <w:t>九、违约责任</w:t>
      </w:r>
    </w:p>
    <w:p w14:paraId="24D77528">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（1）按《中华人民共和国民法典》中的相关条款执行。</w:t>
      </w:r>
    </w:p>
    <w:p w14:paraId="7F56AC54">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（2）未按合同或招标书要求提供服务，提交的成果质量未能达到采购文件规定的标准，采购单位有权终止合同。</w:t>
      </w:r>
    </w:p>
    <w:p w14:paraId="3814A571">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（3）乙方及其工作人员需遵守采购单位的保密规定，不以任何形式将收集的所有资料提供给合同双方以外的其他方，如有违反保密规定，采购单位有权终止合同。</w:t>
      </w:r>
    </w:p>
    <w:p w14:paraId="2502B8E9">
      <w:pPr>
        <w:adjustRightInd w:val="0"/>
        <w:snapToGrid w:val="0"/>
        <w:spacing w:line="360" w:lineRule="auto"/>
        <w:jc w:val="left"/>
        <w:rPr>
          <w:rFonts w:hint="eastAsia" w:ascii="仿宋" w:hAnsi="仿宋" w:eastAsia="仿宋" w:cs="仿宋"/>
          <w:b/>
          <w:sz w:val="24"/>
          <w:szCs w:val="24"/>
        </w:rPr>
      </w:pPr>
      <w:r>
        <w:rPr>
          <w:rFonts w:hint="eastAsia" w:ascii="仿宋" w:hAnsi="仿宋" w:eastAsia="仿宋" w:cs="仿宋"/>
          <w:b/>
          <w:sz w:val="24"/>
          <w:szCs w:val="24"/>
        </w:rPr>
        <w:t>十、合同组成</w:t>
      </w:r>
    </w:p>
    <w:p w14:paraId="00D00F3A">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1、国家相关规范及标准</w:t>
      </w:r>
    </w:p>
    <w:p w14:paraId="4441F9ED">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2、合同文件</w:t>
      </w:r>
    </w:p>
    <w:p w14:paraId="04E5CE82">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3、成交通知书</w:t>
      </w:r>
    </w:p>
    <w:p w14:paraId="67D2148A">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4、磋商文件</w:t>
      </w:r>
    </w:p>
    <w:p w14:paraId="60B4880E">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5、响应文件</w:t>
      </w:r>
    </w:p>
    <w:p w14:paraId="1E905FC9">
      <w:pPr>
        <w:widowControl/>
        <w:autoSpaceDE w:val="0"/>
        <w:autoSpaceDN w:val="0"/>
        <w:snapToGrid w:val="0"/>
        <w:spacing w:line="360" w:lineRule="auto"/>
        <w:ind w:right="893"/>
        <w:jc w:val="left"/>
        <w:textAlignment w:val="bottom"/>
        <w:rPr>
          <w:rFonts w:hint="eastAsia" w:ascii="仿宋" w:hAnsi="仿宋" w:eastAsia="仿宋" w:cs="仿宋"/>
          <w:b/>
          <w:kern w:val="0"/>
          <w:sz w:val="24"/>
          <w:szCs w:val="24"/>
        </w:rPr>
      </w:pPr>
      <w:r>
        <w:rPr>
          <w:rFonts w:hint="eastAsia" w:ascii="仿宋" w:hAnsi="仿宋" w:eastAsia="仿宋" w:cs="仿宋"/>
          <w:b/>
          <w:kern w:val="0"/>
          <w:sz w:val="24"/>
          <w:szCs w:val="24"/>
        </w:rPr>
        <w:t>十一、风险分担约定：</w:t>
      </w:r>
    </w:p>
    <w:p w14:paraId="0A7F48DB">
      <w:pPr>
        <w:widowControl/>
        <w:autoSpaceDE w:val="0"/>
        <w:autoSpaceDN w:val="0"/>
        <w:snapToGrid w:val="0"/>
        <w:spacing w:line="360" w:lineRule="auto"/>
        <w:ind w:right="-110" w:firstLine="480" w:firstLineChars="200"/>
        <w:jc w:val="left"/>
        <w:textAlignment w:val="bottom"/>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eastAsia="zh-CN"/>
        </w:rPr>
        <w:t>因乙方原因造成项目延期、验收不合格、上级核查不通过、甲方工作延误及经济损失的，由乙方自行承担全部责任与损失。甲方按时足额支付合同款项，承担合同约定付款履约风险。</w:t>
      </w:r>
    </w:p>
    <w:p w14:paraId="67F4439D">
      <w:pPr>
        <w:widowControl/>
        <w:autoSpaceDE w:val="0"/>
        <w:autoSpaceDN w:val="0"/>
        <w:snapToGrid w:val="0"/>
        <w:spacing w:line="360" w:lineRule="auto"/>
        <w:ind w:right="893"/>
        <w:jc w:val="left"/>
        <w:textAlignment w:val="bottom"/>
        <w:rPr>
          <w:rFonts w:hint="eastAsia" w:ascii="仿宋" w:hAnsi="仿宋" w:eastAsia="仿宋" w:cs="仿宋"/>
          <w:b/>
          <w:kern w:val="0"/>
          <w:sz w:val="24"/>
          <w:szCs w:val="24"/>
        </w:rPr>
      </w:pPr>
      <w:r>
        <w:rPr>
          <w:rFonts w:hint="eastAsia" w:ascii="仿宋" w:hAnsi="仿宋" w:eastAsia="仿宋" w:cs="仿宋"/>
          <w:b/>
          <w:kern w:val="0"/>
          <w:sz w:val="24"/>
          <w:szCs w:val="24"/>
        </w:rPr>
        <w:t>十</w:t>
      </w:r>
      <w:r>
        <w:rPr>
          <w:rFonts w:hint="eastAsia" w:ascii="仿宋" w:hAnsi="仿宋" w:eastAsia="仿宋" w:cs="仿宋"/>
          <w:b/>
          <w:kern w:val="0"/>
          <w:sz w:val="24"/>
          <w:szCs w:val="24"/>
          <w:lang w:val="en-US" w:eastAsia="zh-CN"/>
        </w:rPr>
        <w:t>二</w:t>
      </w:r>
      <w:r>
        <w:rPr>
          <w:rFonts w:hint="eastAsia" w:ascii="仿宋" w:hAnsi="仿宋" w:eastAsia="仿宋" w:cs="仿宋"/>
          <w:b/>
          <w:kern w:val="0"/>
          <w:sz w:val="24"/>
          <w:szCs w:val="24"/>
        </w:rPr>
        <w:t>、合同生效及其它</w:t>
      </w:r>
    </w:p>
    <w:p w14:paraId="05360CC9">
      <w:pPr>
        <w:widowControl/>
        <w:autoSpaceDE w:val="0"/>
        <w:autoSpaceDN w:val="0"/>
        <w:snapToGrid w:val="0"/>
        <w:spacing w:line="360" w:lineRule="auto"/>
        <w:ind w:right="-110" w:firstLine="480" w:firstLineChars="200"/>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1、合同未尽事宜、由甲、乙双方协商，作为合同补充，与原合同具有同等法律效力。</w:t>
      </w:r>
    </w:p>
    <w:p w14:paraId="06CFB737">
      <w:pPr>
        <w:widowControl/>
        <w:tabs>
          <w:tab w:val="left" w:pos="8391"/>
        </w:tabs>
        <w:autoSpaceDE w:val="0"/>
        <w:autoSpaceDN w:val="0"/>
        <w:snapToGrid w:val="0"/>
        <w:spacing w:line="360" w:lineRule="auto"/>
        <w:ind w:right="-69" w:firstLine="480" w:firstLineChars="200"/>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2、本合同正本一式</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份，甲方、乙方双方分别执</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份，</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备案</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份。</w:t>
      </w:r>
    </w:p>
    <w:p w14:paraId="780AB936">
      <w:pPr>
        <w:widowControl/>
        <w:tabs>
          <w:tab w:val="left" w:pos="8391"/>
        </w:tabs>
        <w:autoSpaceDE w:val="0"/>
        <w:autoSpaceDN w:val="0"/>
        <w:snapToGrid w:val="0"/>
        <w:spacing w:line="360" w:lineRule="auto"/>
        <w:ind w:right="-69" w:firstLine="480" w:firstLineChars="200"/>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3、合同经甲乙双方盖章、签字后生效，合同签订地点为</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w:t>
      </w:r>
    </w:p>
    <w:p w14:paraId="642E0D51">
      <w:pPr>
        <w:widowControl/>
        <w:tabs>
          <w:tab w:val="left" w:pos="8391"/>
        </w:tabs>
        <w:autoSpaceDE w:val="0"/>
        <w:autoSpaceDN w:val="0"/>
        <w:snapToGrid w:val="0"/>
        <w:spacing w:line="360" w:lineRule="auto"/>
        <w:ind w:right="-69" w:firstLine="480" w:firstLineChars="200"/>
        <w:jc w:val="left"/>
        <w:textAlignment w:val="bottom"/>
        <w:rPr>
          <w:rFonts w:hint="eastAsia" w:ascii="Calibri" w:hAnsi="Calibri" w:eastAsia="仿宋" w:cs="Times New Roman"/>
          <w:sz w:val="24"/>
          <w:szCs w:val="20"/>
        </w:rPr>
      </w:pPr>
      <w:r>
        <w:rPr>
          <w:rFonts w:hint="eastAsia" w:ascii="仿宋" w:hAnsi="仿宋" w:eastAsia="仿宋" w:cs="仿宋"/>
          <w:kern w:val="0"/>
          <w:sz w:val="24"/>
          <w:szCs w:val="24"/>
        </w:rPr>
        <w:t>4、生效时间：   年  月  日</w:t>
      </w:r>
    </w:p>
    <w:tbl>
      <w:tblPr>
        <w:tblStyle w:val="3"/>
        <w:tblW w:w="0" w:type="auto"/>
        <w:jc w:val="center"/>
        <w:tblLayout w:type="fixed"/>
        <w:tblCellMar>
          <w:top w:w="0" w:type="dxa"/>
          <w:left w:w="108" w:type="dxa"/>
          <w:bottom w:w="0" w:type="dxa"/>
          <w:right w:w="108" w:type="dxa"/>
        </w:tblCellMar>
      </w:tblPr>
      <w:tblGrid>
        <w:gridCol w:w="4643"/>
        <w:gridCol w:w="4643"/>
      </w:tblGrid>
      <w:tr w14:paraId="47148350">
        <w:tblPrEx>
          <w:tblCellMar>
            <w:top w:w="0" w:type="dxa"/>
            <w:left w:w="108" w:type="dxa"/>
            <w:bottom w:w="0" w:type="dxa"/>
            <w:right w:w="108" w:type="dxa"/>
          </w:tblCellMar>
        </w:tblPrEx>
        <w:trPr>
          <w:jc w:val="center"/>
        </w:trPr>
        <w:tc>
          <w:tcPr>
            <w:tcW w:w="4643" w:type="dxa"/>
            <w:noWrap w:val="0"/>
            <w:vAlign w:val="top"/>
          </w:tcPr>
          <w:p w14:paraId="191547F6">
            <w:pPr>
              <w:widowControl/>
              <w:autoSpaceDE w:val="0"/>
              <w:autoSpaceDN w:val="0"/>
              <w:snapToGrid w:val="0"/>
              <w:spacing w:line="360" w:lineRule="auto"/>
              <w:ind w:right="-154" w:firstLine="480" w:firstLineChars="200"/>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甲方名称</w:t>
            </w:r>
            <w:r>
              <w:rPr>
                <w:rFonts w:hint="eastAsia" w:ascii="仿宋" w:hAnsi="仿宋" w:eastAsia="仿宋" w:cs="仿宋"/>
                <w:spacing w:val="-20"/>
                <w:kern w:val="0"/>
                <w:sz w:val="24"/>
                <w:szCs w:val="24"/>
              </w:rPr>
              <w:t>（盖章）</w:t>
            </w:r>
            <w:r>
              <w:rPr>
                <w:rFonts w:hint="eastAsia" w:ascii="仿宋" w:hAnsi="仿宋" w:eastAsia="仿宋" w:cs="仿宋"/>
                <w:kern w:val="0"/>
                <w:sz w:val="24"/>
                <w:szCs w:val="24"/>
              </w:rPr>
              <w:t>:</w:t>
            </w:r>
          </w:p>
          <w:p w14:paraId="28E20962">
            <w:pPr>
              <w:widowControl/>
              <w:autoSpaceDE w:val="0"/>
              <w:autoSpaceDN w:val="0"/>
              <w:snapToGrid w:val="0"/>
              <w:spacing w:line="360" w:lineRule="auto"/>
              <w:ind w:right="-154" w:firstLine="480" w:firstLineChars="200"/>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地址：</w:t>
            </w:r>
          </w:p>
          <w:p w14:paraId="28E8B516">
            <w:pPr>
              <w:widowControl/>
              <w:autoSpaceDE w:val="0"/>
              <w:autoSpaceDN w:val="0"/>
              <w:snapToGrid w:val="0"/>
              <w:spacing w:line="360" w:lineRule="auto"/>
              <w:ind w:right="-154" w:firstLine="480" w:firstLineChars="200"/>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代表人（签字）：</w:t>
            </w:r>
          </w:p>
          <w:p w14:paraId="68C6E79D">
            <w:pPr>
              <w:widowControl/>
              <w:autoSpaceDE w:val="0"/>
              <w:autoSpaceDN w:val="0"/>
              <w:snapToGrid w:val="0"/>
              <w:spacing w:line="360" w:lineRule="auto"/>
              <w:ind w:right="-154" w:firstLine="480" w:firstLineChars="200"/>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电话：</w:t>
            </w:r>
          </w:p>
          <w:p w14:paraId="52B92346">
            <w:pPr>
              <w:widowControl/>
              <w:autoSpaceDE w:val="0"/>
              <w:autoSpaceDN w:val="0"/>
              <w:snapToGrid w:val="0"/>
              <w:spacing w:line="360" w:lineRule="auto"/>
              <w:ind w:right="-154" w:firstLine="480" w:firstLineChars="200"/>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开户银行：</w:t>
            </w:r>
          </w:p>
          <w:p w14:paraId="53B29E11">
            <w:pPr>
              <w:widowControl/>
              <w:autoSpaceDE w:val="0"/>
              <w:autoSpaceDN w:val="0"/>
              <w:snapToGrid w:val="0"/>
              <w:spacing w:line="360" w:lineRule="auto"/>
              <w:ind w:right="-154" w:firstLine="480" w:firstLineChars="200"/>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帐号：</w:t>
            </w:r>
          </w:p>
        </w:tc>
        <w:tc>
          <w:tcPr>
            <w:tcW w:w="4643" w:type="dxa"/>
            <w:noWrap w:val="0"/>
            <w:vAlign w:val="top"/>
          </w:tcPr>
          <w:p w14:paraId="15818B2B">
            <w:pPr>
              <w:widowControl/>
              <w:autoSpaceDE w:val="0"/>
              <w:autoSpaceDN w:val="0"/>
              <w:snapToGrid w:val="0"/>
              <w:spacing w:line="360" w:lineRule="auto"/>
              <w:ind w:right="-154"/>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乙方名称</w:t>
            </w:r>
            <w:r>
              <w:rPr>
                <w:rFonts w:hint="eastAsia" w:ascii="仿宋" w:hAnsi="仿宋" w:eastAsia="仿宋" w:cs="仿宋"/>
                <w:spacing w:val="-20"/>
                <w:kern w:val="0"/>
                <w:sz w:val="24"/>
                <w:szCs w:val="24"/>
              </w:rPr>
              <w:t>（盖章）</w:t>
            </w:r>
            <w:r>
              <w:rPr>
                <w:rFonts w:hint="eastAsia" w:ascii="仿宋" w:hAnsi="仿宋" w:eastAsia="仿宋" w:cs="仿宋"/>
                <w:kern w:val="0"/>
                <w:sz w:val="24"/>
                <w:szCs w:val="24"/>
              </w:rPr>
              <w:t>:</w:t>
            </w:r>
          </w:p>
          <w:p w14:paraId="275B0925">
            <w:pPr>
              <w:widowControl/>
              <w:autoSpaceDE w:val="0"/>
              <w:autoSpaceDN w:val="0"/>
              <w:snapToGrid w:val="0"/>
              <w:spacing w:line="360" w:lineRule="auto"/>
              <w:ind w:right="-154"/>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地址：</w:t>
            </w:r>
          </w:p>
          <w:p w14:paraId="16516069">
            <w:pPr>
              <w:widowControl/>
              <w:autoSpaceDE w:val="0"/>
              <w:autoSpaceDN w:val="0"/>
              <w:snapToGrid w:val="0"/>
              <w:spacing w:line="360" w:lineRule="auto"/>
              <w:ind w:right="-154"/>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代表人（签字）：</w:t>
            </w:r>
          </w:p>
          <w:p w14:paraId="16231733">
            <w:pPr>
              <w:widowControl/>
              <w:autoSpaceDE w:val="0"/>
              <w:autoSpaceDN w:val="0"/>
              <w:snapToGrid w:val="0"/>
              <w:spacing w:line="360" w:lineRule="auto"/>
              <w:ind w:right="-154"/>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电话：</w:t>
            </w:r>
          </w:p>
          <w:p w14:paraId="1E59DB0D">
            <w:pPr>
              <w:widowControl/>
              <w:autoSpaceDE w:val="0"/>
              <w:autoSpaceDN w:val="0"/>
              <w:snapToGrid w:val="0"/>
              <w:spacing w:line="360" w:lineRule="auto"/>
              <w:ind w:right="-154"/>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开户银行：</w:t>
            </w:r>
          </w:p>
          <w:p w14:paraId="57EACF42">
            <w:pPr>
              <w:widowControl/>
              <w:autoSpaceDE w:val="0"/>
              <w:autoSpaceDN w:val="0"/>
              <w:snapToGrid w:val="0"/>
              <w:spacing w:line="360" w:lineRule="auto"/>
              <w:ind w:right="-154"/>
              <w:jc w:val="left"/>
              <w:textAlignment w:val="bottom"/>
              <w:rPr>
                <w:rFonts w:hint="eastAsia" w:ascii="仿宋" w:hAnsi="仿宋" w:eastAsia="仿宋" w:cs="仿宋"/>
                <w:kern w:val="0"/>
                <w:sz w:val="24"/>
                <w:szCs w:val="24"/>
              </w:rPr>
            </w:pPr>
            <w:r>
              <w:rPr>
                <w:rFonts w:hint="eastAsia" w:ascii="仿宋" w:hAnsi="仿宋" w:eastAsia="仿宋" w:cs="仿宋"/>
                <w:kern w:val="0"/>
                <w:sz w:val="24"/>
                <w:szCs w:val="24"/>
              </w:rPr>
              <w:t>帐号：</w:t>
            </w:r>
          </w:p>
        </w:tc>
      </w:tr>
    </w:tbl>
    <w:p w14:paraId="7A521678">
      <w:pPr>
        <w:spacing w:line="360" w:lineRule="auto"/>
        <w:jc w:val="left"/>
        <w:rPr>
          <w:rFonts w:hint="eastAsia" w:ascii="Calibri" w:hAnsi="Calibri" w:eastAsia="仿宋" w:cs="Times New Roman"/>
          <w:sz w:val="24"/>
          <w:szCs w:val="20"/>
        </w:rPr>
      </w:pPr>
    </w:p>
    <w:p w14:paraId="7EAF11C3">
      <w:pPr>
        <w:rPr>
          <w:rFonts w:hint="eastAsia" w:ascii="仿宋" w:hAnsi="仿宋" w:eastAsia="仿宋" w:cs="仿宋"/>
          <w:lang w:val="en-US" w:eastAsia="zh-Hans"/>
        </w:rPr>
      </w:pPr>
    </w:p>
    <w:p w14:paraId="3804EE57"/>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8551B">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AA0CFC">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6AA0CFC">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BCEE9F"/>
    <w:multiLevelType w:val="singleLevel"/>
    <w:tmpl w:val="40BCEE9F"/>
    <w:lvl w:ilvl="0" w:tentative="0">
      <w:start w:val="1"/>
      <w:numFmt w:val="chineseCounting"/>
      <w:suff w:val="nothing"/>
      <w:lvlText w:val="%1、"/>
      <w:lvlJc w:val="left"/>
      <w:rPr>
        <w:rFonts w:hint="eastAsia"/>
      </w:rPr>
    </w:lvl>
  </w:abstractNum>
  <w:abstractNum w:abstractNumId="1">
    <w:nsid w:val="4D6D7D3D"/>
    <w:multiLevelType w:val="singleLevel"/>
    <w:tmpl w:val="4D6D7D3D"/>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172889"/>
    <w:rsid w:val="3617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kern w:val="0"/>
      <w:sz w:val="18"/>
      <w:szCs w:val="18"/>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2026-07-07T08:31:00Z</dcterms:created>
  <dc:creator>陕西中技招标有限公司</dc:creator>
  <cp:lastModifiedBy>陕西中技招标有限公司</cp:lastModifiedBy>
  <dcterms:modified xsi:type="dcterms:W3CDTF">2026-07-07T08:32:16Z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E4B72631A97D4CCAA6EBE2BF61CF7F60_11</vt:lpwstr>
  </property>
  <property fmtid="{D5CDD505-2E9C-101B-9397-08002B2CF9AE}" pid="4" name="KSOTemplateDocerSaveRecord">
    <vt:lpwstr>eyJoZGlkIjoiNzRiNWI3ZmQyODMwNzM1ZjY5YzQ1YmU5NGZhN2FlNmIiLCJ1c2VySWQiOiIxNDQzMjY4NTA4In0=</vt:lpwstr>
  </property>
</Properties>
</file>