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版本号：KY2026-1-62920260811001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陕西省内直接接触食品的材料等相关产品生产许可证审查工作项目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KY2026-1-629</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陕西省内直接接触食品的材料等相关产品生产许可证审查工作项目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KY2026-1-629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陕西省内直接接触食品的材料等相关产品生产许可证审查工作项目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陕西省市场监督管理局陕西省内直接接触食品的材料等相关产品生产许可证审查工作项目，1项，具体内容详见采购文件第三章。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8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4、社会保障资金缴存证明：提供2025年8月至今已缴存的至少一个月的社会保障资金缴存单据或社保机构开具的社会保险参保缴费情况证明，依法不需要缴存社会保障资金的单位应提供相关证明材料。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029-86138230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采购包1：344,400.00元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银行账号：86113010750181502001591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缴纳成交服务费，交费金额参照国家计委颁布的《招标代理服务收费管理暂行办法》（计价格[2002]1980号）及发改办价格[2003]857号文件的规定标准执行，不足陆仟元按陆仟元收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根据磋商文件、响应文件要求及合同约定执行。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陕西省内直接接触食品的材料等相关产品生产许可证审查工作项目，1项，具体内容详见采购需求。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344,400.00</w:t>
      </w:r>
    </w:p>
    <w:p>
      <w:pPr>
        <w:pStyle w:val="null3"/>
      </w:pPr>
      <w:r>
        <w:rPr>
          <w:rFonts w:ascii="仿宋_GB2312" w:hAnsi="仿宋_GB2312" w:cs="仿宋_GB2312" w:eastAsia="仿宋_GB2312"/>
        </w:rPr>
        <w:t>采购包最高限价（元）: 344,400.00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陕西省内直接接触食品的材料等相关产品生产许可证审查工作项目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344,400.00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标的名称：陕西省内直接接触食品的材料等相关产品生产许可证审查工作项目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接受委托后，应依据《中华人民共和国行政许可法》《中华人民共和国食品安全法》《中华人民共和国工业产品生产许可证管理条例》《中华人民共和国工业产品生产许可证管理条例实施办法》《市场监督管理行政许可程序暂行规定》《工业产品生产单位落实质量安全主体责任监督管理规定》《食品相关产品质量安全监督管理暂行办法》《工业产品生产许可证实施细则通则》《食品相关产品生产许可实施细则（一）食品用塑料包装容器工具等制品部分、（二）食品用纸包装容器等制品部分、（三）食品用洗涤剂产品部分、（四）压力锅产品部分和（五）电热食品加工设备部分》《陕西省工业产品生产许可证审批程序工作细则》《陕西省工业产品生产许可证技术机构管理规定》等法规和文件的要求开展如下工作：</w:t>
            </w:r>
          </w:p>
          <w:p>
            <w:pPr>
              <w:pStyle w:val="null3"/>
              <w:ind w:firstLine="480"/>
              <w:jc w:val="both"/>
            </w:pPr>
            <w:r>
              <w:rPr>
                <w:rFonts w:ascii="仿宋_GB2312" w:hAnsi="仿宋_GB2312" w:cs="仿宋_GB2312" w:eastAsia="仿宋_GB2312"/>
                <w:sz w:val="24"/>
              </w:rPr>
              <w:t>1.组织完成省内直接接触食品的材料等相关产品生产许可证申请企业的实地核查、汇总审核工作以及提出许可与否建议；</w:t>
            </w:r>
          </w:p>
          <w:p>
            <w:pPr>
              <w:pStyle w:val="null3"/>
              <w:ind w:firstLine="480"/>
              <w:jc w:val="both"/>
            </w:pPr>
            <w:r>
              <w:rPr>
                <w:rFonts w:ascii="仿宋_GB2312" w:hAnsi="仿宋_GB2312" w:cs="仿宋_GB2312" w:eastAsia="仿宋_GB2312"/>
                <w:sz w:val="24"/>
              </w:rPr>
              <w:t>2.负责省内直接接触食品的材料等相关产品生产许可证技术专家培训、考核、聘用、换证等资格审查、派遣使用、队伍建设的管理工作；</w:t>
            </w:r>
          </w:p>
          <w:p>
            <w:pPr>
              <w:pStyle w:val="null3"/>
              <w:ind w:left="105" w:right="105" w:firstLine="360"/>
              <w:jc w:val="left"/>
            </w:pPr>
            <w:r>
              <w:rPr>
                <w:rFonts w:ascii="仿宋_GB2312" w:hAnsi="仿宋_GB2312" w:cs="仿宋_GB2312" w:eastAsia="仿宋_GB2312"/>
                <w:sz w:val="24"/>
              </w:rPr>
              <w:t>3.负责省内直接接触食品的材料等相关产品已获证企业的政策宣贯和技术支撑。</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自合同签订之日起1年，具体服务起止日期按照合同约定执行。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其他，合同履行完 ，达到付款条件起10个工作日内，支付合同总金额的10.0%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 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1、纸质响应文件递交要求： ①供应商须线下提交纸质响应文件正本壹份、副本贰份、电子版壹份（U盘壹份），内容和通过电子化交易平台实施的政府采购项目提交的响应文件一致。 ②纸质响应文件正本、副本、电子版，标明供应商名称分开密封递交（纸质响应文件采用双面打印）。 ③线下纸质文件递交截止时间：同在线递交电子响应文件截止时间一致；线下纸质文件递交地点：西安市雁展路1111号莱安中心T6-15层。如需邮寄响应文件，仅接受顺丰速运（联系人：杭琨、联系电话：029-81206622-825）。 2、保证金的退还：自采购合同签订之日起5个工作日内退还成交供应商的投标保证金。 3、采购人应按照采购文件和成交供应商响应文件，在成交通知书发出之日起25日内签订合同。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提供2025年8月至今已缴存的至少一个月的社会保障资金缴存单据或社保机构开具的社会保险参保缴费情况证明，依法不需要缴存社会保障资金的单位应提供相关证明材料。</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4供应商资格证明文件.docx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项目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1分项报价表.docx 7保证金交纳凭证保函.docx 中小企业声明函 3商务条款响应说明.docx 4供应商资格证明文件.docx 报价表 6供应商承诺书.docx 2服务内容及服务要求应答表.docx 5响应方案说明.docx 响应文件封面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1分项报价表.docx 7保证金交纳凭证保函.docx 中小企业声明函 3商务条款响应说明.docx 4供应商资格证明文件.docx 报价表 6供应商承诺书.docx 2服务内容及服务要求应答表.docx 5响应方案说明.docx 响应文件封面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1分项报价表.docx 3商务条款响应说明.docx 标的清单 4供应商资格证明文件.docx 报价表 响应函 6供应商承诺书.docx 2服务内容及服务要求应答表.docx 5响应方案说明.docx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评审内容：①服务内容的理解；②服务标准的规范；③满足服务要求的相关措施；④服务目标达成方案。 评审标准：以上内容全面详细、目标明确、阐述条理清晰、对评审内容中的各项要求有详细描述及说明得8分，每有一项缺项扣2分，每有一项内容存在一处缺陷，扣0.5分，扣完为止。 备注：缺陷指内容明显错误、描述过于简单、与项目特点不匹配、凭空编造、逻辑漏洞、出现常识性错误或不适用本项目特性等任意一种情形。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工作流程方案</w:t>
            </w:r>
          </w:p>
        </w:tc>
        <w:tc>
          <w:tcPr>
            <w:tcW w:type="dxa" w:w="2492"/>
          </w:tcPr>
          <w:p>
            <w:pPr>
              <w:pStyle w:val="null3"/>
            </w:pPr>
            <w:r>
              <w:rPr>
                <w:rFonts w:ascii="仿宋_GB2312" w:hAnsi="仿宋_GB2312" w:cs="仿宋_GB2312" w:eastAsia="仿宋_GB2312"/>
              </w:rPr>
              <w:t>评审内容：①资料复审方案；②陕西省内直接接触食品的材料等相关产品生产许可证审查工作项目方案；③汇总审核工作方案；④提出许可与否建议方案。 评审标准：以上内容全面详细、目标明确、阐述条理清晰、对评审内容中的各项要求有详细描述及说明得8分，每有一项缺项扣2分，每有一项内容存在一处缺陷，扣0.5分，扣完为止。 备注：缺陷指内容明显错误、描述过于简单、与项目特点不匹配、凭空编造、逻辑漏洞、出现常识性错误或不适用本项目特性等任意一种情形。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工作开展方案</w:t>
            </w:r>
          </w:p>
        </w:tc>
        <w:tc>
          <w:tcPr>
            <w:tcW w:type="dxa" w:w="2492"/>
          </w:tcPr>
          <w:p>
            <w:pPr>
              <w:pStyle w:val="null3"/>
            </w:pPr>
            <w:r>
              <w:rPr>
                <w:rFonts w:ascii="仿宋_GB2312" w:hAnsi="仿宋_GB2312" w:cs="仿宋_GB2312" w:eastAsia="仿宋_GB2312"/>
              </w:rPr>
              <w:t>评审内容：①技术专家培训、考核方案；②技术专家聘用、换证等资格审查方案；③技术专家派遣使用方案；④技术专家队伍建设的管理工作方案；⑤政策宣贯和技术支撑方案。 评审标准：以上内容全面详细、目标明确、阐述条理清晰、对评审内容中的各项要求有详细描述及说明得10分，每有一项缺项扣2分，每有一项内容存在一处缺陷，扣0.5分，扣完为止。 备注：缺陷指内容明显错误、描述过于简单、与项目特点不匹配、凭空编造、逻辑漏洞、出现常识性错误或不适用本项目特性等任意一种情形。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1.拟派项目负责人职称：拟派项目负责人具备正高级职称的得9分，高级职称的得5分，中级职称的得2分，不具备上述资质的得0分。 2.拟派项目负责人资质：拟派项目负责人具有全国工业产品生产许可证国家注册审查员教师证书经历的得9分，具有全国工业产品生产许可证国家注册高级审查员证书经历的得5分，具有全国工业产品生产许可证国家注册审查员或全国食品相关产品生产许可证国家注册审查员证书经历的得2分，不具备上述资质的得0分。 评审标准：提供职称证书扫描件或人社部门任职资格文件或职称证书官网查询证明以及资质证书扫描件，未提供或提供虚假证书的该项不计分。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项目部人员构成</w:t>
            </w:r>
          </w:p>
        </w:tc>
        <w:tc>
          <w:tcPr>
            <w:tcW w:type="dxa" w:w="2492"/>
          </w:tcPr>
          <w:p>
            <w:pPr>
              <w:pStyle w:val="null3"/>
            </w:pPr>
            <w:r>
              <w:rPr>
                <w:rFonts w:ascii="仿宋_GB2312" w:hAnsi="仿宋_GB2312" w:cs="仿宋_GB2312" w:eastAsia="仿宋_GB2312"/>
              </w:rPr>
              <w:t>评审内容：供应商根据项目实际需求提供项目部人员构成情况，包括：①拟投入本项目的人员配备情况；②人员专业分布情况；③人员岗位职责分配；④技术专家库及专业人员名单。 评审标准：以上内容全面详细、目标明确、阐述条理清晰、对评审内容中的各项要求有详细描述及说明得8分，缺少技术专家库或专业人员名单扣5分，其余每有一项缺项扣1分，每有一项内容存在一处缺陷，扣0.5分，扣完为止。 备注：缺陷指内容明显错误、描述过于简单、与项目特点不匹配、凭空编造、逻辑漏洞、出现常识性错误或不适用本项目特性等任意一种情形。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评审内容：①完成服务要求中的各项内容质量保障方案；②检查结果质量保障方案；③重大事项处理保障方案；④进度计划安排及时效保证措施。 评审标准：以上内容全面详细、目标明确、阐述条理清晰、对评审内容中的各项要求有详细描述及说明得6分，每有一项缺项扣1.5分，每有一项内容存在一处缺陷，扣0.5分，扣完为止。 备注：缺陷指内容明显错误、描述过于简单、与项目特点不匹配、凭空编造、逻辑漏洞、出现常识性错误或不适用本项目特性等任意一种情形。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评审内容：提出针对本项目的后续服务承诺，内容包括： ①承诺对于本项目后续实施服务有明确的服务范围、服务时限和服务措施。 ②承诺对本项目实施及协调过程有明确的安排，并承诺积极按照采购人提出的要求或意见改进工作，确保项目顺利实施。 评审标准：每项承诺内容完全满足项目需求得6分，满分12分，未承诺或承诺内容不符合评审要求不得分。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提供2023年1月1日至今（以合同签订日期为准）类似项目业绩证明材料，每提供一个得4分，最高得20分。 评审标准：须提供项目合同或协议的关键页（包括但不限于合同首尾页、项目内容页，签字盖章页，签订日期页）扫描件加盖公章，否则不计分。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详见附件：4供应商资格证明文件.docx</w:t>
      </w:r>
    </w:p>
    <w:p>
      <w:pPr>
        <w:pStyle w:val="null3"/>
        <w:ind w:firstLine="960"/>
      </w:pPr>
      <w:r>
        <w:rPr>
          <w:rFonts w:ascii="仿宋_GB2312" w:hAnsi="仿宋_GB2312" w:cs="仿宋_GB2312" w:eastAsia="仿宋_GB2312"/>
        </w:rPr>
        <w:t>详见附件：5响应方案说明.docx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