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版本号：HXGJXM2026-ZC-CS104020260731002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网络正能量传播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HXGJXM2026-ZC-CS1040</w:t>
      </w:r>
      <w:r>
        <w:br/>
      </w:r>
      <w:r>
        <w:br/>
      </w:r>
      <w:r>
        <w:br/>
      </w:r>
    </w:p>
    <w:p>
      <w:pPr>
        <w:pStyle w:val="null3"/>
        <w:jc w:val="center"/>
        <w:outlineLvl w:val="2"/>
      </w:pPr>
      <w:r>
        <w:rPr>
          <w:rFonts w:ascii="仿宋_GB2312" w:hAnsi="仿宋_GB2312" w:cs="仿宋_GB2312" w:eastAsia="仿宋_GB2312"/>
          <w:sz w:val="28"/>
          <w:b/>
        </w:rPr>
        <w:t>中共西安市雁塔区委网络安全和信息化委员会办公室</w:t>
      </w:r>
    </w:p>
    <w:p>
      <w:pPr>
        <w:pStyle w:val="null3"/>
        <w:jc w:val="center"/>
        <w:outlineLvl w:val="2"/>
      </w:pPr>
      <w:r>
        <w:rPr>
          <w:rFonts w:ascii="仿宋_GB2312" w:hAnsi="仿宋_GB2312" w:cs="仿宋_GB2312" w:eastAsia="仿宋_GB2312"/>
          <w:sz w:val="28"/>
          <w:b/>
        </w:rPr>
        <w:t>华夏国际项目管理（西安）有限公司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华夏国际项目管理（西安）有限公司</w:t>
      </w:r>
      <w:r>
        <w:rPr>
          <w:rFonts w:ascii="仿宋_GB2312" w:hAnsi="仿宋_GB2312" w:cs="仿宋_GB2312" w:eastAsia="仿宋_GB2312"/>
        </w:rPr>
        <w:t>（以下简称“代理机构”）受</w:t>
      </w:r>
      <w:r>
        <w:rPr>
          <w:rFonts w:ascii="仿宋_GB2312" w:hAnsi="仿宋_GB2312" w:cs="仿宋_GB2312" w:eastAsia="仿宋_GB2312"/>
        </w:rPr>
        <w:t>中共西安市雁塔区委网络安全和信息化委员会办公室</w:t>
      </w:r>
      <w:r>
        <w:rPr>
          <w:rFonts w:ascii="仿宋_GB2312" w:hAnsi="仿宋_GB2312" w:cs="仿宋_GB2312" w:eastAsia="仿宋_GB2312"/>
        </w:rPr>
        <w:t>委托，拟对</w:t>
      </w:r>
      <w:r>
        <w:rPr>
          <w:rFonts w:ascii="仿宋_GB2312" w:hAnsi="仿宋_GB2312" w:cs="仿宋_GB2312" w:eastAsia="仿宋_GB2312"/>
        </w:rPr>
        <w:t>网络正能量传播</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HXGJXM2026-ZC-CS1040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网络正能量传播</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网络正能量传播，共分为3个包，总预算金额40万元。 其中：采购包1：见证雁塔新发展，预算金额5万元； 采购包2：解码雁塔高质量发展，预算金额5万元； 采购包3：“今日雁塔”微信公众号和视频号运维，预算金额30万元； 具体要求详见磋商文件第三章。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采购包1（见证雁塔新发展）：属于专门面向小微企业采购。</w:t>
      </w:r>
    </w:p>
    <w:p>
      <w:pPr>
        <w:pStyle w:val="null3"/>
      </w:pPr>
      <w:r>
        <w:rPr>
          <w:rFonts w:ascii="仿宋_GB2312" w:hAnsi="仿宋_GB2312" w:cs="仿宋_GB2312" w:eastAsia="仿宋_GB2312"/>
        </w:rPr>
        <w:t>采购包2（解码雁塔高质量发展）：属于专门面向小微企业采购。</w:t>
      </w:r>
    </w:p>
    <w:p>
      <w:pPr>
        <w:pStyle w:val="null3"/>
      </w:pPr>
      <w:r>
        <w:rPr>
          <w:rFonts w:ascii="仿宋_GB2312" w:hAnsi="仿宋_GB2312" w:cs="仿宋_GB2312" w:eastAsia="仿宋_GB2312"/>
        </w:rPr>
        <w:t>采购包3（“今日雁塔”微信公众号和视频号运维）：属于专门面向中小企业采购。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身份证明：法定代表人授权书（附法定代表人、被授权人身份证复印件及被授权人在本单位磋商截止日前一年内已缴存的至少一个月的社保缴纳证明）；法定代表人直接参加磋商，须提供法定代表人身份证明及身份证复印件。</w:t>
      </w:r>
    </w:p>
    <w:p>
      <w:pPr>
        <w:pStyle w:val="null3"/>
      </w:pPr>
      <w:r>
        <w:rPr>
          <w:rFonts w:ascii="仿宋_GB2312" w:hAnsi="仿宋_GB2312" w:cs="仿宋_GB2312" w:eastAsia="仿宋_GB2312"/>
        </w:rPr>
        <w:t>2、信用记录：供应商未被“信用中国”网站（www.creditchina.gov.cn）列入失信被执行人和重大税收违法失信主体，未被中国政府采购网（www.ccgp.gov.cn）列入政府采购严重违法失信行为记录名单；（以开标现场代理机构查询结果为准）</w:t>
      </w:r>
    </w:p>
    <w:p>
      <w:pPr>
        <w:pStyle w:val="null3"/>
      </w:pPr>
      <w:r>
        <w:rPr>
          <w:rFonts w:ascii="仿宋_GB2312" w:hAnsi="仿宋_GB2312" w:cs="仿宋_GB2312" w:eastAsia="仿宋_GB2312"/>
        </w:rPr>
        <w:t>3、非联合体：本项目不接受联合体磋商。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授权书/法定代表人身份证明：法定代表人授权书（附法定代表人、被授权人身份证复印件及被授权人在本单位磋商截止日前一年内已缴存的至少一个月的社保缴纳证明）；法定代表人直接参加磋商，须提供法定代表人身份证明及身份证复印件。</w:t>
      </w:r>
    </w:p>
    <w:p>
      <w:pPr>
        <w:pStyle w:val="null3"/>
      </w:pPr>
      <w:r>
        <w:rPr>
          <w:rFonts w:ascii="仿宋_GB2312" w:hAnsi="仿宋_GB2312" w:cs="仿宋_GB2312" w:eastAsia="仿宋_GB2312"/>
        </w:rPr>
        <w:t>2、信用记录：供应商未被“信用中国”网站（www.creditchina.gov.cn）列入失信被执行人和重大税收违法失信主体，未被中国政府采购网（www.ccgp.gov.cn）列入政府采购严重违法失信行为记录名单；（以开标现场代理机构查询结果为准）</w:t>
      </w:r>
    </w:p>
    <w:p>
      <w:pPr>
        <w:pStyle w:val="null3"/>
      </w:pPr>
      <w:r>
        <w:rPr>
          <w:rFonts w:ascii="仿宋_GB2312" w:hAnsi="仿宋_GB2312" w:cs="仿宋_GB2312" w:eastAsia="仿宋_GB2312"/>
        </w:rPr>
        <w:t>3、非联合体：本项目不接受联合体磋商。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法定代表人授权书/法定代表人身份证明：法定代表人授权书（附法定代表人、被授权人身份证复印件及被授权人在本单位磋商截止日前一年内已缴存的至少一个月的社保缴纳证明）；法定代表人直接参加磋商，须提供法定代表人身份证明及身份证复印件。</w:t>
      </w:r>
    </w:p>
    <w:p>
      <w:pPr>
        <w:pStyle w:val="null3"/>
      </w:pPr>
      <w:r>
        <w:rPr>
          <w:rFonts w:ascii="仿宋_GB2312" w:hAnsi="仿宋_GB2312" w:cs="仿宋_GB2312" w:eastAsia="仿宋_GB2312"/>
        </w:rPr>
        <w:t>2、信用记录：供应商未被“信用中国”网站（www.creditchina.gov.cn）列入失信被执行人和重大税收违法失信主体，未被中国政府采购网（www.ccgp.gov.cn）列入政府采购严重违法失信行为记录名单；（以开标现场代理机构查询结果为准）</w:t>
      </w:r>
    </w:p>
    <w:p>
      <w:pPr>
        <w:pStyle w:val="null3"/>
      </w:pPr>
      <w:r>
        <w:rPr>
          <w:rFonts w:ascii="仿宋_GB2312" w:hAnsi="仿宋_GB2312" w:cs="仿宋_GB2312" w:eastAsia="仿宋_GB2312"/>
        </w:rPr>
        <w:t>3、非联合体：本项目不接受联合体磋商。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中共西安市雁塔区委网络安全和信息化委员会办公室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陕西省西安市雁塔区小寨东路168号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乐老师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029-85381632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华夏国际项目管理（西安）有限公司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西安市莲湖区二环南路西段202号九座花园16楼1605</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柴彩珍、张艳萍</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029-88899970-808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采购包1：50,000.00元</w:t>
            </w:r>
          </w:p>
          <w:p>
            <w:pPr>
              <w:pStyle w:val="null3"/>
            </w:pPr>
            <w:r>
              <w:rPr>
                <w:rFonts w:ascii="仿宋_GB2312" w:hAnsi="仿宋_GB2312" w:cs="仿宋_GB2312" w:eastAsia="仿宋_GB2312"/>
              </w:rPr>
              <w:t>采购包2：50,000.00元</w:t>
            </w:r>
          </w:p>
          <w:p>
            <w:pPr>
              <w:pStyle w:val="null3"/>
            </w:pPr>
            <w:r>
              <w:rPr>
                <w:rFonts w:ascii="仿宋_GB2312" w:hAnsi="仿宋_GB2312" w:cs="仿宋_GB2312" w:eastAsia="仿宋_GB2312"/>
              </w:rPr>
              <w:t>采购包3：300,000.00元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代理服务费收费标准：定额收取。 采购包1：2000元 采购包2：2000元 采购包3：6000元 成交单位在领取成交通知书前，须向采购代理机构一次性支付招标代理服务费。 招标代理服务费账户： 户名：华夏国际项目管理（西安）有限公司 开户行：工行西安城南科技支行 账号：3700024819200130193</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中共西安市雁塔区委网络安全和信息化委员会办公室</w:t>
      </w:r>
      <w:r>
        <w:rPr>
          <w:rFonts w:ascii="仿宋_GB2312" w:hAnsi="仿宋_GB2312" w:cs="仿宋_GB2312" w:eastAsia="仿宋_GB2312"/>
        </w:rPr>
        <w:t>和</w:t>
      </w:r>
      <w:r>
        <w:rPr>
          <w:rFonts w:ascii="仿宋_GB2312" w:hAnsi="仿宋_GB2312" w:cs="仿宋_GB2312" w:eastAsia="仿宋_GB2312"/>
        </w:rPr>
        <w:t>华夏国际项目管理（西安）有限公司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中共西安市雁塔区委网络安全和信息化委员会办公室</w:t>
      </w:r>
      <w:r>
        <w:rPr>
          <w:rFonts w:ascii="仿宋_GB2312" w:hAnsi="仿宋_GB2312" w:cs="仿宋_GB2312" w:eastAsia="仿宋_GB2312"/>
        </w:rPr>
        <w:t>负责解释。除上述磋商文件内容，其他内容由</w:t>
      </w:r>
      <w:r>
        <w:rPr>
          <w:rFonts w:ascii="仿宋_GB2312" w:hAnsi="仿宋_GB2312" w:cs="仿宋_GB2312" w:eastAsia="仿宋_GB2312"/>
        </w:rPr>
        <w:t>华夏国际项目管理（西安）有限公司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中共西安市雁塔区委网络安全和信息化委员会办公室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华夏国际项目管理（西安）有限公司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以合同约定的内容为依据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以合同约定的内容为依据</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以合同约定的内容为依据</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联系人：柴彩珍、张艳萍</w:t>
      </w:r>
    </w:p>
    <w:p>
      <w:pPr>
        <w:pStyle w:val="null3"/>
      </w:pPr>
      <w:r>
        <w:rPr>
          <w:rFonts w:ascii="仿宋_GB2312" w:hAnsi="仿宋_GB2312" w:cs="仿宋_GB2312" w:eastAsia="仿宋_GB2312"/>
        </w:rPr>
        <w:t>联系电话：029-88899970-808</w:t>
      </w:r>
    </w:p>
    <w:p>
      <w:pPr>
        <w:pStyle w:val="null3"/>
      </w:pPr>
      <w:r>
        <w:rPr>
          <w:rFonts w:ascii="仿宋_GB2312" w:hAnsi="仿宋_GB2312" w:cs="仿宋_GB2312" w:eastAsia="仿宋_GB2312"/>
        </w:rPr>
        <w:t>地址：西安市莲湖区二环南路西段202号九座花园16楼1605</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网络正能量传播，共分为3个包，总预算金额40万元。 其中：采购包1：见证雁塔新发展，预算金额5万元； 采购包2：解码雁塔高质量发展，预算金额5万元； 采购包3：“今日雁塔”微信公众号和视频号运维，预算金额30万元。</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w:t>
      </w:r>
    </w:p>
    <w:p>
      <w:pPr>
        <w:pStyle w:val="null3"/>
      </w:pPr>
      <w:r>
        <w:rPr>
          <w:rFonts w:ascii="仿宋_GB2312" w:hAnsi="仿宋_GB2312" w:cs="仿宋_GB2312" w:eastAsia="仿宋_GB2312"/>
        </w:rPr>
        <w:t>采购包最高限价（元）: 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见证雁塔新发展</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50,000.00</w:t>
      </w:r>
    </w:p>
    <w:p>
      <w:pPr>
        <w:pStyle w:val="null3"/>
      </w:pPr>
      <w:r>
        <w:rPr>
          <w:rFonts w:ascii="仿宋_GB2312" w:hAnsi="仿宋_GB2312" w:cs="仿宋_GB2312" w:eastAsia="仿宋_GB2312"/>
        </w:rPr>
        <w:t>采购包最高限价（元）: 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解码雁塔高质量发展</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“今日雁塔”微信公众号和视频号运维</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标的名称：见证雁塔新发展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在具有较强综合影响力的网络媒体或新媒体平台搭建专题/专栏1个；</w:t>
            </w:r>
            <w:r>
              <w:br/>
            </w:r>
            <w:r>
              <w:rPr>
                <w:rFonts w:ascii="仿宋_GB2312" w:hAnsi="仿宋_GB2312" w:cs="仿宋_GB2312" w:eastAsia="仿宋_GB2312"/>
              </w:rPr>
              <w:t xml:space="preserve"> 专栏/专题集纳雁塔正能量信息不少于40条次；</w:t>
            </w:r>
            <w:r>
              <w:br/>
            </w:r>
            <w:r>
              <w:rPr>
                <w:rFonts w:ascii="仿宋_GB2312" w:hAnsi="仿宋_GB2312" w:cs="仿宋_GB2312" w:eastAsia="仿宋_GB2312"/>
              </w:rPr>
              <w:t xml:space="preserve"> 及时通过全媒体平台对雁塔区重点信息内容进行传播推广。</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标的名称：解码雁塔高质量发展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在具有较强综合影响力的门户网站或新媒体平台搭建专题/专栏1个；</w:t>
            </w:r>
            <w:r>
              <w:br/>
            </w:r>
            <w:r>
              <w:rPr>
                <w:rFonts w:ascii="仿宋_GB2312" w:hAnsi="仿宋_GB2312" w:cs="仿宋_GB2312" w:eastAsia="仿宋_GB2312"/>
              </w:rPr>
              <w:t xml:space="preserve"> 专栏/专题集纳雁塔正能量信息不少于40条次；</w:t>
            </w:r>
            <w:r>
              <w:br/>
            </w:r>
            <w:r>
              <w:rPr>
                <w:rFonts w:ascii="仿宋_GB2312" w:hAnsi="仿宋_GB2312" w:cs="仿宋_GB2312" w:eastAsia="仿宋_GB2312"/>
              </w:rPr>
              <w:t xml:space="preserve"> 及时通过全媒体平台对雁塔区重点信息内容进行传播推广。</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标的名称：“今日雁塔”微信公众号和视频号运维</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提供5人以上的专业服务团队，根据甲方需求做好账号日常运维；</w:t>
            </w:r>
            <w:r>
              <w:br/>
            </w:r>
            <w:r>
              <w:rPr>
                <w:rFonts w:ascii="仿宋_GB2312" w:hAnsi="仿宋_GB2312" w:cs="仿宋_GB2312" w:eastAsia="仿宋_GB2312"/>
              </w:rPr>
              <w:t xml:space="preserve"> 根据账号运维需要，创作图文产品不少于30条，海报不少于170张，长图不少于2幅，视频产品不少于50条，航拍视频不少于5条，策划组织实施粉丝互动活动不少于5场次；</w:t>
            </w:r>
            <w:r>
              <w:br/>
            </w:r>
            <w:r>
              <w:rPr>
                <w:rFonts w:ascii="仿宋_GB2312" w:hAnsi="仿宋_GB2312" w:cs="仿宋_GB2312" w:eastAsia="仿宋_GB2312"/>
              </w:rPr>
              <w:t xml:space="preserve"> 至服务周期终止时，账号关注用户量比服务周期开始时增长不低于10%。</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满足项目实施需求，确保采购项目顺利实施。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满足项目实施需求，确保采购项目顺利实施。</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满足项目实施需求，确保采购项目顺利实施。</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满足项目实施需求，确保采购项目顺利实施。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满足项目实施需求，确保采购项目顺利实施。</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满足项目实施需求，确保采购项目顺利实施。</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自合同签订之日起1年。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详见合同条款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详见合同条款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详见合同条款</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预付款，合同签订之日起，达到付款条件起10个工作日内，支付合同总金额的50.0%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进度款，项目执行完毕验收合格后，达到付款条件起10个工作日内，支付合同总金额的50.0%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预付款，合同签订之日起，达到付款条件起10个工作日内，支付合同总金额的50.0%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进度款，项目执行完毕验收合格后，达到付款条件起10个工作日内，支付合同总金额的50.0%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预付款，合同签订之日起，达到付款条件起10个工作日内，支付合同总金额的50.0%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进度款，项目执行完毕验收合格后，达到付款条件起10个工作日内，支付合同总金额的50.0%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详见合同条款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详见合同条款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详见合同条款</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1、甲方付款前，乙方需提供合法有效且与付款金额等额的增值税普通发票。 2、本次投标的最小单元为“包”，为保证服务质量，同一投标人可参与多个包的投标，但同一个投标人最多中标一个包。评标顺序依次从第1包至第3包。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1、提供合格有效的法人或者其他组织的营业执照等证明文件，自然人的身份证明；供应商是法人或其他组织的应提供营业执照等证明文件，供应商是自然人的应提供有效的自然人身份证明。 2、提供【2024年度或2025年度经审计的已赋码且完整的财务报告（依据财政部、国务院国资委、金融监管总局印发《关于加强审计报告查验工作的通知》(财会(2023〕15号)报告须在注册会计师行业统一监管平台备案并由该平台赋予二维码），包括“四表一注”即《资产负债表》《利润表》《现金流量表》《所有者权益变动表》（无所有者权益变动表，提供说明）及其附注、会计师事务所营业执照和2个注册会计师证书（成立时间至提交磋商响应文件截止时间不足一年的可提供成立后任意时段的资产负债表）】或【财政部门认可的政府采购专业担保机构出具的担保函】或【在磋商截止日期前三个月内其基本开户银行出具的资信证明（附基本开户许可证或开户备案证明或基本存款账户信息）】,以上形式的证明资料提供任何一种即可。 3、提供递交响应文件截止日前一年内任意一个月的依法缴纳税收的纳税证明或完税证明（完税证明应有税务机关或代收机关的公章或业务专用章）。依法免税或无须缴纳税收的供应商，应提供相关证明材料。 4、提供磋商截止日前一年内已缴存的至少一个月的社会保障资金缴存单据或社保机构开具的社会保险参保缴费情况证明，依法不需要缴纳社会保障资金的单位应提供相关证明材料。 5、提供具有履行合同所必需的设备和专业技术能力的承诺。 6、参加政府采购活动前3年内，在经营活动中没有重大违法记录的书面声明。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 提供【2024年度或2025年度经审计的已赋码且完整的财务报告（依据财政部、国务院国资委、金融监管总局印发《关于加强审计报告查验工作的通知》(财会(2023〕15号)报告须在注册会计师行业统一监管平台备案并由该平台赋予二维码），包括“四表一注”即《资产负债表》《利润表》《现金流量表》《所有者权益变动表》（无所有者权益变动表，提供说明）及其附注、会计师事务所营业执照和2个注册会计师证书（成立时间至提交磋商响应文件截止时间不足一年的可提供成立后任意时段的资产负债表）】或【财政部门认可的政府采购专业担保机构出具的担保函】或【在磋商截止日期前三个月内其基本开户银行出具的资信证明（附基本开户许可证或开户备案证明或基本存款账户信息）】,以上形式的证明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供应商承诺书.docx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1、提供合格有效的法人或者其他组织的营业执照等证明文件，自然人的身份证明；供应商是法人或其他组织的应提供营业执照等证明文件，供应商是自然人的应提供有效的自然人身份证明。 2、提供【2024年度或2025年度经审计的已赋码且完整的财务报告（依据财政部、国务院国资委、金融监管总局印发《关于加强审计报告查验工作的通知》(财会(2023〕15号)报告须在注册会计师行业统一监管平台备案并由该平台赋予二维码），包括“四表一注”即《资产负债表》《利润表》《现金流量表》《所有者权益变动表》（无所有者权益变动表，提供说明）及其附注、会计师事务所营业执照和2个注册会计师证书（成立时间至提交磋商响应文件截止时间不足一年的可提供成立后任意时段的资产负债表）】或【财政部门认可的政府采购专业担保机构出具的担保函】或【在磋商截止日期前三个月内其基本开户银行出具的资信证明（附基本开户许可证或开户备案证明或基本存款账户信息）】,以上形式的证明资料提供任何一种即可。 3、提供递交响应文件截止日前一年内任意一个月的依法缴纳税收的纳税证明或完税证明（完税证明应有税务机关或代收机关的公章或业务专用章）。依法免税或无须缴纳税收的供应商，应提供相关证明材料。 4、提供磋商截止日前一年内已缴存的至少一个月的社会保障资金缴存单据或社保机构开具的社会保险参保缴费情况证明，依法不需要缴纳社会保障资金的单位应提供相关证明材料。 5、提供具有履行合同所必需的设备和专业技术能力的承诺。 6、参加政府采购活动前3年内，在经营活动中没有重大违法记录的书面声明。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 提供【2024年度或2025年度经审计的已赋码且完整的财务报告（依据财政部、国务院国资委、金融监管总局印发《关于加强审计报告查验工作的通知》(财会(2023〕15号)报告须在注册会计师行业统一监管平台备案并由该平台赋予二维码），包括“四表一注”即《资产负债表》《利润表》《现金流量表》《所有者权益变动表》（无所有者权益变动表，提供说明）及其附注、会计师事务所营业执照和2个注册会计师证书（成立时间至提交磋商响应文件截止时间不足一年的可提供成立后任意时段的资产负债表）】或【财政部门认可的政府采购专业担保机构出具的担保函】或【在磋商截止日期前三个月内其基本开户银行出具的资信证明（附基本开户许可证或开户备案证明或基本存款账户信息）】,以上形式的证明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供应商承诺书.docx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1、提供合格有效的法人或者其他组织的营业执照等证明文件，自然人的身份证明；供应商是法人或其他组织的应提供营业执照等证明文件，供应商是自然人的应提供有效的自然人身份证明。 2、提供【2024年度或2025年度经审计的已赋码且完整的财务报告（依据财政部、国务院国资委、金融监管总局印发《关于加强审计报告查验工作的通知》(财会(2023〕15号)报告须在注册会计师行业统一监管平台备案并由该平台赋予二维码），包括“四表一注”即《资产负债表》《利润表》《现金流量表》《所有者权益变动表》（无所有者权益变动表，提供说明）及其附注、会计师事务所营业执照和2个注册会计师证书（成立时间至提交磋商响应文件截止时间不足一年的可提供成立后任意时段的资产负债表）】或【财政部门认可的政府采购专业担保机构出具的担保函】或【在磋商截止日期前三个月内其基本开户银行出具的资信证明（附基本开户许可证或开户备案证明或基本存款账户信息）】,以上形式的证明资料提供任何一种即可。 3、提供递交响应文件截止日前一年内任意一个月的依法缴纳税收的纳税证明或完税证明（完税证明应有税务机关或代收机关的公章或业务专用章）。依法免税或无须缴纳税收的供应商，应提供相关证明材料。 4、提供磋商截止日前一年内已缴存的至少一个月的社会保障资金缴存单据或社保机构开具的社会保险参保缴费情况证明，依法不需要缴纳社会保障资金的单位应提供相关证明材料。 5、提供具有履行合同所必需的设备和专业技术能力的承诺。 6、参加政府采购活动前3年内，在经营活动中没有重大违法记录的书面声明。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 提供【2024年度或2025年度经审计的已赋码且完整的财务报告（依据财政部、国务院国资委、金融监管总局印发《关于加强审计报告查验工作的通知》(财会(2023〕15号)报告须在注册会计师行业统一监管平台备案并由该平台赋予二维码），包括“四表一注”即《资产负债表》《利润表》《现金流量表》《所有者权益变动表》（无所有者权益变动表，提供说明）及其附注、会计师事务所营业执照和2个注册会计师证书（成立时间至提交磋商响应文件截止时间不足一年的可提供成立后任意时段的资产负债表）】或【财政部门认可的政府采购专业担保机构出具的担保函】或【在磋商截止日期前三个月内其基本开户银行出具的资信证明（附基本开户许可证或开户备案证明或基本存款账户信息）】,以上形式的证明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供应商承诺书.docx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资格证明文件.docx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资格证明文件.docx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资格证明文件.docx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及被授权人在本单位磋商截止日前一年内已缴存的至少一个月的社保缴纳证明）；法定代表人直接参加磋商，须提供法定代表人身份证明及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和重大税收违法失信主体，未被中国政府采购网（www.ccgp.gov.cn）列入政府采购严重违法失信行为记录名单；（以开标现场代理机构查询结果为准）</w:t>
            </w:r>
          </w:p>
        </w:tc>
        <w:tc>
          <w:tcPr>
            <w:tcW w:type="dxa" w:w="1661"/>
          </w:tcPr>
          <w:p>
            <w:pPr>
              <w:pStyle w:val="null3"/>
            </w:pPr>
            <w:r>
              <w:rPr>
                <w:rFonts w:ascii="仿宋_GB2312" w:hAnsi="仿宋_GB2312" w:cs="仿宋_GB2312" w:eastAsia="仿宋_GB2312"/>
              </w:rPr>
              <w:t>供应商承诺书.docx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及被授权人在本单位磋商截止日前一年内已缴存的至少一个月的社保缴纳证明）；法定代表人直接参加磋商，须提供法定代表人身份证明及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和重大税收违法失信主体，未被中国政府采购网（www.ccgp.gov.cn）列入政府采购严重违法失信行为记录名单；（以开标现场代理机构查询结果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及被授权人在本单位磋商截止日前一年内已缴存的至少一个月的社保缴纳证明）；法定代表人直接参加磋商，须提供法定代表人身份证明及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和重大税收违法失信主体，未被中国政府采购网（www.ccgp.gov.cn）列入政府采购严重违法失信行为记录名单；（以开标现场代理机构查询结果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强化政府采购异常低价审查： （一）采购人应当在采购文件中明确，政府采购评审中出现下列情形之一的，评审委员会应当启动异常低价投标（响应）审查程序：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采购人可以结合具体项目实际情况，提高上述第1项至第3项中启动异常低价投标（响应）审查的数值标准，但是最高不得超过65%。相关法律法规对供应商报价有规定的，从其规定。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60分钟。其中，属于第3项情形，供应商已随投标（响应）文件一并提交相关书面说明及必要的证明材料的，在评审现场可不再重复提交。</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与营业执照、资质证书一致。</w:t>
            </w:r>
          </w:p>
        </w:tc>
        <w:tc>
          <w:tcPr>
            <w:tcW w:type="dxa" w:w="1661"/>
          </w:tcPr>
          <w:p>
            <w:pPr>
              <w:pStyle w:val="null3"/>
            </w:pPr>
            <w:r>
              <w:rPr>
                <w:rFonts w:ascii="仿宋_GB2312" w:hAnsi="仿宋_GB2312" w:cs="仿宋_GB2312" w:eastAsia="仿宋_GB2312"/>
              </w:rPr>
              <w:t>中小企业声明函 其它资料.docx 报价表 磋商方案说明书.docx 资格证明文件.docx 供应商承诺书.docx 响应文件封面 残疾人福利性单位声明函 标的清单 响应函 商务条款偏离表.docx 监狱企业的证明文件 服务应答表.docx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磋商响应文件的签署盖章符合磋商文件要求。</w:t>
            </w:r>
          </w:p>
        </w:tc>
        <w:tc>
          <w:tcPr>
            <w:tcW w:type="dxa" w:w="1661"/>
          </w:tcPr>
          <w:p>
            <w:pPr>
              <w:pStyle w:val="null3"/>
            </w:pPr>
            <w:r>
              <w:rPr>
                <w:rFonts w:ascii="仿宋_GB2312" w:hAnsi="仿宋_GB2312" w:cs="仿宋_GB2312" w:eastAsia="仿宋_GB2312"/>
              </w:rPr>
              <w:t>中小企业声明函 其它资料.docx 报价表 磋商方案说明书.docx 资格证明文件.docx 供应商承诺书.docx 响应文件封面 残疾人福利性单位声明函 标的清单 响应函 商务条款偏离表.docx 监狱企业的证明文件 服务应答表.docx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符合“响应文件格式”的规定。</w:t>
            </w:r>
          </w:p>
        </w:tc>
        <w:tc>
          <w:tcPr>
            <w:tcW w:type="dxa" w:w="1661"/>
          </w:tcPr>
          <w:p>
            <w:pPr>
              <w:pStyle w:val="null3"/>
            </w:pPr>
            <w:r>
              <w:rPr>
                <w:rFonts w:ascii="仿宋_GB2312" w:hAnsi="仿宋_GB2312" w:cs="仿宋_GB2312" w:eastAsia="仿宋_GB2312"/>
              </w:rPr>
              <w:t>中小企业声明函 其它资料.docx 报价表 磋商方案说明书.docx 资格证明文件.docx 供应商承诺书.docx 响应文件封面 残疾人福利性单位声明函 标的清单 响应函 商务条款偏离表.docx 监狱企业的证明文件 服务应答表.docx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对竞争性磋商文件响应程度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商务条款偏离表.docx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应满足磋商文件中要求的服务期限。</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不存在法律、法规和采购文件规定的其他无效投标情形。</w:t>
            </w:r>
          </w:p>
        </w:tc>
        <w:tc>
          <w:tcPr>
            <w:tcW w:type="dxa" w:w="1661"/>
          </w:tcPr>
          <w:p>
            <w:pPr>
              <w:pStyle w:val="null3"/>
            </w:pPr>
            <w:r>
              <w:rPr>
                <w:rFonts w:ascii="仿宋_GB2312" w:hAnsi="仿宋_GB2312" w:cs="仿宋_GB2312" w:eastAsia="仿宋_GB2312"/>
              </w:rPr>
              <w:t>中小企业声明函 其它资料.docx 报价表 磋商方案说明书.docx 资格证明文件.docx 供应商承诺书.docx 响应文件封面 残疾人福利性单位声明函 标的清单 响应函 商务条款偏离表.docx 监狱企业的证明文件 服务应答表.docx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强化政府采购异常低价审查： （一）采购人应当在采购文件中明确，政府采购评审中出现下列情形之一的，评审委员会应当启动异常低价投标（响应）审查程序：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采购人可以结合具体项目实际情况，提高上述第1项至第3项中启动异常低价投标（响应）审查的数值标准，但是最高不得超过65%。相关法律法规对供应商报价有规定的，从其规定。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60分钟。其中，属于第3项情形，供应商已随投标（响应）文件一并提交相关书面说明及必要的证明材料的，在评审现场可不再重复提交。</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与营业执照、资质证书一致。</w:t>
            </w:r>
          </w:p>
        </w:tc>
        <w:tc>
          <w:tcPr>
            <w:tcW w:type="dxa" w:w="1661"/>
          </w:tcPr>
          <w:p>
            <w:pPr>
              <w:pStyle w:val="null3"/>
            </w:pPr>
            <w:r>
              <w:rPr>
                <w:rFonts w:ascii="仿宋_GB2312" w:hAnsi="仿宋_GB2312" w:cs="仿宋_GB2312" w:eastAsia="仿宋_GB2312"/>
              </w:rPr>
              <w:t>中小企业声明函 其它资料.docx 报价表 磋商方案说明书.docx 资格证明文件.docx 供应商承诺书.docx 响应文件封面 残疾人福利性单位声明函 标的清单 响应函 商务条款偏离表.docx 监狱企业的证明文件 服务应答表.docx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磋商响应文件的签署盖章符合磋商文件要求。</w:t>
            </w:r>
          </w:p>
        </w:tc>
        <w:tc>
          <w:tcPr>
            <w:tcW w:type="dxa" w:w="1661"/>
          </w:tcPr>
          <w:p>
            <w:pPr>
              <w:pStyle w:val="null3"/>
            </w:pPr>
            <w:r>
              <w:rPr>
                <w:rFonts w:ascii="仿宋_GB2312" w:hAnsi="仿宋_GB2312" w:cs="仿宋_GB2312" w:eastAsia="仿宋_GB2312"/>
              </w:rPr>
              <w:t>中小企业声明函 其它资料.docx 报价表 磋商方案说明书.docx 资格证明文件.docx 供应商承诺书.docx 响应文件封面 残疾人福利性单位声明函 标的清单 响应函 商务条款偏离表.docx 监狱企业的证明文件 服务应答表.docx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符合“响应文件格式”的规定。</w:t>
            </w:r>
          </w:p>
        </w:tc>
        <w:tc>
          <w:tcPr>
            <w:tcW w:type="dxa" w:w="1661"/>
          </w:tcPr>
          <w:p>
            <w:pPr>
              <w:pStyle w:val="null3"/>
            </w:pPr>
            <w:r>
              <w:rPr>
                <w:rFonts w:ascii="仿宋_GB2312" w:hAnsi="仿宋_GB2312" w:cs="仿宋_GB2312" w:eastAsia="仿宋_GB2312"/>
              </w:rPr>
              <w:t>中小企业声明函 其它资料.docx 报价表 磋商方案说明书.docx 资格证明文件.docx 供应商承诺书.docx 响应文件封面 残疾人福利性单位声明函 标的清单 响应函 商务条款偏离表.docx 监狱企业的证明文件 服务应答表.docx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对竞争性磋商文件响应程度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商务条款偏离表.docx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应满足磋商文件中要求的服务期限。</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不存在法律、法规和采购文件规定的其他无效投标情形。</w:t>
            </w:r>
          </w:p>
        </w:tc>
        <w:tc>
          <w:tcPr>
            <w:tcW w:type="dxa" w:w="1661"/>
          </w:tcPr>
          <w:p>
            <w:pPr>
              <w:pStyle w:val="null3"/>
            </w:pPr>
            <w:r>
              <w:rPr>
                <w:rFonts w:ascii="仿宋_GB2312" w:hAnsi="仿宋_GB2312" w:cs="仿宋_GB2312" w:eastAsia="仿宋_GB2312"/>
              </w:rPr>
              <w:t>中小企业声明函 其它资料.docx 报价表 磋商方案说明书.docx 资格证明文件.docx 供应商承诺书.docx 响应文件封面 残疾人福利性单位声明函 标的清单 响应函 商务条款偏离表.docx 监狱企业的证明文件 服务应答表.docx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强化政府采购异常低价审查： （一）采购人应当在采购文件中明确，政府采购评审中出现下列情形之一的，评审委员会应当启动异常低价投标（响应）审查程序：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采购人可以结合具体项目实际情况，提高上述第1项至第3项中启动异常低价投标（响应）审查的数值标准，但是最高不得超过65%。相关法律法规对供应商报价有规定的，从其规定。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60分钟。其中，属于第3项情形，供应商已随投标（响应）文件一并提交相关书面说明及必要的证明材料的，在评审现场可不再重复提交。</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与营业执照、资质证书一致。</w:t>
            </w:r>
          </w:p>
        </w:tc>
        <w:tc>
          <w:tcPr>
            <w:tcW w:type="dxa" w:w="1661"/>
          </w:tcPr>
          <w:p>
            <w:pPr>
              <w:pStyle w:val="null3"/>
            </w:pPr>
            <w:r>
              <w:rPr>
                <w:rFonts w:ascii="仿宋_GB2312" w:hAnsi="仿宋_GB2312" w:cs="仿宋_GB2312" w:eastAsia="仿宋_GB2312"/>
              </w:rPr>
              <w:t>中小企业声明函 其它资料.docx 报价表 磋商方案说明书.docx 资格证明文件.docx 供应商承诺书.docx 响应文件封面 残疾人福利性单位声明函 标的清单 响应函 商务条款偏离表.docx 监狱企业的证明文件 服务应答表.docx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磋商响应文件的签署盖章符合磋商文件要求。</w:t>
            </w:r>
          </w:p>
        </w:tc>
        <w:tc>
          <w:tcPr>
            <w:tcW w:type="dxa" w:w="1661"/>
          </w:tcPr>
          <w:p>
            <w:pPr>
              <w:pStyle w:val="null3"/>
            </w:pPr>
            <w:r>
              <w:rPr>
                <w:rFonts w:ascii="仿宋_GB2312" w:hAnsi="仿宋_GB2312" w:cs="仿宋_GB2312" w:eastAsia="仿宋_GB2312"/>
              </w:rPr>
              <w:t>中小企业声明函 其它资料.docx 报价表 磋商方案说明书.docx 资格证明文件.docx 供应商承诺书.docx 响应文件封面 残疾人福利性单位声明函 标的清单 响应函 商务条款偏离表.docx 监狱企业的证明文件 服务应答表.docx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符合“响应文件格式”的规定。</w:t>
            </w:r>
          </w:p>
        </w:tc>
        <w:tc>
          <w:tcPr>
            <w:tcW w:type="dxa" w:w="1661"/>
          </w:tcPr>
          <w:p>
            <w:pPr>
              <w:pStyle w:val="null3"/>
            </w:pPr>
            <w:r>
              <w:rPr>
                <w:rFonts w:ascii="仿宋_GB2312" w:hAnsi="仿宋_GB2312" w:cs="仿宋_GB2312" w:eastAsia="仿宋_GB2312"/>
              </w:rPr>
              <w:t>中小企业声明函 其它资料.docx 报价表 磋商方案说明书.docx 资格证明文件.docx 供应商承诺书.docx 响应文件封面 残疾人福利性单位声明函 标的清单 响应函 商务条款偏离表.docx 监狱企业的证明文件 服务应答表.docx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对竞争性磋商文件响应程度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商务条款偏离表.docx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应满足磋商文件中要求的服务期限。</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不存在法律、法规和采购文件规定的其他无效投标情形。</w:t>
            </w:r>
          </w:p>
        </w:tc>
        <w:tc>
          <w:tcPr>
            <w:tcW w:type="dxa" w:w="1661"/>
          </w:tcPr>
          <w:p>
            <w:pPr>
              <w:pStyle w:val="null3"/>
            </w:pPr>
            <w:r>
              <w:rPr>
                <w:rFonts w:ascii="仿宋_GB2312" w:hAnsi="仿宋_GB2312" w:cs="仿宋_GB2312" w:eastAsia="仿宋_GB2312"/>
              </w:rPr>
              <w:t>中小企业声明函 其它资料.docx 报价表 磋商方案说明书.docx 资格证明文件.docx 供应商承诺书.docx 响应文件封面 残疾人福利性单位声明函 标的清单 响应函 商务条款偏离表.docx 监狱企业的证明文件 服务应答表.docx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项目理解及需求分析</w:t>
            </w:r>
          </w:p>
        </w:tc>
        <w:tc>
          <w:tcPr>
            <w:tcW w:type="dxa" w:w="2492"/>
          </w:tcPr>
          <w:p>
            <w:pPr>
              <w:pStyle w:val="null3"/>
            </w:pPr>
            <w:r>
              <w:rPr>
                <w:rFonts w:ascii="仿宋_GB2312" w:hAnsi="仿宋_GB2312" w:cs="仿宋_GB2312" w:eastAsia="仿宋_GB2312"/>
              </w:rPr>
              <w:t>方案至少包括：①采购需求分析；②项目内容分解；③重难点分析及合理化建议；④增值服务等。 各部分内容全面详细、阐述条理清晰详尽、符合本项目采购需求，能有效保障本项目实施的得4分；每有一个缺项扣1分；每有一项内容存在缺陷，扣（0-1）分。 备注:缺陷是指：非专门针对本项目或不适用项目特性的情形、内容不完整或缺少关键节点、套用其他项目方案、内容前后矛盾、不利于项目实施、不可能实现的情形等任意一种情形。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整体服务实施方案</w:t>
            </w:r>
          </w:p>
        </w:tc>
        <w:tc>
          <w:tcPr>
            <w:tcW w:type="dxa" w:w="2492"/>
          </w:tcPr>
          <w:p>
            <w:pPr>
              <w:pStyle w:val="null3"/>
            </w:pPr>
            <w:r>
              <w:rPr>
                <w:rFonts w:ascii="仿宋_GB2312" w:hAnsi="仿宋_GB2312" w:cs="仿宋_GB2312" w:eastAsia="仿宋_GB2312"/>
              </w:rPr>
              <w:t>方案至少包括：①项目整体策划方案；②项目执行流程与进度规划；③质量保障方案；④应急保障方案。 各部分内容全面详细、阐述条理清晰详尽、符合本项目采购需求，能有效保障本项目实施的得8分；每有一个缺项扣2分；每有一项内容存在缺陷，扣（0-2）分。 备注:缺陷是指：非专门针对本项目或不适用项目特性的情形、内容不完整或缺少关键节点、套用其他项目方案、内容前后矛盾、不利于项目实施、不可能实现的情形等任意一种情形。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网络媒体或新媒体平台证明</w:t>
            </w:r>
          </w:p>
        </w:tc>
        <w:tc>
          <w:tcPr>
            <w:tcW w:type="dxa" w:w="2492"/>
          </w:tcPr>
          <w:p>
            <w:pPr>
              <w:pStyle w:val="null3"/>
            </w:pPr>
            <w:r>
              <w:rPr>
                <w:rFonts w:ascii="仿宋_GB2312" w:hAnsi="仿宋_GB2312" w:cs="仿宋_GB2312" w:eastAsia="仿宋_GB2312"/>
              </w:rPr>
              <w:t>1、提供网络媒体或新媒体平台用户群体广泛、互动性强、传播速度快等网络传播优势证明材料，包括但不限于：①用户每日活跃度≥2亿人次，②用户群体覆盖垂直领域≥20个，③机构认证主体≥1万。每提供一项有效证明材料，得2分，满分6分。 2、提供网络媒体或新媒体平台经营资质或官方代理资质等证明材料得4分，不提供不得分。 备注:(1)网络媒体或新媒体平台为投标供应商自有的，按要求提供相关信息证明资料即可;(2)网络媒体或新媒体平台为投标供应商代理的，提供媒体平台出具的相关信息证明材料，同时附授权委托代理资料(如官方授权书或合作协议等法律认可的文件文书)。</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专题/专栏搭建方案（1）</w:t>
            </w:r>
          </w:p>
        </w:tc>
        <w:tc>
          <w:tcPr>
            <w:tcW w:type="dxa" w:w="2492"/>
          </w:tcPr>
          <w:p>
            <w:pPr>
              <w:pStyle w:val="null3"/>
            </w:pPr>
            <w:r>
              <w:rPr>
                <w:rFonts w:ascii="仿宋_GB2312" w:hAnsi="仿宋_GB2312" w:cs="仿宋_GB2312" w:eastAsia="仿宋_GB2312"/>
              </w:rPr>
              <w:t>承诺：承诺“在具有较强综合影响力的网络媒体或新媒体平台搭建专题/专栏1个”，得5分。（备注：评审时以供应商响应文件中提供的“服务应答表”响应内容为准，供应商对其响应真实性负责，供应商未响应或响应内容不满足采购要求的均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专题/专栏搭建方案（2）</w:t>
            </w:r>
          </w:p>
        </w:tc>
        <w:tc>
          <w:tcPr>
            <w:tcW w:type="dxa" w:w="2492"/>
          </w:tcPr>
          <w:p>
            <w:pPr>
              <w:pStyle w:val="null3"/>
            </w:pPr>
            <w:r>
              <w:rPr>
                <w:rFonts w:ascii="仿宋_GB2312" w:hAnsi="仿宋_GB2312" w:cs="仿宋_GB2312" w:eastAsia="仿宋_GB2312"/>
              </w:rPr>
              <w:t>具体搭建方案：至少包括，①网络媒体或新媒体平台选取；②专题/专栏页面设计；③专题/专栏板块及功能设置；④各浏览终端的适配性等。 各部分内容全面详细、阐述条理清晰详尽、符合本项目采购需求，能有效保障本项目实施的得8分；每有一个缺项扣2分；每有一项内容存在缺陷，扣（0-2）分。 备注:缺陷是指：非专门针对本项目或不适用项目特性的情形、内容不完整或缺少关键节点、套用其他项目方案、内容前后矛盾、不利于项目实施、不可能实现的情形等任意一种情形。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正能量信息集纳方案（1）</w:t>
            </w:r>
          </w:p>
        </w:tc>
        <w:tc>
          <w:tcPr>
            <w:tcW w:type="dxa" w:w="2492"/>
          </w:tcPr>
          <w:p>
            <w:pPr>
              <w:pStyle w:val="null3"/>
            </w:pPr>
            <w:r>
              <w:rPr>
                <w:rFonts w:ascii="仿宋_GB2312" w:hAnsi="仿宋_GB2312" w:cs="仿宋_GB2312" w:eastAsia="仿宋_GB2312"/>
              </w:rPr>
              <w:t>承诺：承诺“专栏/专题集纳雁塔正能量信息不少于40条次”，得5分。（备注：评审时以供应商响应文件中提供的“服务应答表”响应内容为准，供应商对其响应真实性负责，供应商未响应或响应内容不满足采购要求的均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正能量信息集纳方案（2）</w:t>
            </w:r>
          </w:p>
        </w:tc>
        <w:tc>
          <w:tcPr>
            <w:tcW w:type="dxa" w:w="2492"/>
          </w:tcPr>
          <w:p>
            <w:pPr>
              <w:pStyle w:val="null3"/>
            </w:pPr>
            <w:r>
              <w:rPr>
                <w:rFonts w:ascii="仿宋_GB2312" w:hAnsi="仿宋_GB2312" w:cs="仿宋_GB2312" w:eastAsia="仿宋_GB2312"/>
              </w:rPr>
              <w:t>具体集纳方案：至少包括，①信息采集来源渠道；②指定内容更新及筛选机制；③质量保障措施等。 各部分内容全面详细、阐述条理清晰详尽、符合本项目采购需求，能有效保障本项目实施的得6分；每有一个缺项扣2分；每有一项内容存在缺陷，扣（0-2）分。 备注:缺陷是指：非专门针对本项目或不适用项目特性的情形、内容不完整或缺少关键节点、套用其他项目方案、内容前后矛盾、不利于项目实施、不可能实现的情形等任意一种情形。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全媒体平台传播推广方案（1）</w:t>
            </w:r>
          </w:p>
        </w:tc>
        <w:tc>
          <w:tcPr>
            <w:tcW w:type="dxa" w:w="2492"/>
          </w:tcPr>
          <w:p>
            <w:pPr>
              <w:pStyle w:val="null3"/>
            </w:pPr>
            <w:r>
              <w:rPr>
                <w:rFonts w:ascii="仿宋_GB2312" w:hAnsi="仿宋_GB2312" w:cs="仿宋_GB2312" w:eastAsia="仿宋_GB2312"/>
              </w:rPr>
              <w:t>承诺：承诺“及时通过全媒体平台对雁塔区重点信息内容进行传播推广”，得5分。（备注：评审时以供应商响应文件中提供的“服务应答表”响应内容为准，供应商对其响应真实性负责，供应商未响应或响应内容不满足采购要求的均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全媒体平台传播推广方案（2）</w:t>
            </w:r>
          </w:p>
        </w:tc>
        <w:tc>
          <w:tcPr>
            <w:tcW w:type="dxa" w:w="2492"/>
          </w:tcPr>
          <w:p>
            <w:pPr>
              <w:pStyle w:val="null3"/>
            </w:pPr>
            <w:r>
              <w:rPr>
                <w:rFonts w:ascii="仿宋_GB2312" w:hAnsi="仿宋_GB2312" w:cs="仿宋_GB2312" w:eastAsia="仿宋_GB2312"/>
              </w:rPr>
              <w:t>具体传播推广方案：至少包括，①网络媒体或新媒体平台选取；②整体的推广传播思路；③传播推广方式及内容等。 各部分内容全面详细、阐述条理清晰详尽、符合本项目采购需求，能有效保障本项目实施的得6分；每有一个缺项扣2分；每有一项内容存在缺陷，扣（0-2）分。 备注:缺陷是指：非专门针对本项目或不适用项目特性的情形、内容不完整或缺少关键节点、套用其他项目方案、内容前后矛盾、不利于项目实施、不可能实现的情形等任意一种情形。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人员配备方案（1）</w:t>
            </w:r>
          </w:p>
        </w:tc>
        <w:tc>
          <w:tcPr>
            <w:tcW w:type="dxa" w:w="2492"/>
          </w:tcPr>
          <w:p>
            <w:pPr>
              <w:pStyle w:val="null3"/>
            </w:pPr>
            <w:r>
              <w:rPr>
                <w:rFonts w:ascii="仿宋_GB2312" w:hAnsi="仿宋_GB2312" w:cs="仿宋_GB2312" w:eastAsia="仿宋_GB2312"/>
              </w:rPr>
              <w:t>团队配置：针对本项目配备专项服务团队，至少包括项目负责人、图文编辑、设计制作、审核校对、网络媒体/新媒体运营人员等。满足配备要求，得10分。不满足配备要求不得分。 备注：评审时以供应商提供的“本项目拟投入人员汇总表”中拟担任的职务为准并附相关人员的有效身份证复印件，未明确的或未提供身份证件的或不符合团队配置要求的，此项不得分。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人员配备方案（2）</w:t>
            </w:r>
          </w:p>
        </w:tc>
        <w:tc>
          <w:tcPr>
            <w:tcW w:type="dxa" w:w="2492"/>
          </w:tcPr>
          <w:p>
            <w:pPr>
              <w:pStyle w:val="null3"/>
            </w:pPr>
            <w:r>
              <w:rPr>
                <w:rFonts w:ascii="仿宋_GB2312" w:hAnsi="仿宋_GB2312" w:cs="仿宋_GB2312" w:eastAsia="仿宋_GB2312"/>
              </w:rPr>
              <w:t>项目负责人：具有类似项目（网络专题专栏运维宣传推广）经验，得5分。 备注：提供至少1份2023年1月1日至今（以合同签订时间为准）的类似项目合同（提供一份即可），合同中须体现项目负责人信息或由服务业主单位开具相关证明。</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人员配备方案（3）</w:t>
            </w:r>
          </w:p>
        </w:tc>
        <w:tc>
          <w:tcPr>
            <w:tcW w:type="dxa" w:w="2492"/>
          </w:tcPr>
          <w:p>
            <w:pPr>
              <w:pStyle w:val="null3"/>
            </w:pPr>
            <w:r>
              <w:rPr>
                <w:rFonts w:ascii="仿宋_GB2312" w:hAnsi="仿宋_GB2312" w:cs="仿宋_GB2312" w:eastAsia="仿宋_GB2312"/>
              </w:rPr>
              <w:t>人员配备方案：方案至少包括，①人员培训计划；②团队管理及监督机制等。 以上内容专门针对本项目且符合本项目实际需求的得4分，每缺一项内容扣2分，若上述内容存在瑕疵，扣（0-2）分。 “瑕疵”指内容明显错误，或内容不完整或缺少关键点，或不适用本项目特性、套用其他项目内容或内容不能满足本项目实际需求等情形。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资源调度及关键性技术问题应对</w:t>
            </w:r>
          </w:p>
        </w:tc>
        <w:tc>
          <w:tcPr>
            <w:tcW w:type="dxa" w:w="2492"/>
          </w:tcPr>
          <w:p>
            <w:pPr>
              <w:pStyle w:val="null3"/>
            </w:pPr>
            <w:r>
              <w:rPr>
                <w:rFonts w:ascii="仿宋_GB2312" w:hAnsi="仿宋_GB2312" w:cs="仿宋_GB2312" w:eastAsia="仿宋_GB2312"/>
              </w:rPr>
              <w:t>方案至少包括：①针对本项目的资源调度保障；②关键性技术问题应对措施等。 各部分内容全面详细、阐述条理清晰详尽、符合本项目采购需求，能有效保障本项目实施的得4分；每有一个缺项扣2分；每有一项内容存在缺陷，扣（0-2）分。 备注:缺陷是指：非专门针对本项目或不适用项目特性的情形、内容不完整或缺少关键节点、套用其他项目方案、内容前后矛盾、不利于项目实施、不可能实现的情形等任意一种情形。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提供供应商2022年1月1日至磋商截止日(以合同签订日期为准）类似项目业绩（以合同复印件为准），每提供一份有效业绩得5分，最高得10分。若提供虚假业绩，一经发现，按无效磋商处理。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2、满足磋商文件实质性要求且最终报价最低的供应商的价格为磋商基准价，其价格分为满分10分。 3、磋商报价得分=（磋商基准价/最终磋商报价）×10。 4、磋商报价不完整的，不进入磋商基准价的计算，本项得0分。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项目理解及需求分析</w:t>
            </w:r>
          </w:p>
        </w:tc>
        <w:tc>
          <w:tcPr>
            <w:tcW w:type="dxa" w:w="2492"/>
          </w:tcPr>
          <w:p>
            <w:pPr>
              <w:pStyle w:val="null3"/>
            </w:pPr>
            <w:r>
              <w:rPr>
                <w:rFonts w:ascii="仿宋_GB2312" w:hAnsi="仿宋_GB2312" w:cs="仿宋_GB2312" w:eastAsia="仿宋_GB2312"/>
              </w:rPr>
              <w:t>方案至少包括：①采购需求分析；②项目内容分解；③重难点分析及合理化建议；④增值服务等。 各部分内容全面详细、阐述条理清晰详尽、符合本项目采购需求，能有效保障本项目实施的得4分；每有一个缺项扣1分；每有一项内容存在缺陷，扣（0-1）分。 备注:缺陷是指：非专门针对本项目或不适用项目特性的情形、内容不完整或缺少关键节点、套用其他项目方案、内容前后矛盾、不利于项目实施、不可能实现的情形等任意一种情形。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整体服务实施方案</w:t>
            </w:r>
          </w:p>
        </w:tc>
        <w:tc>
          <w:tcPr>
            <w:tcW w:type="dxa" w:w="2492"/>
          </w:tcPr>
          <w:p>
            <w:pPr>
              <w:pStyle w:val="null3"/>
            </w:pPr>
            <w:r>
              <w:rPr>
                <w:rFonts w:ascii="仿宋_GB2312" w:hAnsi="仿宋_GB2312" w:cs="仿宋_GB2312" w:eastAsia="仿宋_GB2312"/>
              </w:rPr>
              <w:t>方案至少包括：①项目整体策划方案；②项目执行流程与进度规划；③质量保障方案；④应急保障方案。 各部分内容全面详细、阐述条理清晰详尽、符合本项目采购需求，能有效保障本项目实施的得8分；每有一个缺项扣2分；每有一项内容存在缺陷，扣（0-2）分。 备注:缺陷是指：非专门针对本项目或不适用项目特性的情形、内容不完整或缺少关键节点、套用其他项目方案、内容前后矛盾、不利于项目实施、不可能实现的情形等任意一种情形。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门户网站或新媒体平台证明</w:t>
            </w:r>
          </w:p>
        </w:tc>
        <w:tc>
          <w:tcPr>
            <w:tcW w:type="dxa" w:w="2492"/>
          </w:tcPr>
          <w:p>
            <w:pPr>
              <w:pStyle w:val="null3"/>
            </w:pPr>
            <w:r>
              <w:rPr>
                <w:rFonts w:ascii="仿宋_GB2312" w:hAnsi="仿宋_GB2312" w:cs="仿宋_GB2312" w:eastAsia="仿宋_GB2312"/>
              </w:rPr>
              <w:t>1、提供门户网站或新媒体平台用户群体广泛、互动性强、传播速度快等网络传播优势证明材料，包括但不限于：①用户每日活跃度≥2亿人次，②用户群体覆盖垂直领域≥20个，③机构认证主体≥1万。每提供一项有效证明材料，得2分，满分6分。 2、提供门户网站或新媒体平台经营资质或官方代理资质等证明材料得4分，不提供不得分。 备注:(1)门户网站或新媒体平台为投标供应商自有的，按要求提供相关信息证明资料即可;(2)门户网站或新媒体平台为投标供应商代理的，提供媒体平台出具的相关信息证明材料，同时附授权委托代理资料(如官方授权书或合作协议等法律认可的文件文书)。</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专题/专栏搭建方案（1）</w:t>
            </w:r>
          </w:p>
        </w:tc>
        <w:tc>
          <w:tcPr>
            <w:tcW w:type="dxa" w:w="2492"/>
          </w:tcPr>
          <w:p>
            <w:pPr>
              <w:pStyle w:val="null3"/>
            </w:pPr>
            <w:r>
              <w:rPr>
                <w:rFonts w:ascii="仿宋_GB2312" w:hAnsi="仿宋_GB2312" w:cs="仿宋_GB2312" w:eastAsia="仿宋_GB2312"/>
              </w:rPr>
              <w:t>承诺：承诺“在具有较强综合影响力的门户网站或新媒体平台搭建专题/专栏1个”，得5分。（备注：评审时以供应商响应文件中提供的“服务应答表”响应内容为准，供应商对其响应真实性负责，供应商未响应或响应内容不满足采购要求的均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专题/专栏搭建方案（2）</w:t>
            </w:r>
          </w:p>
        </w:tc>
        <w:tc>
          <w:tcPr>
            <w:tcW w:type="dxa" w:w="2492"/>
          </w:tcPr>
          <w:p>
            <w:pPr>
              <w:pStyle w:val="null3"/>
            </w:pPr>
            <w:r>
              <w:rPr>
                <w:rFonts w:ascii="仿宋_GB2312" w:hAnsi="仿宋_GB2312" w:cs="仿宋_GB2312" w:eastAsia="仿宋_GB2312"/>
              </w:rPr>
              <w:t>具体搭建方案：至少包括，①网站或新媒体平台选取；②专题/专栏页面设计；③专题/专栏板块及功能设置；④各浏览终端的适配性等。 各部分内容全面详细、阐述条理清晰详尽、符合本项目采购需求，能有效保障本项目实施的得8分；每有一个缺项扣2分；每有一项内容存在缺陷，扣（0-2）分。 备注:缺陷是指：非专门针对本项目或不适用项目特性的情形、内容不完整或缺少关键节点、套用其他项目方案、内容前后矛盾、不利于项目实施、不可能实现的情形等任意一种情形。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正能量信息集纳方案（1）</w:t>
            </w:r>
          </w:p>
        </w:tc>
        <w:tc>
          <w:tcPr>
            <w:tcW w:type="dxa" w:w="2492"/>
          </w:tcPr>
          <w:p>
            <w:pPr>
              <w:pStyle w:val="null3"/>
            </w:pPr>
            <w:r>
              <w:rPr>
                <w:rFonts w:ascii="仿宋_GB2312" w:hAnsi="仿宋_GB2312" w:cs="仿宋_GB2312" w:eastAsia="仿宋_GB2312"/>
              </w:rPr>
              <w:t>承诺：承诺“专栏/专题集纳雁塔正能量信息不少于40条次”，得5分。（备注：评审时以供应商响应文件中提供的“服务应答表”响应内容为准，供应商对其响应真实性负责，供应商未响应或响应内容不满足采购要求的均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正能量信息集纳方案（2）</w:t>
            </w:r>
          </w:p>
        </w:tc>
        <w:tc>
          <w:tcPr>
            <w:tcW w:type="dxa" w:w="2492"/>
          </w:tcPr>
          <w:p>
            <w:pPr>
              <w:pStyle w:val="null3"/>
            </w:pPr>
            <w:r>
              <w:rPr>
                <w:rFonts w:ascii="仿宋_GB2312" w:hAnsi="仿宋_GB2312" w:cs="仿宋_GB2312" w:eastAsia="仿宋_GB2312"/>
              </w:rPr>
              <w:t>具体集纳方案：至少包括，①信息采集来源渠道；②指定内容更新及筛选机制；③质量保障措施等。 各部分内容全面详细、阐述条理清晰详尽、符合本项目采购需求，能有效保障本项目实施的得6分；每有一个缺项扣2分；每有一项内容存在缺陷，扣（0-2）分。 备注:缺陷是指：非专门针对本项目或不适用项目特性的情形、内容不完整或缺少关键节点、套用其他项目方案、内容前后矛盾、不利于项目实施、不可能实现的情形等任意一种情形。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全媒体平台传播推广方案（1）</w:t>
            </w:r>
          </w:p>
        </w:tc>
        <w:tc>
          <w:tcPr>
            <w:tcW w:type="dxa" w:w="2492"/>
          </w:tcPr>
          <w:p>
            <w:pPr>
              <w:pStyle w:val="null3"/>
            </w:pPr>
            <w:r>
              <w:rPr>
                <w:rFonts w:ascii="仿宋_GB2312" w:hAnsi="仿宋_GB2312" w:cs="仿宋_GB2312" w:eastAsia="仿宋_GB2312"/>
              </w:rPr>
              <w:t>承诺：承诺“及时通过全媒体平台对雁塔区重点信息内容进行传播推广”，得5分。（备注：评审时以供应商响应文件中提供的“服务应答表”响应内容为准，供应商对其响应真实性负责，供应商未响应或响应内容不满足采购要求的均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全媒体平台传播推广方案（2）</w:t>
            </w:r>
          </w:p>
        </w:tc>
        <w:tc>
          <w:tcPr>
            <w:tcW w:type="dxa" w:w="2492"/>
          </w:tcPr>
          <w:p>
            <w:pPr>
              <w:pStyle w:val="null3"/>
            </w:pPr>
            <w:r>
              <w:rPr>
                <w:rFonts w:ascii="仿宋_GB2312" w:hAnsi="仿宋_GB2312" w:cs="仿宋_GB2312" w:eastAsia="仿宋_GB2312"/>
              </w:rPr>
              <w:t>具体传播推广方案：至少包括，①网站或新媒体平台选取；②整体的推广传播思路；③传播推广方式及内容等。 各部分内容全面详细、阐述条理清晰详尽、符合本项目采购需求，能有效保障本项目实施的得6分；每有一个缺项扣2分；每有一项内容存在缺陷，扣（0-2）分。 备注:缺陷是指：非专门针对本项目或不适用项目特性的情形、内容不完整或缺少关键节点、套用其他项目方案、内容前后矛盾、不利于项目实施、不可能实现的情形等任意一种情形。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人员配备方案（1）</w:t>
            </w:r>
          </w:p>
        </w:tc>
        <w:tc>
          <w:tcPr>
            <w:tcW w:type="dxa" w:w="2492"/>
          </w:tcPr>
          <w:p>
            <w:pPr>
              <w:pStyle w:val="null3"/>
            </w:pPr>
            <w:r>
              <w:rPr>
                <w:rFonts w:ascii="仿宋_GB2312" w:hAnsi="仿宋_GB2312" w:cs="仿宋_GB2312" w:eastAsia="仿宋_GB2312"/>
              </w:rPr>
              <w:t>团队配置：针对本项目配备专项服务团队，至少包括项目负责人、图文编辑、设计制作、审核校对、网络媒体/新媒体运营人员等。满足配备要求，得10分。不满足配备要求不得分。 备注：评审时以供应商提供的“本项目拟投入人员汇总表”中拟担任的职务为准并附相关人员的有效身份证复印件，未明确的或未提供身份证件的或不符合团队配置要求的，此项不得分。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人员配备方案（2）</w:t>
            </w:r>
          </w:p>
        </w:tc>
        <w:tc>
          <w:tcPr>
            <w:tcW w:type="dxa" w:w="2492"/>
          </w:tcPr>
          <w:p>
            <w:pPr>
              <w:pStyle w:val="null3"/>
            </w:pPr>
            <w:r>
              <w:rPr>
                <w:rFonts w:ascii="仿宋_GB2312" w:hAnsi="仿宋_GB2312" w:cs="仿宋_GB2312" w:eastAsia="仿宋_GB2312"/>
              </w:rPr>
              <w:t>项目负责人：具有类似项目（网络专题专栏运维宣传推广）经验，得5分。 备注：提供2023年1月1日至今（以合同签订时间为准）的类似项目合同（提供一份即可），合同中须体现项目负责人信息或由服务业主单位开具相关证明。</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人员配备方案（3）</w:t>
            </w:r>
          </w:p>
        </w:tc>
        <w:tc>
          <w:tcPr>
            <w:tcW w:type="dxa" w:w="2492"/>
          </w:tcPr>
          <w:p>
            <w:pPr>
              <w:pStyle w:val="null3"/>
            </w:pPr>
            <w:r>
              <w:rPr>
                <w:rFonts w:ascii="仿宋_GB2312" w:hAnsi="仿宋_GB2312" w:cs="仿宋_GB2312" w:eastAsia="仿宋_GB2312"/>
              </w:rPr>
              <w:t>人员配备方案：方案至少包括，①人员培训计划；②团队管理及监督机制等。 以上内容专门针对本项目且符合本项目实际需求的得4分，每缺一项内容扣2分，若上述内容存在瑕疵，扣（0-2）分。 “瑕疵”指内容明显错误，或内容不完整或缺少关键点，或不适用本项目特性、套用其他项目内容或内容不能满足本项目实际需求等情形。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资源调度及关键性技术问题应对</w:t>
            </w:r>
          </w:p>
        </w:tc>
        <w:tc>
          <w:tcPr>
            <w:tcW w:type="dxa" w:w="2492"/>
          </w:tcPr>
          <w:p>
            <w:pPr>
              <w:pStyle w:val="null3"/>
            </w:pPr>
            <w:r>
              <w:rPr>
                <w:rFonts w:ascii="仿宋_GB2312" w:hAnsi="仿宋_GB2312" w:cs="仿宋_GB2312" w:eastAsia="仿宋_GB2312"/>
              </w:rPr>
              <w:t>方案至少包括：①针对本项目的资源调度保障；②关键性技术问题应对措施等。 各部分内容全面详细、阐述条理清晰详尽、符合本项目采购需求，能有效保障本项目实施的得4分；每有一个缺项扣2分；每有一项内容存在缺陷，扣（0-2）分。 备注:缺陷是指：非专门针对本项目或不适用项目特性的情形、内容不完整或缺少关键节点、套用其他项目方案、内容前后矛盾、不利于项目实施、不可能实现的情形等任意一种情形。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提供供应商2022年1月1日至磋商截止日(以合同签订日期为准）类似项目业绩（以合同复印件为准），每提供一份有效业绩得5分，最高得10分。若提供虚假业绩，一经发现，按无效磋商处理。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2、满足磋商文件实质性要求且最终报价最低的供应商的价格为磋商基准价，其价格分为满分10分。 3、磋商报价得分=（磋商基准价/最终磋商报价）×10。 4、磋商报价不完整的，不进入磋商基准价的计算，本项得0分。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项目理解及需求分析</w:t>
            </w:r>
          </w:p>
        </w:tc>
        <w:tc>
          <w:tcPr>
            <w:tcW w:type="dxa" w:w="2492"/>
          </w:tcPr>
          <w:p>
            <w:pPr>
              <w:pStyle w:val="null3"/>
            </w:pPr>
            <w:r>
              <w:rPr>
                <w:rFonts w:ascii="仿宋_GB2312" w:hAnsi="仿宋_GB2312" w:cs="仿宋_GB2312" w:eastAsia="仿宋_GB2312"/>
              </w:rPr>
              <w:t>方案至少包括：①采购需求分析；②项目内容分解；③重难点分析及合理化建议；④增值服务等。 各部分内容全面详细、阐述条理清晰详尽、符合本项目采购需求，能有效保障本项目实施的得4分；每有一个缺项扣1分；每有一项内容存在缺陷，扣（0-1）分。 备注:缺陷是指：非专门针对本项目或不适用项目特性的情形、内容不完整或缺少关键节点、套用其他项目方案、内容前后矛盾、不利于项目实施、不可能实现的情形等任意一种情形。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新闻媒体或新闻网站平台证明</w:t>
            </w:r>
          </w:p>
        </w:tc>
        <w:tc>
          <w:tcPr>
            <w:tcW w:type="dxa" w:w="2492"/>
          </w:tcPr>
          <w:p>
            <w:pPr>
              <w:pStyle w:val="null3"/>
            </w:pPr>
            <w:r>
              <w:rPr>
                <w:rFonts w:ascii="仿宋_GB2312" w:hAnsi="仿宋_GB2312" w:cs="仿宋_GB2312" w:eastAsia="仿宋_GB2312"/>
              </w:rPr>
              <w:t>1、提供主流新闻媒体或主流新闻网站资质证明，得5分，未提供不得分。 2、提供互联网新闻信息采编发布服务资质，得5分，未提供不得分。 备注:(1)新闻媒体或新闻网站为投标供应商自有的，按要求提供相关证明资料即可;(2)新闻媒体或新闻网站为投标供应商代理的，提供媒体平台相关资质的同时须附授权委托代理资料(如官方授权书或合作协议等法律认可的文件文书)。</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整体服务实施方案</w:t>
            </w:r>
          </w:p>
        </w:tc>
        <w:tc>
          <w:tcPr>
            <w:tcW w:type="dxa" w:w="2492"/>
          </w:tcPr>
          <w:p>
            <w:pPr>
              <w:pStyle w:val="null3"/>
            </w:pPr>
            <w:r>
              <w:rPr>
                <w:rFonts w:ascii="仿宋_GB2312" w:hAnsi="仿宋_GB2312" w:cs="仿宋_GB2312" w:eastAsia="仿宋_GB2312"/>
              </w:rPr>
              <w:t>方案至少包括：①项目整体策划方案；②项目执行流程与进度规划；③质量保障方案；④应急保障方案。 各部分内容全面详细、阐述条理清晰详尽、符合本项目采购需求，能有效保障本项目实施的得8分；每有一个缺项扣2分；每有一项内容存在缺陷，扣（0-2）分。 备注:缺陷是指：非专门针对本项目或不适用项目特性的情形、内容不完整或缺少关键节点、套用其他项目方案、内容前后矛盾、不利于项目实施、不可能实现的情形等任意一种情形。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账号日常运维方案（1）</w:t>
            </w:r>
          </w:p>
        </w:tc>
        <w:tc>
          <w:tcPr>
            <w:tcW w:type="dxa" w:w="2492"/>
          </w:tcPr>
          <w:p>
            <w:pPr>
              <w:pStyle w:val="null3"/>
            </w:pPr>
            <w:r>
              <w:rPr>
                <w:rFonts w:ascii="仿宋_GB2312" w:hAnsi="仿宋_GB2312" w:cs="仿宋_GB2312" w:eastAsia="仿宋_GB2312"/>
              </w:rPr>
              <w:t>承诺：承诺“提供5人以上的专业服务团队，根据甲方需求做好账号日常运维”，得5分。（备注：评审时以供应商响应文件中提供的“服务应答表”响应内容为准，供应商对其响应真实性负责，供应商未响应或响应内容不满足采购要求的均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账号日常运维方案（2）</w:t>
            </w:r>
          </w:p>
        </w:tc>
        <w:tc>
          <w:tcPr>
            <w:tcW w:type="dxa" w:w="2492"/>
          </w:tcPr>
          <w:p>
            <w:pPr>
              <w:pStyle w:val="null3"/>
            </w:pPr>
            <w:r>
              <w:rPr>
                <w:rFonts w:ascii="仿宋_GB2312" w:hAnsi="仿宋_GB2312" w:cs="仿宋_GB2312" w:eastAsia="仿宋_GB2312"/>
              </w:rPr>
              <w:t>具体运维方案：至少包括，①微信公众号和视频号整体运维思路；②内容策划与选题机制；③内容审核流程与机制；④内容发布与推送机制等。 各部分内容全面详细、阐述条理清晰详尽、符合本项目采购需求，能有效保障本项目实施的得8分；每有一个缺项扣2分；每有一项内容存在缺陷，扣（0-2）分。 备注:缺陷是指：非专门针对本项目或不适用项目特性的情形、内容不完整或缺少关键节点、套用其他项目方案、内容前后矛盾、不利于项目实施、不可能实现的情形等任意一种情形。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产品制作方案（1）</w:t>
            </w:r>
          </w:p>
        </w:tc>
        <w:tc>
          <w:tcPr>
            <w:tcW w:type="dxa" w:w="2492"/>
          </w:tcPr>
          <w:p>
            <w:pPr>
              <w:pStyle w:val="null3"/>
            </w:pPr>
            <w:r>
              <w:rPr>
                <w:rFonts w:ascii="仿宋_GB2312" w:hAnsi="仿宋_GB2312" w:cs="仿宋_GB2312" w:eastAsia="仿宋_GB2312"/>
              </w:rPr>
              <w:t>承诺：承诺“根据账号运维需要，创作图文产品不少于30条，海报不少于170张，长图不少于2幅，视频产品不少于50条，航拍视频不少于5条，策划组织实施粉丝互动活动不少于5场次”，得5分。（备注：评审时以供应商响应文件中提供的“服务应答表”响应内容为准，供应商对其响应真实性负责，供应商未响应或响应内容不满足采购要求的均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产品制作方案（2）</w:t>
            </w:r>
          </w:p>
        </w:tc>
        <w:tc>
          <w:tcPr>
            <w:tcW w:type="dxa" w:w="2492"/>
          </w:tcPr>
          <w:p>
            <w:pPr>
              <w:pStyle w:val="null3"/>
            </w:pPr>
            <w:r>
              <w:rPr>
                <w:rFonts w:ascii="仿宋_GB2312" w:hAnsi="仿宋_GB2312" w:cs="仿宋_GB2312" w:eastAsia="仿宋_GB2312"/>
              </w:rPr>
              <w:t>具体制作方案：至少包括，①图文产品制作方案；②海报制作方案；③长图制作方案；④视频产品制作方案（包括选题、拍摄、剪辑、配乐）；⑤粉丝互动活动方案等。 各部分内容全面详细、阐述条理清晰详尽、符合本项目采购需求，能有效保障本项目实施的得6分；每有一个缺项扣1.2分；每有一项内容存在缺陷，扣（0-1.2）分。 备注:缺陷是指：非专门针对本项目或不适用项目特性的情形、内容不完整或缺少关键节点、套用其他项目方案、内容前后矛盾、不利于项目实施、不可能实现的情形等任意一种情形。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账号关注用户量增长保障方案（1）</w:t>
            </w:r>
          </w:p>
        </w:tc>
        <w:tc>
          <w:tcPr>
            <w:tcW w:type="dxa" w:w="2492"/>
          </w:tcPr>
          <w:p>
            <w:pPr>
              <w:pStyle w:val="null3"/>
            </w:pPr>
            <w:r>
              <w:rPr>
                <w:rFonts w:ascii="仿宋_GB2312" w:hAnsi="仿宋_GB2312" w:cs="仿宋_GB2312" w:eastAsia="仿宋_GB2312"/>
              </w:rPr>
              <w:t>承诺：承诺“至服务周期终止时，账号关注用户量比服务周期开始时增长不低于10%”，得5分。（备注：评审时以供应商响应文件中提供的“服务应答表”响应内容为准，供应商对其响应真实性负责，供应商未响应或响应内容不满足采购要求的均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账号关注用户量增长保障方案（2）</w:t>
            </w:r>
          </w:p>
        </w:tc>
        <w:tc>
          <w:tcPr>
            <w:tcW w:type="dxa" w:w="2492"/>
          </w:tcPr>
          <w:p>
            <w:pPr>
              <w:pStyle w:val="null3"/>
            </w:pPr>
            <w:r>
              <w:rPr>
                <w:rFonts w:ascii="仿宋_GB2312" w:hAnsi="仿宋_GB2312" w:cs="仿宋_GB2312" w:eastAsia="仿宋_GB2312"/>
              </w:rPr>
              <w:t>具体增长保障方案：至少包括，①已关注账户的用户留存方案；②用户量分阶段增长目标；③详细的增长保障方案等。 各部分内容全面详细、阐述条理清晰详尽、符合本项目采购需求，能有效保障本项目实施的得6分；每有一个缺项扣2分；每有一项内容存在缺陷，扣（0-2）分。 备注:缺陷是指：非专门针对本项目或不适用项目特性的情形、内容不完整或缺少关键节点、套用其他项目方案、内容前后矛盾、不利于项目实施、不可能实现的情形等任意一种情形。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人员配备方案（1）</w:t>
            </w:r>
          </w:p>
        </w:tc>
        <w:tc>
          <w:tcPr>
            <w:tcW w:type="dxa" w:w="2492"/>
          </w:tcPr>
          <w:p>
            <w:pPr>
              <w:pStyle w:val="null3"/>
            </w:pPr>
            <w:r>
              <w:rPr>
                <w:rFonts w:ascii="仿宋_GB2312" w:hAnsi="仿宋_GB2312" w:cs="仿宋_GB2312" w:eastAsia="仿宋_GB2312"/>
              </w:rPr>
              <w:t>团队配置：针对本项目配备专项服务团队，至少包括项目负责人、文案采编、摄影摄像、设计制作、视频制作、内容编辑、审核校对、新技术新应用建设开发人员等。满足配备要求，得10分。不满足配备要求不得分。 备注：评审时以供应商提供的“本项目拟投入人员汇总表”中拟担任的职务为准并附相关人员的有效身份证复印件，未明确的或未提供身份证件的或不符合团队配置要求的，此项不得分。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人员配备方案（2）</w:t>
            </w:r>
          </w:p>
        </w:tc>
        <w:tc>
          <w:tcPr>
            <w:tcW w:type="dxa" w:w="2492"/>
          </w:tcPr>
          <w:p>
            <w:pPr>
              <w:pStyle w:val="null3"/>
            </w:pPr>
            <w:r>
              <w:rPr>
                <w:rFonts w:ascii="仿宋_GB2312" w:hAnsi="仿宋_GB2312" w:cs="仿宋_GB2312" w:eastAsia="仿宋_GB2312"/>
              </w:rPr>
              <w:t>项目负责人：具有类似项目（新媒体运营宣传推广类）经验，得5分。 备注：提供2023年1月1日至今（以合同签订时间为准）的类似项目合同（提供一份即可），合同中须体现项目负责人信息或由服务业主单位开具相关证明。</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人员配备方案（3）</w:t>
            </w:r>
          </w:p>
        </w:tc>
        <w:tc>
          <w:tcPr>
            <w:tcW w:type="dxa" w:w="2492"/>
          </w:tcPr>
          <w:p>
            <w:pPr>
              <w:pStyle w:val="null3"/>
            </w:pPr>
            <w:r>
              <w:rPr>
                <w:rFonts w:ascii="仿宋_GB2312" w:hAnsi="仿宋_GB2312" w:cs="仿宋_GB2312" w:eastAsia="仿宋_GB2312"/>
              </w:rPr>
              <w:t>人员配备方案：方案至少包括，①人员培训计划；②团队管理及监督机制等。 以上内容专门针对本项目且符合本项目实际需求的得4分，每缺一项内容扣2分，若上述内容存在瑕疵，扣（0-2）分。“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资源调度及关键性技术问题应对</w:t>
            </w:r>
          </w:p>
        </w:tc>
        <w:tc>
          <w:tcPr>
            <w:tcW w:type="dxa" w:w="2492"/>
          </w:tcPr>
          <w:p>
            <w:pPr>
              <w:pStyle w:val="null3"/>
            </w:pPr>
            <w:r>
              <w:rPr>
                <w:rFonts w:ascii="仿宋_GB2312" w:hAnsi="仿宋_GB2312" w:cs="仿宋_GB2312" w:eastAsia="仿宋_GB2312"/>
              </w:rPr>
              <w:t>方案至少包括：①针对本项目的资源调度保障；②关键性技术问题应对措施等。 各部分内容全面详细、阐述条理清晰详尽、符合本项目采购需求，能有效保障本项目实施的得4分；每有一个缺项扣2分；每有一项内容存在缺陷，扣（0-2）分。 备注:缺陷是指：非专门针对本项目或不适用项目特性的情形、内容不完整或缺少关键节点、套用其他项目方案、内容前后矛盾、不利于项目实施、不可能实现的情形等任意一种情形。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提供供应商2022年1月1日至磋商截止日(以合同签订日期为准）类似项目业绩（以合同复印件为准），每提供一份有效业绩得5分，最高得10分。若提供虚假业绩，一经发现，按无效磋商处理。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2、满足磋商文件实质性要求且最终报价最低的供应商的价格为磋商基准价，其价格分为满分10分。 3、磋商报价得分=（磋商基准价/最终磋商报价）×10。 4、磋商报价不完整的，不进入磋商基准价的计算，本项得0分。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详见附件：服务应答表.docx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详见附件：磋商方案说明书.docx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详见附件：其它资料.docx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详见附件：服务应答表.docx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详见附件：磋商方案说明书.docx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详见附件：其它资料.docx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详见附件：服务应答表.docx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详见附件：磋商方案说明书.docx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详见附件：其它资料.docx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