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版本号：ZZHC-2026-2820260717001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残疾人职业技能和实用技术培训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ZZHC-2026-28</w:t>
      </w:r>
      <w:r>
        <w:br/>
      </w:r>
      <w:r>
        <w:br/>
      </w:r>
      <w:r>
        <w:br/>
      </w:r>
    </w:p>
    <w:p>
      <w:pPr>
        <w:pStyle w:val="null3"/>
        <w:jc w:val="center"/>
        <w:outlineLvl w:val="2"/>
      </w:pPr>
      <w:r>
        <w:rPr>
          <w:rFonts w:ascii="仿宋_GB2312" w:hAnsi="仿宋_GB2312" w:cs="仿宋_GB2312" w:eastAsia="仿宋_GB2312"/>
          <w:sz w:val="28"/>
          <w:b/>
        </w:rPr>
        <w:t>澄城县残疾人联合会</w:t>
      </w:r>
    </w:p>
    <w:p>
      <w:pPr>
        <w:pStyle w:val="null3"/>
        <w:jc w:val="center"/>
        <w:outlineLvl w:val="2"/>
      </w:pPr>
      <w:r>
        <w:rPr>
          <w:rFonts w:ascii="仿宋_GB2312" w:hAnsi="仿宋_GB2312" w:cs="仿宋_GB2312" w:eastAsia="仿宋_GB2312"/>
          <w:sz w:val="28"/>
          <w:b/>
        </w:rPr>
        <w:t>陕西中治宏成项目管理有限公司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陕西中治宏成项目管理有限公司</w:t>
      </w:r>
      <w:r>
        <w:rPr>
          <w:rFonts w:ascii="仿宋_GB2312" w:hAnsi="仿宋_GB2312" w:cs="仿宋_GB2312" w:eastAsia="仿宋_GB2312"/>
        </w:rPr>
        <w:t>（以下简称“代理机构”）受</w:t>
      </w:r>
      <w:r>
        <w:rPr>
          <w:rFonts w:ascii="仿宋_GB2312" w:hAnsi="仿宋_GB2312" w:cs="仿宋_GB2312" w:eastAsia="仿宋_GB2312"/>
        </w:rPr>
        <w:t>澄城县残疾人联合会</w:t>
      </w:r>
      <w:r>
        <w:rPr>
          <w:rFonts w:ascii="仿宋_GB2312" w:hAnsi="仿宋_GB2312" w:cs="仿宋_GB2312" w:eastAsia="仿宋_GB2312"/>
        </w:rPr>
        <w:t>委托，拟对</w:t>
      </w:r>
      <w:r>
        <w:rPr>
          <w:rFonts w:ascii="仿宋_GB2312" w:hAnsi="仿宋_GB2312" w:cs="仿宋_GB2312" w:eastAsia="仿宋_GB2312"/>
        </w:rPr>
        <w:t>残疾人职业技能和实用技术培训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ZZHC-2026-28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残疾人职业技能和实用技术培训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残疾人职业技能和实用技术培训紧扣我县乡村振兴产业布局、本地就业市场需求和残疾人身体适配特点，坚持“因地制宜、按需施教、实用高效”原则，重点围绕农村实用技术、手工技能、职业技能、新兴就业四大类领域开设针对性培训课程，杜绝脱离实际、通用性过强的培训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审计报告：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pPr>
        <w:pStyle w:val="null3"/>
      </w:pPr>
      <w:r>
        <w:rPr>
          <w:rFonts w:ascii="仿宋_GB2312" w:hAnsi="仿宋_GB2312" w:cs="仿宋_GB2312" w:eastAsia="仿宋_GB2312"/>
        </w:rPr>
        <w:t>3、税收缴纳证明：提供投标截止时间前六个月内任意一个月的纳税证明或完税证明（以税款所属期为准，依法免税的应提供相关证明材料）；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4、社会保障资金缴纳证明：提供投标截止时间前六个月内任意一个月的社会保障资金缴存单据或社保机构开具的社会保险参保缴费情况证明（依法不需要缴纳社会保障资金的投标人应提供相关证明）；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5、具有履行合同所必需的设备和专业技术能力：提供具有履行合同所必需的设备和专业技术能力的说明及承诺；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p>
      <w:pPr>
        <w:pStyle w:val="null3"/>
      </w:pPr>
      <w:r>
        <w:rPr>
          <w:rFonts w:ascii="仿宋_GB2312" w:hAnsi="仿宋_GB2312" w:cs="仿宋_GB2312" w:eastAsia="仿宋_GB2312"/>
        </w:rPr>
        <w:t>8、信用截图：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pPr>
        <w:pStyle w:val="null3"/>
      </w:pPr>
      <w:r>
        <w:rPr>
          <w:rFonts w:ascii="仿宋_GB2312" w:hAnsi="仿宋_GB2312" w:cs="仿宋_GB2312" w:eastAsia="仿宋_GB2312"/>
        </w:rPr>
        <w:t>9、管理、控股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澄城县东环路往东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澄城县残疾人联合会经办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0913-6866263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陕西中治宏成项目管理有限公司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陕西省西安市国家民用航天产业基地东长安街航天新天地三号楼 1630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袁佩侠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18191935656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雷娟娟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开户名称：陕西中治宏成项目管理有限公司</w:t>
            </w:r>
          </w:p>
          <w:p>
            <w:pPr>
              <w:pStyle w:val="null3"/>
            </w:pPr>
            <w:r>
              <w:rPr>
                <w:rFonts w:ascii="仿宋_GB2312" w:hAnsi="仿宋_GB2312" w:cs="仿宋_GB2312" w:eastAsia="仿宋_GB2312"/>
              </w:rPr>
              <w:t>开户银行：中国建设银行股份有限公司西安雁塔南路南段支行</w:t>
            </w:r>
          </w:p>
          <w:p>
            <w:pPr>
              <w:pStyle w:val="null3"/>
            </w:pPr>
            <w:r>
              <w:rPr>
                <w:rFonts w:ascii="仿宋_GB2312" w:hAnsi="仿宋_GB2312" w:cs="仿宋_GB2312" w:eastAsia="仿宋_GB2312"/>
              </w:rPr>
              <w:t>银行账号：61050111583800000354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国家发展和改革委员会办公厅关于招标代理服务收费有关问题的通知》（发改办价格〔2003〕857号）文件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澄城县残疾人联合会</w:t>
      </w:r>
      <w:r>
        <w:rPr>
          <w:rFonts w:ascii="仿宋_GB2312" w:hAnsi="仿宋_GB2312" w:cs="仿宋_GB2312" w:eastAsia="仿宋_GB2312"/>
        </w:rPr>
        <w:t>和</w:t>
      </w:r>
      <w:r>
        <w:rPr>
          <w:rFonts w:ascii="仿宋_GB2312" w:hAnsi="仿宋_GB2312" w:cs="仿宋_GB2312" w:eastAsia="仿宋_GB2312"/>
        </w:rPr>
        <w:t>陕西中治宏成项目管理有限公司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陕西中治宏成项目管理有限公司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陕西中治宏成项目管理有限公司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供应商投入自有知识成果开展残疾人职业技能和实用技术培训的，本项目产出的课件、教案、实训资料、教学视频等全部培训成果知识产权归属采购人，</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按采购文件及合同约定完成全部培训任务，资料齐全、培训组织规范，达到培训目标即为验收合格。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联系人：袁佩侠</w:t>
      </w:r>
    </w:p>
    <w:p>
      <w:pPr>
        <w:pStyle w:val="null3"/>
      </w:pPr>
      <w:r>
        <w:rPr>
          <w:rFonts w:ascii="仿宋_GB2312" w:hAnsi="仿宋_GB2312" w:cs="仿宋_GB2312" w:eastAsia="仿宋_GB2312"/>
        </w:rPr>
        <w:t>联系电话：18191935656</w:t>
      </w:r>
    </w:p>
    <w:p>
      <w:pPr>
        <w:pStyle w:val="null3"/>
      </w:pPr>
      <w:r>
        <w:rPr>
          <w:rFonts w:ascii="仿宋_GB2312" w:hAnsi="仿宋_GB2312" w:cs="仿宋_GB2312" w:eastAsia="仿宋_GB2312"/>
        </w:rPr>
        <w:t>地址：陕西中治宏成项目管理有限公司（澄城县原种子管理站二楼综合办公室））</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残疾人职业技能和实用技术培训内容主要为紧扣我县乡村振兴产业布局、本地就业市场需求和残疾人身体适配特点，坚持“因地制宜、按需施教、实用高效”原则，重点围绕农村实用技术、手工技能、职业技能、新兴就业四大类领域开设针对性培训课程，杜绝脱离实际、通用性过强的培训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残疾人职业技能和实用技术培训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标的名称：残疾人职业技能和实用技术培训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服务项目概况：为深入贯彻落实省、市关于加强残疾人职业技能和实用技术培训工作的相关要求，进一步改善我县农村残疾人家庭生活条件，切实提升残疾人职业技能水平，增强其就业创业能力，实现残疾人的自身价值，结合我县残疾人技能需求调研、产业发展实际及残疾人工作总体安排，2026年全县计划对200余名残疾人开展职业技能和实用技术培训，要求：本次培训对象需同时满足以下基本条件，符合条件的智力残疾人、精神残疾人及重度肢体残疾人，可允许其家庭1名直系亲属代为参训，参训亲属需与残疾人共同生活、承担照料和生产帮扶责任，具体条件如下：</w:t>
            </w:r>
          </w:p>
          <w:p>
            <w:pPr>
              <w:pStyle w:val="null3"/>
              <w:ind w:firstLine="320"/>
            </w:pPr>
            <w:r>
              <w:rPr>
                <w:rFonts w:ascii="仿宋_GB2312" w:hAnsi="仿宋_GB2312" w:cs="仿宋_GB2312" w:eastAsia="仿宋_GB2312"/>
                <w:sz w:val="21"/>
              </w:rPr>
              <w:t>（1）户籍与证件要求：具有澄城县常住户籍，且持有有效期内的《中华人民共和国残疾人证》；</w:t>
            </w:r>
          </w:p>
          <w:p>
            <w:pPr>
              <w:pStyle w:val="null3"/>
              <w:ind w:firstLine="320"/>
            </w:pPr>
            <w:r>
              <w:rPr>
                <w:rFonts w:ascii="仿宋_GB2312" w:hAnsi="仿宋_GB2312" w:cs="仿宋_GB2312" w:eastAsia="仿宋_GB2312"/>
                <w:sz w:val="21"/>
              </w:rPr>
              <w:t>（2）年龄要求：处于法定就业年龄段，即男性16—59周岁，女性16—54周岁；</w:t>
            </w:r>
          </w:p>
          <w:p>
            <w:pPr>
              <w:pStyle w:val="null3"/>
              <w:ind w:firstLine="320"/>
            </w:pPr>
            <w:r>
              <w:rPr>
                <w:rFonts w:ascii="仿宋_GB2312" w:hAnsi="仿宋_GB2312" w:cs="仿宋_GB2312" w:eastAsia="仿宋_GB2312"/>
                <w:sz w:val="21"/>
              </w:rPr>
              <w:t>（3）能力意愿要求：具备基本劳动能力和清晰的就业、创业或居家增收意愿，能够正常参与全程培训；</w:t>
            </w:r>
          </w:p>
          <w:p>
            <w:pPr>
              <w:pStyle w:val="null3"/>
              <w:ind w:firstLine="320"/>
            </w:pPr>
            <w:r>
              <w:rPr>
                <w:rFonts w:ascii="仿宋_GB2312" w:hAnsi="仿宋_GB2312" w:cs="仿宋_GB2312" w:eastAsia="仿宋_GB2312"/>
                <w:sz w:val="21"/>
              </w:rPr>
              <w:t>（4）参训条件要求：具备参与集中培训、实地实操的身体条件和学习能力，无影响正常参训的特殊禁忌。</w:t>
            </w:r>
          </w:p>
          <w:p>
            <w:pPr>
              <w:pStyle w:val="null3"/>
              <w:ind w:firstLine="320"/>
            </w:pPr>
            <w:r>
              <w:rPr>
                <w:rFonts w:ascii="仿宋_GB2312" w:hAnsi="仿宋_GB2312" w:cs="仿宋_GB2312" w:eastAsia="仿宋_GB2312"/>
                <w:sz w:val="21"/>
              </w:rPr>
              <w:t>2、服务内容：</w:t>
            </w:r>
          </w:p>
          <w:p>
            <w:pPr>
              <w:pStyle w:val="null3"/>
              <w:ind w:firstLine="640"/>
            </w:pPr>
            <w:r>
              <w:rPr>
                <w:rFonts w:ascii="仿宋_GB2312" w:hAnsi="仿宋_GB2312" w:cs="仿宋_GB2312" w:eastAsia="仿宋_GB2312"/>
                <w:sz w:val="21"/>
              </w:rPr>
              <w:t>紧扣我县乡村振兴产业布局、本地就业市场需求和残疾人身体适配特点，坚持“因地制宜、按需施教、实用高效”原则，重点围绕以下领域开设针对性培训课程，杜绝脱离实际、通用性过强的培训内容：</w:t>
            </w:r>
          </w:p>
          <w:p>
            <w:pPr>
              <w:pStyle w:val="null3"/>
              <w:ind w:firstLine="320"/>
            </w:pPr>
            <w:r>
              <w:rPr>
                <w:rFonts w:ascii="仿宋_GB2312" w:hAnsi="仿宋_GB2312" w:cs="仿宋_GB2312" w:eastAsia="仿宋_GB2312"/>
                <w:sz w:val="21"/>
              </w:rPr>
              <w:t>农村实用技术类：特色种植业、畜禽生态养殖、农产品初加工与保鲜、庭院经济种养等适配农村残疾人的实用技术；</w:t>
            </w:r>
          </w:p>
          <w:p>
            <w:pPr>
              <w:pStyle w:val="null3"/>
              <w:ind w:firstLine="320"/>
            </w:pPr>
            <w:r>
              <w:rPr>
                <w:rFonts w:ascii="仿宋_GB2312" w:hAnsi="仿宋_GB2312" w:cs="仿宋_GB2312" w:eastAsia="仿宋_GB2312"/>
                <w:sz w:val="21"/>
              </w:rPr>
              <w:t>手工技能类：手工艺编织、串珠、烹饪、刺绣、非遗手工等低强度、易操作、可居家创收的手工技能；</w:t>
            </w:r>
          </w:p>
          <w:p>
            <w:pPr>
              <w:pStyle w:val="null3"/>
              <w:ind w:firstLine="320"/>
            </w:pPr>
            <w:r>
              <w:rPr>
                <w:rFonts w:ascii="仿宋_GB2312" w:hAnsi="仿宋_GB2312" w:cs="仿宋_GB2312" w:eastAsia="仿宋_GB2312"/>
                <w:sz w:val="21"/>
              </w:rPr>
              <w:t>职业技能类：盲人保健按摩、家政服务、保洁护理等适合残疾人就业的专项职业技能；</w:t>
            </w:r>
          </w:p>
          <w:p>
            <w:pPr>
              <w:pStyle w:val="null3"/>
              <w:ind w:firstLine="320"/>
            </w:pPr>
            <w:r>
              <w:rPr>
                <w:rFonts w:ascii="仿宋_GB2312" w:hAnsi="仿宋_GB2312" w:cs="仿宋_GB2312" w:eastAsia="仿宋_GB2312"/>
                <w:sz w:val="21"/>
              </w:rPr>
              <w:t>新兴就业类：农村电商基础运营、短视频带货、网络客服、数据标准等轻体力、灵活性强的电商技能。</w:t>
            </w:r>
          </w:p>
          <w:p>
            <w:pPr>
              <w:pStyle w:val="null3"/>
              <w:ind w:firstLine="320"/>
            </w:pPr>
            <w:r>
              <w:rPr>
                <w:rFonts w:ascii="仿宋_GB2312" w:hAnsi="仿宋_GB2312" w:cs="仿宋_GB2312" w:eastAsia="仿宋_GB2312"/>
                <w:sz w:val="21"/>
              </w:rPr>
              <w:t>3、服务质量、标准、期限、效率等要求：</w:t>
            </w:r>
          </w:p>
          <w:p>
            <w:pPr>
              <w:pStyle w:val="null3"/>
              <w:ind w:firstLine="640"/>
            </w:pPr>
            <w:r>
              <w:rPr>
                <w:rFonts w:ascii="仿宋_GB2312" w:hAnsi="仿宋_GB2312" w:cs="仿宋_GB2312" w:eastAsia="仿宋_GB2312"/>
                <w:sz w:val="21"/>
              </w:rPr>
              <w:t>（1）报名阶段：由培训机构在各镇进行宣传，鼓励有相关需求和培训愿望的残疾人及其家庭成员踊跃报名，培训机构将报名人员花名册上报至残联，县残联审核后，由培训机构开始组织实施。</w:t>
            </w:r>
          </w:p>
          <w:p>
            <w:pPr>
              <w:pStyle w:val="null3"/>
              <w:ind w:firstLine="640"/>
            </w:pPr>
            <w:r>
              <w:rPr>
                <w:rFonts w:ascii="仿宋_GB2312" w:hAnsi="仿宋_GB2312" w:cs="仿宋_GB2312" w:eastAsia="仿宋_GB2312"/>
                <w:sz w:val="21"/>
              </w:rPr>
              <w:t>（2）学校配备：满足培训服务需求的工作人员，建立健全培训规章制度和内部管理规范；确保培训场所符合无障碍要求，具有方便残疾人学习、实习、生活的无障碍设施设备；授课教师具有相应资质。</w:t>
            </w:r>
          </w:p>
          <w:p>
            <w:pPr>
              <w:pStyle w:val="null3"/>
              <w:ind w:firstLine="640"/>
            </w:pPr>
            <w:r>
              <w:rPr>
                <w:rFonts w:ascii="仿宋_GB2312" w:hAnsi="仿宋_GB2312" w:cs="仿宋_GB2312" w:eastAsia="仿宋_GB2312"/>
                <w:sz w:val="21"/>
              </w:rPr>
              <w:t>（3）培训形式：以集中办班的形式开展，学校按培训计划天数制定相应的课程安排，免费发放教材与本子、笔，培训时间每天不少于6小时。</w:t>
            </w:r>
          </w:p>
          <w:p>
            <w:pPr>
              <w:pStyle w:val="null3"/>
              <w:ind w:firstLine="640"/>
            </w:pPr>
            <w:r>
              <w:rPr>
                <w:rFonts w:ascii="仿宋_GB2312" w:hAnsi="仿宋_GB2312" w:cs="仿宋_GB2312" w:eastAsia="仿宋_GB2312"/>
                <w:sz w:val="21"/>
              </w:rPr>
              <w:t>4、服务人数：200人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配备项目负责人、具备相关专业教学经验授课老师及现场工作人员，师资适配残疾人教学需求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提供符合残疾人无障碍条件的培训场地，配备对应技能培训所需实训工具、教学器材、多媒体教学设备，满足实操授课需求。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规范组织培训，做好安全保障，完整收集培训资料并移交采购人。</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培训实施方案开展培训，完成规定培训课时、学员建档、资料归档，提交开班材料、考勤记录、培训台账、影像资料、结业材料等全套成果；采购人通过资料审查、现场抽查方式组织验收，全部资料齐全、培训任务达标即为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其他，服务完成，验收合格后付清剩余款项，达到付款条件起5个工作日内，支付合同总金额的70.0%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供应商未按约定完成培训、质量不达标，承担相应违约金；一方违约造成损失的予以赔偿。双方产生争议优先协商解决，协商不成向采购人所在地人民法院提起诉讼。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提供投标截止时间前六个月内任意一个月的社会保障资金缴存单据或社保机构开具的社会保险参保缴费情况证明（依法不需要缴纳社会保障资金的投标人应提供相关证明）；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管理、控股关系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供应商应提交的相关资格证明材料.docx 残疾人福利性单位声明函 服务方案 业绩证明材料.docx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只能有一个有效报价，不得提交选择性报价，且报价不超过采购预算金额及最高限价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应满足磋商响应文件中要求的服务期</w:t>
            </w:r>
          </w:p>
        </w:tc>
        <w:tc>
          <w:tcPr>
            <w:tcW w:type="dxa" w:w="1661"/>
          </w:tcPr>
          <w:p>
            <w:pPr>
              <w:pStyle w:val="null3"/>
            </w:pPr>
            <w:r>
              <w:rPr>
                <w:rFonts w:ascii="仿宋_GB2312" w:hAnsi="仿宋_GB2312" w:cs="仿宋_GB2312" w:eastAsia="仿宋_GB2312"/>
              </w:rPr>
              <w:t>商务应答表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1、根据供应商针对本项目的服务方案进行综合评审。包括以下内容：①培训服务总体规划；②培训内容设计；③培训方式规划；④培训管理制度；⑤培训效果评估与考核；⑥后续服务方案。 2、评审标准：方案内容完整且无缺陷的得24分；方案中每有一项内容缺失扣4分，方案内容要素中每存在一处缺陷扣0.5分，该分项分值扣完为止。 备注：本文所称 “缺陷” 是指下列任意一种情形：内容缺项、内容不完整或缺少关键要点；方案未针对本残疾人职业技能和实用技术培训、套用其他项目模板不适配本项目，同一内容前后表述相互矛盾；存在逻辑漏洞、常识或专业常识错误；方案内容不利于残疾人职业技能和实用技术培训目标落地、现有场地与服务条件下无法实施。</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1、提供工作部署及进度安排包括①工作进度计划安排；②工作进度计划保障措施；③进度与服务质量同步管控措施。 2、评审标准：方案内容完整且无缺陷的得6分；方案中每有一项内容缺失扣2分，方案内容要素中每存在一处缺陷扣0.2分，该分项分值扣完为止。 备注：本文所称 “缺陷” 是指下列任意一种情形：内容缺项、内容不完整或缺少关键要点；方案未针对本职业技能和实用技术培训、套用其他项目模板不适配本项目，同一内容前后表述相互矛盾；存在逻辑漏洞、照护常识或专业常识错误；方案内容不利于残疾人职业技能和实用技术培训项目目标落地、现有场地与服务条件下无法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1、提供突发应急预案包括：①所培训残疾人突发疾病的应急预案；②培训过程中突发特殊情况处理的应急预案。2、评审标准：方案内容完整且无缺陷的得4分；方案中每有一项内容缺失扣2分，方案内容要素中每存在一处缺陷扣0.2分，该分项分值扣完为止。 备注：本文所称 “缺陷” 是指下列任意一种情形：内容缺项、内容不完整或缺少关键要点；方案未针对本职业技能和实用技术培训、套用其他项目模板不适配本项目，同一内容前后表述相互矛盾；存在逻辑漏洞、照护常识或专业常识错误；方案内容不利于残疾人职业技能和实用技术培训项目目标落地、现有场地与服务条件下无法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实施与保障方案</w:t>
            </w:r>
          </w:p>
        </w:tc>
        <w:tc>
          <w:tcPr>
            <w:tcW w:type="dxa" w:w="2492"/>
          </w:tcPr>
          <w:p>
            <w:pPr>
              <w:pStyle w:val="null3"/>
            </w:pPr>
            <w:r>
              <w:rPr>
                <w:rFonts w:ascii="仿宋_GB2312" w:hAnsi="仿宋_GB2312" w:cs="仿宋_GB2312" w:eastAsia="仿宋_GB2312"/>
              </w:rPr>
              <w:t>1、供应商针对项目特点结合采购人需求制定项目实施与保障方案，包括：①有切实可行的培训质量保证措施；②具备固定的培训场所并能满足培训需求；③未达到服务要求时的补救措施。 2、评审标准：方案内容完整且无缺陷的得6分，每有一项缺项扣2分，每有一项内容中有缺陷，扣0.2分。该分项分值扣完为止。 备注：本文所称 “缺陷” 是指下列任意一种情形：内容缺项、内容不完整或缺少关键要点；方案未针对本职业技能和实用技术培训、套用其他项目模板不适配本项目，同一内容前后表述相互矛盾；存在逻辑漏洞、职业技能和实用技术培训常识或专业常识错误；方案内容不利于残疾人职业技能和实用技术培训项目目标落地、现有场地与服务条件下无法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1、实用技术培训专业授课师需提供具有:种植业、养殖业、加工业类等相关专业职业证书或有效的职业资格证书。 2、职业技能培训专业授课师需提供具有：中式烹调师、养老护理等、家政服务员、保健按摩师等相关专业的职业技能等级证书。 以上2项，每有一个证件得2分，本项最多得12分；（未提供不得分） 注：（1）以上为职称类证书的需提供职称证复印件，为执（职）业类资格的，需提供执（职）业技能证书复印件。（2）同一人具有多项资格证书，可同时得分。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培训设施硬件设备</w:t>
            </w:r>
          </w:p>
        </w:tc>
        <w:tc>
          <w:tcPr>
            <w:tcW w:type="dxa" w:w="2492"/>
          </w:tcPr>
          <w:p>
            <w:pPr>
              <w:pStyle w:val="null3"/>
            </w:pPr>
            <w:r>
              <w:rPr>
                <w:rFonts w:ascii="仿宋_GB2312" w:hAnsi="仿宋_GB2312" w:cs="仿宋_GB2312" w:eastAsia="仿宋_GB2312"/>
              </w:rPr>
              <w:t>配备完整的常态化培训教学硬件：①电脑、打印机、②高清投影仪、幕布等授课显示设备、③实操教具、④音响扩音设备、⑤空调等恒温设备、⑥消防灭火器等应急设备、配置齐全得6分。缺一项扣1分。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培训场所</w:t>
            </w:r>
          </w:p>
        </w:tc>
        <w:tc>
          <w:tcPr>
            <w:tcW w:type="dxa" w:w="2492"/>
          </w:tcPr>
          <w:p>
            <w:pPr>
              <w:pStyle w:val="null3"/>
            </w:pPr>
            <w:r>
              <w:rPr>
                <w:rFonts w:ascii="仿宋_GB2312" w:hAnsi="仿宋_GB2312" w:cs="仿宋_GB2312" w:eastAsia="仿宋_GB2312"/>
              </w:rPr>
              <w:t>确保培训场所符合无障碍要求，具有方便残疾人学习的无障碍设施设备，同时具备无障碍坡道及无障碍卫生间得2分，缺一项扣1分，扣完为止。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至今类似业绩，业绩以合同或其他相关证明材料为依据，每提供一个业绩计2分。满分10分。（类似业绩须附合同或相关证明复印件或扫描件，时间以合同签订时间或相关证明材料的落款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并满足相关条件的供应商按采购文件约定的扣除比例计算扣除后的价格，以其中最低扣除价格作为评标基准价，其价格分为满分。其他供应商的价格分统一按照下列公式计算：投标报价得分=（评标基准价/扣除后报价）×价格权值×100。（若不满足价格扣除条件的供应商扣除报价为其最后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