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7841B">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秦岭区域文化遗产保护规划编制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35"/>
        <w:gridCol w:w="1254"/>
        <w:gridCol w:w="6318"/>
      </w:tblGrid>
      <w:tr w14:paraId="29434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5" w:type="dxa"/>
          </w:tcPr>
          <w:p w14:paraId="659AB631">
            <w:pPr>
              <w:pStyle w:val="4"/>
            </w:pPr>
            <w:r>
              <w:rPr>
                <w:rFonts w:ascii="仿宋_GB2312" w:hAnsi="仿宋_GB2312" w:eastAsia="仿宋_GB2312" w:cs="仿宋_GB2312"/>
              </w:rPr>
              <w:t>序号</w:t>
            </w:r>
          </w:p>
        </w:tc>
        <w:tc>
          <w:tcPr>
            <w:tcW w:w="1254" w:type="dxa"/>
          </w:tcPr>
          <w:p w14:paraId="1C6140CB">
            <w:pPr>
              <w:pStyle w:val="4"/>
            </w:pPr>
            <w:r>
              <w:rPr>
                <w:rFonts w:ascii="仿宋_GB2312" w:hAnsi="仿宋_GB2312" w:eastAsia="仿宋_GB2312" w:cs="仿宋_GB2312"/>
              </w:rPr>
              <w:t>参数性质</w:t>
            </w:r>
          </w:p>
        </w:tc>
        <w:tc>
          <w:tcPr>
            <w:tcW w:w="6318" w:type="dxa"/>
          </w:tcPr>
          <w:p w14:paraId="608C4A89">
            <w:pPr>
              <w:pStyle w:val="4"/>
            </w:pPr>
            <w:r>
              <w:rPr>
                <w:rFonts w:ascii="仿宋_GB2312" w:hAnsi="仿宋_GB2312" w:eastAsia="仿宋_GB2312" w:cs="仿宋_GB2312"/>
              </w:rPr>
              <w:t xml:space="preserve"> 技术参数与性能指标</w:t>
            </w:r>
          </w:p>
        </w:tc>
      </w:tr>
      <w:tr w14:paraId="05EF3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5" w:type="dxa"/>
          </w:tcPr>
          <w:p w14:paraId="7F28FC84">
            <w:pPr>
              <w:pStyle w:val="4"/>
            </w:pPr>
            <w:r>
              <w:rPr>
                <w:rFonts w:ascii="仿宋_GB2312" w:hAnsi="仿宋_GB2312" w:eastAsia="仿宋_GB2312" w:cs="仿宋_GB2312"/>
              </w:rPr>
              <w:t>1</w:t>
            </w:r>
          </w:p>
        </w:tc>
        <w:tc>
          <w:tcPr>
            <w:tcW w:w="1254" w:type="dxa"/>
          </w:tcPr>
          <w:p w14:paraId="4197D276">
            <w:pPr>
              <w:rPr>
                <w:rFonts w:hint="eastAsia" w:ascii="仿宋_GB2312" w:hAnsi="仿宋_GB2312" w:eastAsia="仿宋_GB2312" w:cs="仿宋_GB2312"/>
                <w:kern w:val="0"/>
                <w:sz w:val="20"/>
                <w:szCs w:val="20"/>
                <w:lang w:val="en-US" w:eastAsia="zh-Hans"/>
              </w:rPr>
            </w:pPr>
          </w:p>
        </w:tc>
        <w:tc>
          <w:tcPr>
            <w:tcW w:w="6318" w:type="dxa"/>
          </w:tcPr>
          <w:p w14:paraId="35984AF1">
            <w:pPr>
              <w:pStyle w:val="4"/>
              <w:jc w:val="both"/>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一、项目概况</w:t>
            </w:r>
          </w:p>
          <w:p w14:paraId="14ADFC5B">
            <w:pPr>
              <w:pStyle w:val="4"/>
              <w:ind w:firstLine="400" w:firstLineChars="200"/>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为深入贯彻</w:t>
            </w:r>
            <w:r>
              <w:rPr>
                <w:rFonts w:hint="eastAsia" w:ascii="仿宋_GB2312" w:hAnsi="仿宋_GB2312" w:eastAsia="仿宋_GB2312" w:cs="仿宋_GB2312"/>
                <w:kern w:val="0"/>
                <w:sz w:val="20"/>
                <w:szCs w:val="20"/>
                <w:lang w:val="en-US" w:eastAsia="zh-CN"/>
              </w:rPr>
              <w:t>习主席</w:t>
            </w:r>
            <w:r>
              <w:rPr>
                <w:rFonts w:hint="eastAsia" w:ascii="仿宋_GB2312" w:hAnsi="仿宋_GB2312" w:eastAsia="仿宋_GB2312" w:cs="仿宋_GB2312"/>
                <w:kern w:val="0"/>
                <w:sz w:val="20"/>
                <w:szCs w:val="20"/>
                <w:lang w:val="en-US" w:eastAsia="zh-Hans"/>
              </w:rPr>
              <w:t>文化思想和</w:t>
            </w:r>
            <w:r>
              <w:rPr>
                <w:rFonts w:hint="eastAsia" w:ascii="仿宋_GB2312" w:hAnsi="仿宋_GB2312" w:eastAsia="仿宋_GB2312" w:cs="仿宋_GB2312"/>
                <w:kern w:val="0"/>
                <w:sz w:val="20"/>
                <w:szCs w:val="20"/>
                <w:lang w:val="en-US" w:eastAsia="zh-CN"/>
              </w:rPr>
              <w:t>习主席</w:t>
            </w:r>
            <w:r>
              <w:rPr>
                <w:rFonts w:hint="eastAsia" w:ascii="仿宋_GB2312" w:hAnsi="仿宋_GB2312" w:eastAsia="仿宋_GB2312" w:cs="仿宋_GB2312"/>
                <w:kern w:val="0"/>
                <w:sz w:val="20"/>
                <w:szCs w:val="20"/>
                <w:lang w:val="en-US" w:eastAsia="zh-Hans"/>
              </w:rPr>
              <w:t>关于秦岭生态环境保护和文物保护传承的重要论述精神，讲好秦岭故事，让崇山峻岭中的文物活起来，结合当下国家公园、国家文化公园、文化主题游径等国家重大文化战略实施，有效推动秦岭区域内优秀传统文化的创造性转化和创新性发展，现拟通过采购方式选取具有丰富文物保护规划编制经验、熟悉我省文物资源基本情况与秦岭生态环境保护衔接要求的专业机构，承担《秦岭区域文化遗产保护规划》（以下简称《规划》）编制工作。​</w:t>
            </w:r>
          </w:p>
          <w:p w14:paraId="578E641B">
            <w:pPr>
              <w:pStyle w:val="4"/>
              <w:ind w:firstLine="400" w:firstLineChars="200"/>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Hans"/>
              </w:rPr>
              <w:t>预期目标：全面摸清陕西秦岭生态环境保护范围内文化遗产数量、现状，创建秦岭文化遗产资源分类与评估体系并建库管理；全面建构以秦岭文化遗产为载体的秦岭价值体系和遗产价值阐释体系；秦岭代表性文化遗产现状得到全面改观，文化遗产保护管理水平全面提升；结合落实国家文化战略，全面加强秦岭文化遗产活化利用，凝炼秦岭文化主题，建设秦岭文化主题游径；通过协调合作机制，全面营造全社会认知秦岭文化遗产、保护秦岭文化遗产、宣传秦岭文化遗产的良好社会氛围，为全面彰显中华民族祖脉与中华文化象征，提供科学有效的制度保障。</w:t>
            </w:r>
          </w:p>
        </w:tc>
      </w:tr>
      <w:tr w14:paraId="0491DE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35" w:type="dxa"/>
          </w:tcPr>
          <w:p w14:paraId="09F882C1">
            <w:pPr>
              <w:pStyle w:val="4"/>
            </w:pPr>
            <w:r>
              <w:rPr>
                <w:rFonts w:ascii="仿宋_GB2312" w:hAnsi="仿宋_GB2312" w:eastAsia="仿宋_GB2312" w:cs="仿宋_GB2312"/>
              </w:rPr>
              <w:t>2</w:t>
            </w:r>
          </w:p>
        </w:tc>
        <w:tc>
          <w:tcPr>
            <w:tcW w:w="1254" w:type="dxa"/>
          </w:tcPr>
          <w:p w14:paraId="3FA350CC"/>
        </w:tc>
        <w:tc>
          <w:tcPr>
            <w:tcW w:w="6318" w:type="dxa"/>
          </w:tcPr>
          <w:p w14:paraId="19FB98FC">
            <w:pPr>
              <w:pStyle w:val="4"/>
              <w:ind w:firstLine="400" w:firstLineChars="200"/>
              <w:rPr>
                <w:rFonts w:hint="eastAsia" w:ascii="仿宋_GB2312" w:hAnsi="仿宋_GB2312" w:eastAsia="仿宋_GB2312" w:cs="仿宋_GB2312"/>
                <w:kern w:val="0"/>
                <w:sz w:val="20"/>
                <w:szCs w:val="20"/>
                <w:lang w:val="en-US" w:eastAsia="zh-Hans"/>
              </w:rPr>
            </w:pPr>
            <w:r>
              <w:rPr>
                <w:rFonts w:ascii="仿宋_GB2312" w:hAnsi="仿宋_GB2312" w:eastAsia="仿宋_GB2312" w:cs="仿宋_GB2312"/>
                <w:sz w:val="20"/>
              </w:rPr>
              <w:t>二、采购内</w:t>
            </w:r>
            <w:r>
              <w:rPr>
                <w:rFonts w:hint="eastAsia" w:ascii="仿宋_GB2312" w:hAnsi="仿宋_GB2312" w:eastAsia="仿宋_GB2312" w:cs="仿宋_GB2312"/>
                <w:kern w:val="0"/>
                <w:sz w:val="20"/>
                <w:szCs w:val="20"/>
                <w:lang w:val="en-US" w:eastAsia="zh-Hans"/>
              </w:rPr>
              <w:t>容及服务要求</w:t>
            </w:r>
          </w:p>
          <w:p w14:paraId="002A55D8">
            <w:pPr>
              <w:pStyle w:val="4"/>
              <w:ind w:firstLine="400" w:firstLineChars="200"/>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CN"/>
              </w:rPr>
              <w:t>1.</w:t>
            </w:r>
            <w:r>
              <w:rPr>
                <w:rFonts w:hint="eastAsia" w:ascii="仿宋_GB2312" w:hAnsi="仿宋_GB2312" w:eastAsia="仿宋_GB2312" w:cs="仿宋_GB2312"/>
                <w:kern w:val="0"/>
                <w:sz w:val="20"/>
                <w:szCs w:val="20"/>
                <w:lang w:val="en-US" w:eastAsia="zh-Hans"/>
              </w:rPr>
              <w:t>充分认识秦岭价值是秦岭区域文化遗产开展保护利用工作的基础，加大秦岭价值体系研究的广度与深度</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en-US" w:eastAsia="zh-Hans"/>
              </w:rPr>
              <w:t>构建秦岭区域文化遗产保护利用格局，以涉及秦岭各县域为单位，依托秦岭文化遗产资源</w:t>
            </w:r>
            <w:r>
              <w:rPr>
                <w:rFonts w:hint="eastAsia" w:ascii="仿宋_GB2312" w:hAnsi="仿宋_GB2312" w:eastAsia="仿宋_GB2312" w:cs="仿宋_GB2312"/>
                <w:kern w:val="0"/>
                <w:sz w:val="20"/>
                <w:szCs w:val="20"/>
                <w:lang w:val="en-US" w:eastAsia="zh-CN"/>
              </w:rPr>
              <w:t>谋划</w:t>
            </w:r>
            <w:r>
              <w:rPr>
                <w:rFonts w:hint="eastAsia" w:ascii="仿宋_GB2312" w:hAnsi="仿宋_GB2312" w:eastAsia="仿宋_GB2312" w:cs="仿宋_GB2312"/>
                <w:kern w:val="0"/>
                <w:sz w:val="20"/>
                <w:szCs w:val="20"/>
                <w:lang w:val="en-US" w:eastAsia="zh-Hans"/>
              </w:rPr>
              <w:t>重大</w:t>
            </w:r>
            <w:r>
              <w:rPr>
                <w:rFonts w:hint="eastAsia" w:ascii="仿宋_GB2312" w:hAnsi="仿宋_GB2312" w:eastAsia="仿宋_GB2312" w:cs="仿宋_GB2312"/>
                <w:kern w:val="0"/>
                <w:sz w:val="20"/>
                <w:szCs w:val="20"/>
                <w:lang w:val="en-US" w:eastAsia="zh-CN"/>
              </w:rPr>
              <w:t>任务工程，</w:t>
            </w:r>
            <w:r>
              <w:rPr>
                <w:rFonts w:hint="eastAsia" w:ascii="仿宋_GB2312" w:hAnsi="仿宋_GB2312" w:eastAsia="仿宋_GB2312" w:cs="仿宋_GB2312"/>
                <w:kern w:val="0"/>
                <w:sz w:val="20"/>
                <w:szCs w:val="20"/>
                <w:lang w:val="en-US" w:eastAsia="zh-Hans"/>
              </w:rPr>
              <w:t>通过项目实施切实将秦岭区域文化遗产保护利用举措落到实处</w:t>
            </w:r>
            <w:r>
              <w:rPr>
                <w:rFonts w:hint="eastAsia" w:ascii="仿宋_GB2312" w:hAnsi="仿宋_GB2312" w:eastAsia="仿宋_GB2312" w:cs="仿宋_GB2312"/>
                <w:kern w:val="0"/>
                <w:sz w:val="20"/>
                <w:szCs w:val="20"/>
                <w:lang w:val="en-US" w:eastAsia="zh-CN"/>
              </w:rPr>
              <w:t>，</w:t>
            </w:r>
            <w:r>
              <w:rPr>
                <w:rFonts w:hint="eastAsia" w:ascii="仿宋_GB2312" w:hAnsi="仿宋_GB2312" w:eastAsia="仿宋_GB2312" w:cs="仿宋_GB2312"/>
                <w:kern w:val="0"/>
                <w:sz w:val="20"/>
                <w:szCs w:val="20"/>
                <w:lang w:val="en-US" w:eastAsia="zh-Hans"/>
              </w:rPr>
              <w:t>助力实现秦岭高质量发展。</w:t>
            </w:r>
          </w:p>
          <w:p w14:paraId="67CDED1B">
            <w:pPr>
              <w:pStyle w:val="4"/>
              <w:ind w:firstLine="400" w:firstLineChars="200"/>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CN"/>
              </w:rPr>
              <w:t>2</w:t>
            </w:r>
            <w:r>
              <w:rPr>
                <w:rFonts w:hint="eastAsia" w:ascii="仿宋_GB2312" w:hAnsi="仿宋_GB2312" w:eastAsia="仿宋_GB2312" w:cs="仿宋_GB2312"/>
                <w:kern w:val="0"/>
                <w:sz w:val="20"/>
                <w:szCs w:val="20"/>
                <w:lang w:val="en-US" w:eastAsia="zh-Hans"/>
              </w:rPr>
              <w:t>.规划成果与规范要求：编制完整的规划成果体系，包括规划文本、图纸、附件。规划文本需明确规划期限、规划目标、价值体系、现状评估、保护利用措施、重点项目、实施保障等核心内容；附图需包含秦岭区域文化遗产分布图、保护利用格局图、重点项目布局图等；附件补充相关资源情况、价值研究、现状评估等需要进一步解释说明的事项。成果需符合国家相关规划编制技术标准，文本规范、逻辑清晰，图纸比例尺、图例等符合要求。​</w:t>
            </w:r>
          </w:p>
          <w:p w14:paraId="0D37D77C">
            <w:pPr>
              <w:pStyle w:val="4"/>
              <w:ind w:firstLine="400" w:firstLineChars="200"/>
              <w:rPr>
                <w:rFonts w:hint="eastAsia" w:ascii="仿宋_GB2312" w:hAnsi="仿宋_GB2312" w:eastAsia="仿宋_GB2312" w:cs="仿宋_GB2312"/>
                <w:kern w:val="0"/>
                <w:sz w:val="20"/>
                <w:szCs w:val="20"/>
                <w:lang w:val="en-US" w:eastAsia="zh-Hans"/>
              </w:rPr>
            </w:pPr>
            <w:r>
              <w:rPr>
                <w:rFonts w:hint="eastAsia" w:ascii="仿宋_GB2312" w:hAnsi="仿宋_GB2312" w:eastAsia="仿宋_GB2312" w:cs="仿宋_GB2312"/>
                <w:kern w:val="0"/>
                <w:sz w:val="20"/>
                <w:szCs w:val="20"/>
                <w:lang w:val="en-US" w:eastAsia="zh-CN"/>
              </w:rPr>
              <w:t>3</w:t>
            </w:r>
            <w:r>
              <w:rPr>
                <w:rFonts w:hint="eastAsia" w:ascii="仿宋_GB2312" w:hAnsi="仿宋_GB2312" w:eastAsia="仿宋_GB2312" w:cs="仿宋_GB2312"/>
                <w:kern w:val="0"/>
                <w:sz w:val="20"/>
                <w:szCs w:val="20"/>
                <w:lang w:val="en-US" w:eastAsia="zh-Hans"/>
              </w:rPr>
              <w:t>.规划报批与技术支撑：协助采购人完成规划成果评审、公示、报批等全流程工作；规划获批后，协助解读规划内容、指导市县落实规划要求、解答实施过程中技术问题；同步提交规划成果电子版（含可编辑文本与附件、高清图纸）。</w:t>
            </w:r>
          </w:p>
          <w:p w14:paraId="031A5FCE">
            <w:pPr>
              <w:pStyle w:val="4"/>
              <w:ind w:firstLine="400" w:firstLineChars="200"/>
            </w:pPr>
            <w:r>
              <w:rPr>
                <w:rFonts w:hint="eastAsia" w:ascii="仿宋_GB2312" w:hAnsi="仿宋_GB2312" w:eastAsia="仿宋_GB2312" w:cs="仿宋_GB2312"/>
                <w:kern w:val="0"/>
                <w:sz w:val="20"/>
                <w:szCs w:val="20"/>
                <w:lang w:val="en-US" w:eastAsia="zh-CN"/>
              </w:rPr>
              <w:t>4</w:t>
            </w:r>
            <w:r>
              <w:rPr>
                <w:rFonts w:hint="eastAsia" w:ascii="仿宋_GB2312" w:hAnsi="仿宋_GB2312" w:eastAsia="仿宋_GB2312" w:cs="仿宋_GB2312"/>
                <w:kern w:val="0"/>
                <w:sz w:val="20"/>
                <w:szCs w:val="20"/>
                <w:lang w:val="en-US" w:eastAsia="zh-Hans"/>
              </w:rPr>
              <w:t>.项目进度与质量管控：规划编制周期不超过12个月，分阶段提交成果：合同签订后3个月内提交规划大纲；6个月内提交规划初稿；9个月内完成专家论证并提交修改稿；12个月内提交最终成果。</w:t>
            </w:r>
          </w:p>
        </w:tc>
      </w:tr>
    </w:tbl>
    <w:p w14:paraId="77FBDC5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F95199"/>
    <w:rsid w:val="4DF951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2026-10-16T09:04:00Z</dcterms:created>
  <dc:creator>833</dc:creator>
  <cp:lastModifiedBy>833</cp:lastModifiedBy>
  <dcterms:modified xsi:type="dcterms:W3CDTF">2026-10-16T09:04:37Z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E5381451FB774458983C7EA7F18A6DCB_11</vt:lpwstr>
  </property>
  <property fmtid="{D5CDD505-2E9C-101B-9397-08002B2CF9AE}" pid="4" name="KSOTemplateDocerSaveRecord">
    <vt:lpwstr>eyJoZGlkIjoiNTI1OGU5NzEwNjlmOTA0NzYwMTIyZGJlNThjMzMxOGYiLCJ1c2VySWQiOiI0NTE5NDQwNTQifQ==</vt:lpwstr>
  </property>
</Properties>
</file>