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版本号：SXWZ2026ZB-SJZX-12520260625001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2026年西安市政务数据中心（凤八节点）改造升级设计项目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SXWZ2026ZB-SJZX-125</w:t>
      </w:r>
      <w:r>
        <w:br/>
      </w:r>
      <w:r>
        <w:br/>
      </w:r>
      <w:r>
        <w:br/>
      </w:r>
    </w:p>
    <w:p>
      <w:pPr>
        <w:pStyle w:val="null3"/>
        <w:jc w:val="center"/>
        <w:outlineLvl w:val="2"/>
      </w:pPr>
      <w:r>
        <w:rPr>
          <w:rFonts w:ascii="仿宋_GB2312" w:hAnsi="仿宋_GB2312" w:cs="仿宋_GB2312" w:eastAsia="仿宋_GB2312"/>
          <w:sz w:val="28"/>
          <w:b/>
        </w:rPr>
        <w:t>西安市数据服务中心</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西安市数据服务中心</w:t>
      </w:r>
      <w:r>
        <w:rPr>
          <w:rFonts w:ascii="仿宋_GB2312" w:hAnsi="仿宋_GB2312" w:cs="仿宋_GB2312" w:eastAsia="仿宋_GB2312"/>
        </w:rPr>
        <w:t>委托，拟对</w:t>
      </w:r>
      <w:r>
        <w:rPr>
          <w:rFonts w:ascii="仿宋_GB2312" w:hAnsi="仿宋_GB2312" w:cs="仿宋_GB2312" w:eastAsia="仿宋_GB2312"/>
        </w:rPr>
        <w:t>2026年西安市政务数据中心（凤八节点）改造升级设计项目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SXWZ2026ZB-SJZX-125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2026年西安市政务数据中心（凤八节点）改造升级设计项目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2026年西安市政务数据中心（凤八节点）改造升级设计项目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供应商须提供2025年6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3、税收缴纳证明：供应商须提供2025年6月至今已缴纳的至少一个月纳税证明或完税证明，依法免税的单位应提供相关证明材料；（以税款所属期限为准）</w:t>
      </w:r>
    </w:p>
    <w:p>
      <w:pPr>
        <w:pStyle w:val="null3"/>
      </w:pPr>
      <w:r>
        <w:rPr>
          <w:rFonts w:ascii="仿宋_GB2312" w:hAnsi="仿宋_GB2312" w:cs="仿宋_GB2312" w:eastAsia="仿宋_GB2312"/>
        </w:rPr>
        <w:t>4、财务状况证明：提供经会计师事务所审计的2025年度财务审计报告，或在开标日期前六个月内其基本开户银行出具的资信证明</w:t>
      </w:r>
    </w:p>
    <w:p>
      <w:pPr>
        <w:pStyle w:val="null3"/>
      </w:pPr>
      <w:r>
        <w:rPr>
          <w:rFonts w:ascii="仿宋_GB2312" w:hAnsi="仿宋_GB2312" w:cs="仿宋_GB2312" w:eastAsia="仿宋_GB2312"/>
        </w:rPr>
        <w:t>5、书面声明：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p>
      <w:pPr>
        <w:pStyle w:val="null3"/>
      </w:pPr>
      <w:r>
        <w:rPr>
          <w:rFonts w:ascii="仿宋_GB2312" w:hAnsi="仿宋_GB2312" w:cs="仿宋_GB2312" w:eastAsia="仿宋_GB2312"/>
        </w:rPr>
        <w:t>6、法定代表人或授权代表：非法定代表人参加投标，须提供法定代表人授权委托书及被授权人身份证原件；法定代表人参加投标时,只须提供法定代表人身份证原件</w:t>
      </w:r>
    </w:p>
    <w:p>
      <w:pPr>
        <w:pStyle w:val="null3"/>
      </w:pPr>
      <w:r>
        <w:rPr>
          <w:rFonts w:ascii="仿宋_GB2312" w:hAnsi="仿宋_GB2312" w:cs="仿宋_GB2312" w:eastAsia="仿宋_GB2312"/>
        </w:rPr>
        <w:t>7、特殊资质要求：供应商须具有国家住房和城乡建设部颁发的工程设计综合甲级或电子通信广电行业（电子系统工程）专业设计甲级资质</w:t>
      </w:r>
    </w:p>
    <w:p>
      <w:pPr>
        <w:pStyle w:val="null3"/>
      </w:pPr>
      <w:r>
        <w:rPr>
          <w:rFonts w:ascii="仿宋_GB2312" w:hAnsi="仿宋_GB2312" w:cs="仿宋_GB2312" w:eastAsia="仿宋_GB2312"/>
        </w:rPr>
        <w:t>8、是否允许联合体磋商：本项目不接受联合体参与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西安市数据服务中心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029-86783087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西安市高新区唐延路旺座现代城C座25楼2502室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崔方明 许芳芳 陈晓航 宋正昊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采购包1：467,500.00元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代理服务费收费标准：本项目代理服务费定额收取5000.00元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踏勘时间：2026-07-03 09:30:00</w:t>
            </w:r>
          </w:p>
          <w:p>
            <w:pPr>
              <w:pStyle w:val="null3"/>
              <w:ind w:firstLine="975"/>
            </w:pPr>
            <w:r>
              <w:rPr>
                <w:rFonts w:ascii="仿宋_GB2312" w:hAnsi="仿宋_GB2312" w:cs="仿宋_GB2312" w:eastAsia="仿宋_GB2312"/>
              </w:rPr>
              <w:t>踏勘地点：西安市未央区凤城八路101号西安应急指挥中心东门</w:t>
            </w:r>
          </w:p>
          <w:p>
            <w:pPr>
              <w:pStyle w:val="null3"/>
              <w:ind w:firstLine="975"/>
            </w:pPr>
            <w:r>
              <w:rPr>
                <w:rFonts w:ascii="仿宋_GB2312" w:hAnsi="仿宋_GB2312" w:cs="仿宋_GB2312" w:eastAsia="仿宋_GB2312"/>
              </w:rPr>
              <w:t>联系人：陈晓航</w:t>
            </w:r>
          </w:p>
          <w:p>
            <w:pPr>
              <w:pStyle w:val="null3"/>
              <w:ind w:firstLine="975"/>
            </w:pPr>
            <w:r>
              <w:rPr>
                <w:rFonts w:ascii="仿宋_GB2312" w:hAnsi="仿宋_GB2312" w:cs="仿宋_GB2312" w:eastAsia="仿宋_GB2312"/>
              </w:rPr>
              <w:t>联系电话号码：029-88319689-8004</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西安市数据服务中心</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西安市数据服务中心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西安市数据服务中心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本项目开发完成的所有成果等知识产权归采购方所有，供应商不得擅自使用、转让或泄露给第三方。</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磋商文件、响应文件、合同约定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联系人：陕西万泽招标有限公司</w:t>
      </w:r>
    </w:p>
    <w:p>
      <w:pPr>
        <w:pStyle w:val="null3"/>
      </w:pPr>
      <w:r>
        <w:rPr>
          <w:rFonts w:ascii="仿宋_GB2312" w:hAnsi="仿宋_GB2312" w:cs="仿宋_GB2312" w:eastAsia="仿宋_GB2312"/>
        </w:rPr>
        <w:t>联系电话：029-88319689-8004</w:t>
      </w:r>
    </w:p>
    <w:p>
      <w:pPr>
        <w:pStyle w:val="null3"/>
      </w:pPr>
      <w:r>
        <w:rPr>
          <w:rFonts w:ascii="仿宋_GB2312" w:hAnsi="仿宋_GB2312" w:cs="仿宋_GB2312" w:eastAsia="仿宋_GB2312"/>
        </w:rPr>
        <w:t>地址：西安市高新区唐延路旺座现代城C座25楼2502室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2026年西安市政务数据中心（凤八节点）改造升级设计项目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467,500.00</w:t>
      </w:r>
    </w:p>
    <w:p>
      <w:pPr>
        <w:pStyle w:val="null3"/>
      </w:pPr>
      <w:r>
        <w:rPr>
          <w:rFonts w:ascii="仿宋_GB2312" w:hAnsi="仿宋_GB2312" w:cs="仿宋_GB2312" w:eastAsia="仿宋_GB2312"/>
        </w:rPr>
        <w:t>采购包最高限价（元）: 467,500.00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2026年西安市政务数据中心（凤八节点） 改造升级设计项目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467,500.00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标的名称：2026年西安市政务数据中心（凤八节点） 改造升级设计项目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pPr>
            <w:r>
              <w:rPr>
                <w:rFonts w:ascii="仿宋_GB2312" w:hAnsi="仿宋_GB2312" w:cs="仿宋_GB2312" w:eastAsia="仿宋_GB2312"/>
                <w:sz w:val="21"/>
              </w:rPr>
              <w:t>本项目聚焦于西安市政务数据中心（凤八节点）关键基础设施的现代化改造升级，旨在通过系统化、专业化的顶层规划设计服务，从根本上解决当前基础设施存在的结构性短板与能力瓶颈。</w:t>
            </w:r>
          </w:p>
          <w:p>
            <w:pPr>
              <w:pStyle w:val="null3"/>
            </w:pPr>
            <w:r>
              <w:rPr>
                <w:rFonts w:ascii="仿宋_GB2312" w:hAnsi="仿宋_GB2312" w:cs="仿宋_GB2312" w:eastAsia="仿宋_GB2312"/>
                <w:sz w:val="21"/>
              </w:rPr>
              <w:t>当前凤八节点现状问题突出：在物理空间层面，原培训教室和东灾备机房约</w:t>
            </w:r>
            <w:r>
              <w:rPr>
                <w:rFonts w:ascii="仿宋_GB2312" w:hAnsi="仿宋_GB2312" w:cs="仿宋_GB2312" w:eastAsia="仿宋_GB2312"/>
                <w:sz w:val="21"/>
              </w:rPr>
              <w:t>316.48平方米区域布局零散，承重结构、层高条件、消防分区等均不符合现代化数据中心模块化、高密度部署的标准化要求；在供配电系统层面，虽然现有UPS总容量具备基础条件，但系统架构陈旧，部分核心设备已超期服役，且配电回路配置冗余度不足，无法支撑从近期240KW至远期400KW IT负载的平滑演进与安全扩展；在制冷环境层面，传统分散式空调方案制冷效率低下，气流组织混乱，存在明显的局部热点风险，难以匹配高密度服务器机柜的散热需求；在运维管理层面，动环监控、视频安防、门禁控制、消防报警等子系统相互独立，信息孤岛现象严重，缺乏统一的智能监控平台，运维工作高度依赖人工经验与定期巡检，故障预警能力弱，响应处置效率低；在安全保障层面，物理安防措施薄弱，消防系统未能实现与基础设施的智能联动，整体防护体系尚未达到等保三级对物理环境安全的严格要求。</w:t>
            </w:r>
          </w:p>
          <w:p>
            <w:pPr>
              <w:pStyle w:val="null3"/>
            </w:pPr>
            <w:r>
              <w:rPr>
                <w:rFonts w:ascii="仿宋_GB2312" w:hAnsi="仿宋_GB2312" w:cs="仿宋_GB2312" w:eastAsia="仿宋_GB2312"/>
                <w:sz w:val="21"/>
                <w:b/>
              </w:rPr>
              <w:t>二、服务目标</w:t>
            </w:r>
          </w:p>
          <w:p>
            <w:pPr>
              <w:pStyle w:val="null3"/>
            </w:pPr>
            <w:r>
              <w:rPr>
                <w:rFonts w:ascii="仿宋_GB2312" w:hAnsi="仿宋_GB2312" w:cs="仿宋_GB2312" w:eastAsia="仿宋_GB2312"/>
                <w:sz w:val="21"/>
              </w:rPr>
              <w:t>为西安市政务数据中心（凤八节点）培训教室和东灾备机房约</w:t>
            </w:r>
            <w:r>
              <w:rPr>
                <w:rFonts w:ascii="仿宋_GB2312" w:hAnsi="仿宋_GB2312" w:cs="仿宋_GB2312" w:eastAsia="仿宋_GB2312"/>
                <w:sz w:val="21"/>
              </w:rPr>
              <w:t>316.48平方米改造区域，提供覆盖全生命周期、全专业集成的详细规划与施工图设计服务。具体包括：完成深入的现状踏勘与诊断分析，识别所有约束条件与风险点；开展全面的业务需求与技术需求调研，形成量化的设计输入条件；进行总体方案设计，确定微模块化布局、冷热通道封闭策略、各功能区划分及设备布置总图；完成供配电系统详细设计，涵盖2N冗余UPS整合改造方案、高低压配电柜配置、列头柜改造、末端双路PDU部署、电缆桥架路由、防雷接地系统等；完成精密空调系统详细设计，包括N+1冗余列间空调选型与布置、室外机平台规划、冷媒管路设计、智能群控方案及CFD气流组织模拟验证；完成综合布线系统详细设计，规划OM4多模万兆光纤主干与Cat6A铜缆水平布线系统，明确配线架配置、机柜信息点分布、线缆标识管理及通道设计；完成安防系统详细设计，包括高清网络视频监控点位布置、存储计算方案、联网型门禁系统点位与权限规划；完成消防系统详细设计，涵盖七氟丙烷无管网气体灭火系统设计、火灾自动报警探测器三层布置、联动控制逻辑及与大楼消防中心接口方案；完成动环集中DCIM详细设计，明确监控对象清单、数据采集方式、平台软硬件架构、可视化界面、智能告警规则及与上级云管平台数据接口；完成新风与事故排烟系统详细设计；编制完整的设计说明、设备材料技术规格书、施工图纸（含平面、系统、原理、大样图）以及详细的工程量清单与分项投资估算。</w:t>
            </w:r>
          </w:p>
          <w:p>
            <w:pPr>
              <w:pStyle w:val="null3"/>
            </w:pPr>
            <w:r>
              <w:rPr>
                <w:rFonts w:ascii="仿宋_GB2312" w:hAnsi="仿宋_GB2312" w:cs="仿宋_GB2312" w:eastAsia="仿宋_GB2312"/>
                <w:sz w:val="21"/>
                <w:b/>
              </w:rPr>
              <w:t>三、服务内容</w:t>
            </w:r>
          </w:p>
          <w:p>
            <w:pPr>
              <w:pStyle w:val="null3"/>
            </w:pPr>
            <w:r>
              <w:rPr>
                <w:rFonts w:ascii="仿宋_GB2312" w:hAnsi="仿宋_GB2312" w:cs="仿宋_GB2312" w:eastAsia="仿宋_GB2312"/>
                <w:sz w:val="21"/>
              </w:rPr>
              <w:t>为西安市政务数据中心（凤八节点）培训教室和东灾备机房约</w:t>
            </w:r>
            <w:r>
              <w:rPr>
                <w:rFonts w:ascii="仿宋_GB2312" w:hAnsi="仿宋_GB2312" w:cs="仿宋_GB2312" w:eastAsia="仿宋_GB2312"/>
                <w:sz w:val="21"/>
              </w:rPr>
              <w:t>316.48平方米改造区域，提供覆盖全生命周期、全专业集成的详细规划与施工图设计服务。具体包括：完成深入的现状踏勘与诊断分析，识别所有约束条件与风险点；开展全面的业务需求与技术需求调研，形成量化的设计输入条件；进行总体方案设计，确定微模块化布局、冷热通道封闭策略、各功能区划分及设备布置总图；完成供配电系统详细设计，涵盖2N冗余UPS整合改造方案、高低压配电柜配置、列头柜改造、末端双路PDU部署、电缆桥架路由、防雷接地系统等；完成精密空调系统详细设计，包括N+1冗余列间空调选型与布置、室外机平台规划、冷媒管路设计、智能群控方案及CFD气流组织模拟验证；完成综合布线系统详细设计，规划OM4多模万兆光纤主干与Cat6A铜缆水平布线系统，明确配线架配置、机柜信息点分布、线缆标识管理及通道设计；完成安防系统详细设计，包括高清网络视频监控点位布置、存储计算方案、联网型门禁系统点位与权限规划；完成消防系统详细设计，涵盖七氟丙烷无管网气体灭火系统设计、火灾自动报警探测器三层布置、联动控制逻辑及与大楼消防中心接口方案；完成动环集中DCIM详细设计，明确监控对象清单、数据采集方式、平台软硬件架构、可视化界面、智能告警规则及与上级云管平台数据接口；完成新风与事故排烟系统详细设计；编制完整的设计说明、设备材料技术规格书、施工图纸（含平面、系统、原理、大样图）以及详细的工程量清单与分项投资估算。。</w:t>
            </w:r>
          </w:p>
          <w:p>
            <w:pPr>
              <w:pStyle w:val="null3"/>
            </w:pPr>
            <w:r>
              <w:rPr>
                <w:rFonts w:ascii="仿宋_GB2312" w:hAnsi="仿宋_GB2312" w:cs="仿宋_GB2312" w:eastAsia="仿宋_GB2312"/>
                <w:sz w:val="21"/>
                <w:b/>
              </w:rPr>
              <w:t>四、服务要求</w:t>
            </w:r>
          </w:p>
          <w:p>
            <w:pPr>
              <w:pStyle w:val="null3"/>
            </w:pPr>
            <w:r>
              <w:rPr>
                <w:rFonts w:ascii="仿宋_GB2312" w:hAnsi="仿宋_GB2312" w:cs="仿宋_GB2312" w:eastAsia="仿宋_GB2312"/>
                <w:sz w:val="21"/>
              </w:rPr>
              <w:t>交付一套技术先进、经济合理、安全可靠、绿色智能、完全符合国家</w:t>
            </w:r>
            <w:r>
              <w:rPr>
                <w:rFonts w:ascii="仿宋_GB2312" w:hAnsi="仿宋_GB2312" w:cs="仿宋_GB2312" w:eastAsia="仿宋_GB2312"/>
                <w:sz w:val="21"/>
              </w:rPr>
              <w:t>B级数据中心标准、深度满足项目建议书技术要求、可直接用于施工招标和工程实施的完整设计成果。确保设计成果能够指导建设一个具备40个标准机柜部署能力、支持IT负载从240KW平滑扩展至400KW、基础设施可用性≥99.99%、设计PUE值≤1.5、实现智能化统一监控、与大楼既有系统无缝集成、并为未来技术演进预留充分弹性的现代化政务数据中心模块。</w:t>
            </w:r>
          </w:p>
          <w:p>
            <w:pPr>
              <w:pStyle w:val="null3"/>
            </w:pPr>
            <w:r>
              <w:rPr>
                <w:rFonts w:ascii="仿宋_GB2312" w:hAnsi="仿宋_GB2312" w:cs="仿宋_GB2312" w:eastAsia="仿宋_GB2312"/>
                <w:sz w:val="21"/>
                <w:b/>
              </w:rPr>
              <w:t>五、</w:t>
            </w:r>
            <w:r>
              <w:rPr>
                <w:rFonts w:ascii="仿宋_GB2312" w:hAnsi="仿宋_GB2312" w:cs="仿宋_GB2312" w:eastAsia="仿宋_GB2312"/>
                <w:sz w:val="21"/>
                <w:b/>
              </w:rPr>
              <w:t>编</w:t>
            </w:r>
            <w:r>
              <w:rPr>
                <w:rFonts w:ascii="仿宋_GB2312" w:hAnsi="仿宋_GB2312" w:cs="仿宋_GB2312" w:eastAsia="仿宋_GB2312"/>
                <w:sz w:val="21"/>
                <w:b/>
              </w:rPr>
              <w:t>制依据</w:t>
            </w:r>
          </w:p>
          <w:p>
            <w:pPr>
              <w:pStyle w:val="null3"/>
            </w:pPr>
            <w:r>
              <w:rPr>
                <w:rFonts w:ascii="仿宋_GB2312" w:hAnsi="仿宋_GB2312" w:cs="仿宋_GB2312" w:eastAsia="仿宋_GB2312"/>
                <w:sz w:val="21"/>
              </w:rPr>
              <w:t>所有设计方案必须严格遵循国家及地方现行的强制性规范与推荐性标准。设计依据的核心标准包括但不限于《数据中心设计规范》（</w:t>
            </w:r>
            <w:r>
              <w:rPr>
                <w:rFonts w:ascii="仿宋_GB2312" w:hAnsi="仿宋_GB2312" w:cs="仿宋_GB2312" w:eastAsia="仿宋_GB2312"/>
                <w:sz w:val="21"/>
              </w:rPr>
              <w:t>GB50174-2017）、《数据中心基础设施施工及验收规范》（GB50462-2024）、《建筑设计防火规范》（GB50016）、网络安全等级保护2.0系列标准（GB/T 22239-2019）等。设计方案需在说明文件中逐条对照标准要求，确保从选址布局、系统配置到安全措施全面合规，为项目顺利通过各项审批与验收奠定基础。</w:t>
            </w:r>
          </w:p>
          <w:p>
            <w:pPr>
              <w:pStyle w:val="null3"/>
            </w:pPr>
            <w:r>
              <w:rPr>
                <w:rFonts w:ascii="仿宋_GB2312" w:hAnsi="仿宋_GB2312" w:cs="仿宋_GB2312" w:eastAsia="仿宋_GB2312"/>
                <w:sz w:val="21"/>
                <w:b/>
              </w:rPr>
              <w:t>六、</w:t>
            </w:r>
            <w:r>
              <w:rPr>
                <w:rFonts w:ascii="仿宋_GB2312" w:hAnsi="仿宋_GB2312" w:cs="仿宋_GB2312" w:eastAsia="仿宋_GB2312"/>
                <w:sz w:val="21"/>
                <w:b/>
              </w:rPr>
              <w:t>其</w:t>
            </w:r>
            <w:r>
              <w:rPr>
                <w:rFonts w:ascii="仿宋_GB2312" w:hAnsi="仿宋_GB2312" w:cs="仿宋_GB2312" w:eastAsia="仿宋_GB2312"/>
                <w:sz w:val="21"/>
                <w:b/>
              </w:rPr>
              <w:t>他要求</w:t>
            </w:r>
          </w:p>
          <w:p>
            <w:pPr>
              <w:pStyle w:val="null3"/>
            </w:pPr>
            <w:r>
              <w:rPr>
                <w:rFonts w:ascii="仿宋_GB2312" w:hAnsi="仿宋_GB2312" w:cs="仿宋_GB2312" w:eastAsia="仿宋_GB2312"/>
                <w:sz w:val="21"/>
              </w:rPr>
              <w:t>（</w:t>
            </w:r>
            <w:r>
              <w:rPr>
                <w:rFonts w:ascii="仿宋_GB2312" w:hAnsi="仿宋_GB2312" w:cs="仿宋_GB2312" w:eastAsia="仿宋_GB2312"/>
                <w:sz w:val="21"/>
              </w:rPr>
              <w:t>1）因不可抗力导致的方案变化，乙方应无条件配合调整。</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2）优先考虑国内自主研发技术在本项目中应用。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需提供项目组成员姓名、学历、相关资质、近三个月社保证明、在本项目中的职责等</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磋商文件、响应文件、合同约定</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设计服务期限：合同签订后90天内提交全套初步设计文件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西安市数据服务中心指定地点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磋商文件、响应文件、合同约定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进度款，合同生效后，达到付款条件起30个工作日内，支付合同总金额的30.0%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进度款，全部详细设计成果（包括全套图纸和技术规格书）提交并经甲方确认后，达到付款条件起30个工作日内，支付合同总金额的40.0%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进度款，全部最终成果通过专家评审验收后，达到付款条件起30个工作日内，支付合同总金额的30.0%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磋商文件、响应文件、合同约定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1、知识产权：本项目开发完成的所有成果等知识产权归采购方所有，供应商不得擅自使用、转让或泄露给第三方。 2、要求：供应商需对项目涉及的项目数据、业务信息、采购方内部资料等严格保密，项目结束后需交还全部资料并删除备份。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供应商资质证明资料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2025年6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供应商资质证明资料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供应商须提供2025年6月至今已缴纳的至少一个月纳税证明或完税证明，依法免税的单位应提供相关证明材料；（以税款所属期限为准）</w:t>
            </w:r>
          </w:p>
        </w:tc>
        <w:tc>
          <w:tcPr>
            <w:tcW w:type="dxa" w:w="1661"/>
          </w:tcPr>
          <w:p>
            <w:pPr>
              <w:pStyle w:val="null3"/>
            </w:pPr>
            <w:r>
              <w:rPr>
                <w:rFonts w:ascii="仿宋_GB2312" w:hAnsi="仿宋_GB2312" w:cs="仿宋_GB2312" w:eastAsia="仿宋_GB2312"/>
              </w:rPr>
              <w:t>供应商资质证明资料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提供经会计师事务所审计的2025年度财务审计报告，或在开标日期前六个月内其基本开户银行出具的资信证明</w:t>
            </w:r>
          </w:p>
        </w:tc>
        <w:tc>
          <w:tcPr>
            <w:tcW w:type="dxa" w:w="1661"/>
          </w:tcPr>
          <w:p>
            <w:pPr>
              <w:pStyle w:val="null3"/>
            </w:pPr>
            <w:r>
              <w:rPr>
                <w:rFonts w:ascii="仿宋_GB2312" w:hAnsi="仿宋_GB2312" w:cs="仿宋_GB2312" w:eastAsia="仿宋_GB2312"/>
              </w:rPr>
              <w:t>供应商资质证明资料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tc>
        <w:tc>
          <w:tcPr>
            <w:tcW w:type="dxa" w:w="1661"/>
          </w:tcPr>
          <w:p>
            <w:pPr>
              <w:pStyle w:val="null3"/>
            </w:pPr>
            <w:r>
              <w:rPr>
                <w:rFonts w:ascii="仿宋_GB2312" w:hAnsi="仿宋_GB2312" w:cs="仿宋_GB2312" w:eastAsia="仿宋_GB2312"/>
              </w:rPr>
              <w:t>供应商资质证明资料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法定代表人或授权代表</w:t>
            </w:r>
          </w:p>
        </w:tc>
        <w:tc>
          <w:tcPr>
            <w:tcW w:type="dxa" w:w="3322"/>
          </w:tcPr>
          <w:p>
            <w:pPr>
              <w:pStyle w:val="null3"/>
            </w:pPr>
            <w:r>
              <w:rPr>
                <w:rFonts w:ascii="仿宋_GB2312" w:hAnsi="仿宋_GB2312" w:cs="仿宋_GB2312" w:eastAsia="仿宋_GB2312"/>
              </w:rPr>
              <w:t>非法定代表人参加投标，须提供法定代表人授权委托书及被授权人身份证原件；法定代表人参加投标时,只须提供法定代表人身份证原件</w:t>
            </w:r>
          </w:p>
        </w:tc>
        <w:tc>
          <w:tcPr>
            <w:tcW w:type="dxa" w:w="1661"/>
          </w:tcPr>
          <w:p>
            <w:pPr>
              <w:pStyle w:val="null3"/>
            </w:pPr>
            <w:r>
              <w:rPr>
                <w:rFonts w:ascii="仿宋_GB2312" w:hAnsi="仿宋_GB2312" w:cs="仿宋_GB2312" w:eastAsia="仿宋_GB2312"/>
              </w:rPr>
              <w:t>供应商资质证明资料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特殊资质要求</w:t>
            </w:r>
          </w:p>
        </w:tc>
        <w:tc>
          <w:tcPr>
            <w:tcW w:type="dxa" w:w="3322"/>
          </w:tcPr>
          <w:p>
            <w:pPr>
              <w:pStyle w:val="null3"/>
            </w:pPr>
            <w:r>
              <w:rPr>
                <w:rFonts w:ascii="仿宋_GB2312" w:hAnsi="仿宋_GB2312" w:cs="仿宋_GB2312" w:eastAsia="仿宋_GB2312"/>
              </w:rPr>
              <w:t>供应商须具有国家住房和城乡建设部颁发的工程设计综合甲级或电子通信广电行业（电子系统工程）专业设计甲级资质</w:t>
            </w:r>
          </w:p>
        </w:tc>
        <w:tc>
          <w:tcPr>
            <w:tcW w:type="dxa" w:w="1661"/>
          </w:tcPr>
          <w:p>
            <w:pPr>
              <w:pStyle w:val="null3"/>
            </w:pPr>
            <w:r>
              <w:rPr>
                <w:rFonts w:ascii="仿宋_GB2312" w:hAnsi="仿宋_GB2312" w:cs="仿宋_GB2312" w:eastAsia="仿宋_GB2312"/>
              </w:rPr>
              <w:t>供应商资质证明资料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是否允许联合体磋商</w:t>
            </w:r>
          </w:p>
        </w:tc>
        <w:tc>
          <w:tcPr>
            <w:tcW w:type="dxa" w:w="3322"/>
          </w:tcPr>
          <w:p>
            <w:pPr>
              <w:pStyle w:val="null3"/>
            </w:pPr>
            <w:r>
              <w:rPr>
                <w:rFonts w:ascii="仿宋_GB2312" w:hAnsi="仿宋_GB2312" w:cs="仿宋_GB2312" w:eastAsia="仿宋_GB2312"/>
              </w:rPr>
              <w:t>本项目不接受联合体参与</w:t>
            </w:r>
          </w:p>
        </w:tc>
        <w:tc>
          <w:tcPr>
            <w:tcW w:type="dxa" w:w="1661"/>
          </w:tcPr>
          <w:p>
            <w:pPr>
              <w:pStyle w:val="null3"/>
            </w:pPr>
            <w:r>
              <w:rPr>
                <w:rFonts w:ascii="仿宋_GB2312" w:hAnsi="仿宋_GB2312" w:cs="仿宋_GB2312" w:eastAsia="仿宋_GB2312"/>
              </w:rPr>
              <w:t>供应商资质证明资料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磋商一览表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服务期是否满足竞争性磋商文件要求</w:t>
            </w:r>
          </w:p>
        </w:tc>
        <w:tc>
          <w:tcPr>
            <w:tcW w:type="dxa" w:w="1661"/>
          </w:tcPr>
          <w:p>
            <w:pPr>
              <w:pStyle w:val="null3"/>
            </w:pPr>
            <w:r>
              <w:rPr>
                <w:rFonts w:ascii="仿宋_GB2312" w:hAnsi="仿宋_GB2312" w:cs="仿宋_GB2312" w:eastAsia="仿宋_GB2312"/>
              </w:rPr>
              <w:t>商务和技术响应偏离表 磋商一览表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与磋商文件商务要求条款不一致或增加了采购人难以接受的条款</w:t>
            </w:r>
          </w:p>
        </w:tc>
        <w:tc>
          <w:tcPr>
            <w:tcW w:type="dxa" w:w="1661"/>
          </w:tcPr>
          <w:p>
            <w:pPr>
              <w:pStyle w:val="null3"/>
            </w:pPr>
            <w:r>
              <w:rPr>
                <w:rFonts w:ascii="仿宋_GB2312" w:hAnsi="仿宋_GB2312" w:cs="仿宋_GB2312" w:eastAsia="仿宋_GB2312"/>
              </w:rPr>
              <w:t>商务和技术响应偏离表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响应文件签字、盖章是否满足竞争性磋商文件要求</w:t>
            </w:r>
          </w:p>
        </w:tc>
        <w:tc>
          <w:tcPr>
            <w:tcW w:type="dxa" w:w="1661"/>
          </w:tcPr>
          <w:p>
            <w:pPr>
              <w:pStyle w:val="null3"/>
            </w:pPr>
            <w:r>
              <w:rPr>
                <w:rFonts w:ascii="仿宋_GB2312" w:hAnsi="仿宋_GB2312" w:cs="仿宋_GB2312" w:eastAsia="仿宋_GB2312"/>
              </w:rPr>
              <w:t>响应文件封面 中小企业声明函 残疾人福利性单位声明函 服务方案 标的清单 商务和技术响应偏离表 供应商承诺书 响应函 供应商资质证明资料 供应商业绩一览表 监狱企业的证明文件 磋商一览表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法律法规和实质性要求：是否符合法律法规和磋商文件规定的其他实质性要求</w:t>
            </w:r>
          </w:p>
        </w:tc>
        <w:tc>
          <w:tcPr>
            <w:tcW w:type="dxa" w:w="1661"/>
          </w:tcPr>
          <w:p>
            <w:pPr>
              <w:pStyle w:val="null3"/>
            </w:pPr>
            <w:r>
              <w:rPr>
                <w:rFonts w:ascii="仿宋_GB2312" w:hAnsi="仿宋_GB2312" w:cs="仿宋_GB2312" w:eastAsia="仿宋_GB2312"/>
              </w:rPr>
              <w:t>供应商承诺书</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供应商提供2023年5月1日至今，同类项目业绩合同，每提供一个得3分，最多得15分。 注：提供合同关键页（须包括合同服务内容、服务期限、合同金额、合同签页）复印件。</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供应商业绩一览表</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①项目负责人具有通信类相关专业高级工程师职称得2分；具有通信广电类专业一级注册建造师证书得2分；满分4分，未提供不得分。 ②项目负责人具有2023年5月1日至今承担过同类项目业绩合同，每提供一个得2分，最高4分（需提供合同证明，体现项目负责人姓名） 注：需提供供应商本单位为其缴纳的近三个月的社保证明。</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团队成员中具有：一级注册建筑师、一级注册造价工程师、结构专业、给排水（消防）专业、暖通专业、电气专业、具备通信类等高级技术职称人员，团队成员每具有一个得2分，完全满足每增加一个加2分；满分18分。 注：以上人员持多证不重复计分，项目组成员须提供相关证书复印件及供应商本单位为其缴纳的近三个月的社保证明。</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项目的理解和需求</w:t>
            </w:r>
          </w:p>
        </w:tc>
        <w:tc>
          <w:tcPr>
            <w:tcW w:type="dxa" w:w="2492"/>
          </w:tcPr>
          <w:p>
            <w:pPr>
              <w:pStyle w:val="null3"/>
            </w:pPr>
            <w:r>
              <w:rPr>
                <w:rFonts w:ascii="仿宋_GB2312" w:hAnsi="仿宋_GB2312" w:cs="仿宋_GB2312" w:eastAsia="仿宋_GB2312"/>
              </w:rPr>
              <w:t>供应商针对本项目的理解和需求响应，内容包括但不限于①供应商针对本项目现有数据中心的基础设施分析、②网络架构、③安全防护、④算力承载能力进行全面梳理，⑤精准识别现存痛点等。 以上内容中每缺少一项内容扣2分，每有一处内容与实际需求不符或不满足要求或与本项目需求不切合或直接套用其他项目内容的扣1分，扣完为止。未提供不得分。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供应商针对本项目提供整体设计方案，内容包括但不限于①覆盖机房基础设施改造、②网络架构升级、③算力资源扩容、④安全体系优化内容，⑤方案具备前瞻性、可落地性，同时兼顾绿色节能要求等。 以上内容中每缺少一项内容扣2分，每有一处内容与实际需求不符或不满足要求或与本项目需求不切合或直接套用其他项目内容的扣1分，扣完为止。未提供不得分。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实施进度与质控方案</w:t>
            </w:r>
          </w:p>
        </w:tc>
        <w:tc>
          <w:tcPr>
            <w:tcW w:type="dxa" w:w="2492"/>
          </w:tcPr>
          <w:p>
            <w:pPr>
              <w:pStyle w:val="null3"/>
            </w:pPr>
            <w:r>
              <w:rPr>
                <w:rFonts w:ascii="仿宋_GB2312" w:hAnsi="仿宋_GB2312" w:cs="仿宋_GB2312" w:eastAsia="仿宋_GB2312"/>
              </w:rPr>
              <w:t>供应商针对本项目提供实施进度与质控方案，内容包括但不限于①设计周期安排完全满足招标文件要求，②各阶段交付节点、③内部校核机制、④与采购方的对接流程，⑤质量管控措施。 以上内容中每缺少一项内容扣2分每有一处内容与实际需求不符或不满足要求或与本项目需求不切合或直接套用其他项目内容的扣1分，扣完为止。未提供不得分。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后续落地指导服务方案</w:t>
            </w:r>
          </w:p>
        </w:tc>
        <w:tc>
          <w:tcPr>
            <w:tcW w:type="dxa" w:w="2492"/>
          </w:tcPr>
          <w:p>
            <w:pPr>
              <w:pStyle w:val="null3"/>
            </w:pPr>
            <w:r>
              <w:rPr>
                <w:rFonts w:ascii="仿宋_GB2312" w:hAnsi="仿宋_GB2312" w:cs="仿宋_GB2312" w:eastAsia="仿宋_GB2312"/>
              </w:rPr>
              <w:t>供应商针对本项目提供后续落地指导服务方案，内容包括但不限于①设计交付后的现场交底、②施工阶段技术指导、③试运行优化配套服务。 以上内容中每缺少一项内容扣2分，每有一处内容与实际需求不符或不满足要求或与本项目需求不切合或直接套用其他项目内容的扣1分，扣完为止。未提供不得分。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供应商针对本项目提供售后服务方案，内容包括但不限于①售后服务响应机制、②售后服务人员安排、③保密措施。 以上内容中每缺少一项内容扣1分，每有一处内容与实际需求不符或不满足要求或与本项目需求不切合或直接套用其他项目内容的扣0.5分，扣完为止。未提供不得分。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磋商一览表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1、经初审合格的供应商，其最后提交的磋商响应报价为有效响应报价。 2、评审基准价：即满足磋商文件要求且价格最低的响应报价为评审基准价。 3、其他供应商的价格分统一按照下列公式计算。 4、响应报价得分=(评审基准价／响应报价)×20。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详见附件：磋商一览表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详见附件：供应商业绩一览表</w:t>
      </w:r>
    </w:p>
    <w:p>
      <w:pPr>
        <w:pStyle w:val="null3"/>
        <w:ind w:firstLine="960"/>
      </w:pPr>
      <w:r>
        <w:rPr>
          <w:rFonts w:ascii="仿宋_GB2312" w:hAnsi="仿宋_GB2312" w:cs="仿宋_GB2312" w:eastAsia="仿宋_GB2312"/>
        </w:rPr>
        <w:t>详见附件：供应商资质证明资料</w:t>
      </w:r>
    </w:p>
    <w:p>
      <w:pPr>
        <w:pStyle w:val="null3"/>
        <w:ind w:firstLine="960"/>
      </w:pPr>
      <w:r>
        <w:rPr>
          <w:rFonts w:ascii="仿宋_GB2312" w:hAnsi="仿宋_GB2312" w:cs="仿宋_GB2312" w:eastAsia="仿宋_GB2312"/>
        </w:rPr>
        <w:t>详见附件：商务和技术响应偏离表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