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版本号：JXRC-26054120260626001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长安校区东锅炉房锅炉采购安装及室外管道项目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JXRC-260541</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长安校区东锅炉房锅炉采购安装及室外管道项目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JXRC-260541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长安校区东锅炉房锅炉采购安装及室外管道项目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西北大学长安校区20#、21#、22#新建学生宿舍楼采暖需求，解决现状热源不足问题，采购并安装1台额定出力2800KW的落地式常压冷凝燃气热水锅炉及配套换热、自控、水处理设备，新建室外供热管网及燃气配套系统，实现与综合训练中心供热系统互为备用，保障冬季采暖安全、稳定、高效运行。 项目需达到：氮氧化物排放浓度≤30mg/m³，须提供国家认可的第三方检测报告，系统全自动运行、安全联锁、远程监控，管网敷设规范、保温合格、运行可靠，全面满足校园供暖、安全与环保要求。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采购包1（长安校区东锅炉房锅炉采购安装及室外管道项目）：属于专门面向中小企业采购。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3、财务状况证明：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4、纳税证明：供应商提供自2025年6月1日以来至少一个月的纳税证明或完税证明(增值税、企业所得税至少一种)，纳税证明或完税证明上应有代收机构或税务机关的公章或业务专用章；其他组织和自然人提供自2025年6月1日以来至少一个月缴纳税收的凭据；依法免税的供应商应提供相关文件证明。注:①零报税的提供申报成功的凭证。②时间以税款所属时段为准；</w:t>
      </w:r>
    </w:p>
    <w:p>
      <w:pPr>
        <w:pStyle w:val="null3"/>
      </w:pPr>
      <w:r>
        <w:rPr>
          <w:rFonts w:ascii="仿宋_GB2312" w:hAnsi="仿宋_GB2312" w:cs="仿宋_GB2312" w:eastAsia="仿宋_GB2312"/>
        </w:rPr>
        <w:t>5、社保缴纳证明：供应商提供2025年6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6、无重大违法记录：供应商需提供《无重大违法记录声明》；</w:t>
      </w:r>
    </w:p>
    <w:p>
      <w:pPr>
        <w:pStyle w:val="null3"/>
      </w:pPr>
      <w:r>
        <w:rPr>
          <w:rFonts w:ascii="仿宋_GB2312" w:hAnsi="仿宋_GB2312" w:cs="仿宋_GB2312" w:eastAsia="仿宋_GB2312"/>
        </w:rPr>
        <w:t>7、履约能力证明：供应商需提供《具有履行合同所必需的设备和专业技术能力的承诺书》；</w:t>
      </w:r>
    </w:p>
    <w:p>
      <w:pPr>
        <w:pStyle w:val="null3"/>
      </w:pPr>
      <w:r>
        <w:rPr>
          <w:rFonts w:ascii="仿宋_GB2312" w:hAnsi="仿宋_GB2312" w:cs="仿宋_GB2312" w:eastAsia="仿宋_GB2312"/>
        </w:rPr>
        <w:t>8、许可证：供应商为制造商的，须具备《中华人民共和国特种设备生产许可证》锅炉制造(含安装、修理、改造)B级及以上资质；供应商为代理商的，须提供产品制造商的《中华人民共和国特种设备生产许可证》锅炉制造(含安装、修理、改造)B级及以上资质；</w:t>
      </w:r>
    </w:p>
    <w:p>
      <w:pPr>
        <w:pStyle w:val="null3"/>
      </w:pPr>
      <w:r>
        <w:rPr>
          <w:rFonts w:ascii="仿宋_GB2312" w:hAnsi="仿宋_GB2312" w:cs="仿宋_GB2312" w:eastAsia="仿宋_GB2312"/>
        </w:rPr>
        <w:t>9、供应商资质：供应商须提供建设行政主管部门颁发的建筑机电安装工程专业承包二级及以上资质证书以及合法有效的安全生产许可证；</w:t>
      </w:r>
    </w:p>
    <w:p>
      <w:pPr>
        <w:pStyle w:val="null3"/>
      </w:pPr>
      <w:r>
        <w:rPr>
          <w:rFonts w:ascii="仿宋_GB2312" w:hAnsi="仿宋_GB2312" w:cs="仿宋_GB2312" w:eastAsia="仿宋_GB2312"/>
        </w:rPr>
        <w:t>10、拟派项目经理资格：拟派项目经理须具有机电工程二级（含）及以上注册建造师证执业资格和安全生产考核合格证（建安B证），须在本单位注册，无不良信用记录，且未担任其他在建工程项目的项目经理，提供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开户银行：民生银行西安分行营业部(备注:转账时须附言“260541投标保证金”)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说明：合同签订前缴纳，缴纳金额为合同金额的5%；退还方式：工程竣工验收合格后凭收据和验收单复印件无息退还。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计委关于印发《采购代理服务收费管理暂行办法的通知》（计价格[2002]1980号）及《国家发展改革委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踏勘时间：2026-07-07 09:00:00</w:t>
            </w:r>
          </w:p>
          <w:p>
            <w:pPr>
              <w:pStyle w:val="null3"/>
              <w:ind w:firstLine="975"/>
            </w:pPr>
            <w:r>
              <w:rPr>
                <w:rFonts w:ascii="仿宋_GB2312" w:hAnsi="仿宋_GB2312" w:cs="仿宋_GB2312" w:eastAsia="仿宋_GB2312"/>
              </w:rPr>
              <w:t>踏勘地点：西北大学长安校区东锅炉房</w:t>
            </w:r>
          </w:p>
          <w:p>
            <w:pPr>
              <w:pStyle w:val="null3"/>
              <w:ind w:firstLine="975"/>
            </w:pPr>
            <w:r>
              <w:rPr>
                <w:rFonts w:ascii="仿宋_GB2312" w:hAnsi="仿宋_GB2312" w:cs="仿宋_GB2312" w:eastAsia="仿宋_GB2312"/>
              </w:rPr>
              <w:t>联系人：陆频</w:t>
            </w:r>
          </w:p>
          <w:p>
            <w:pPr>
              <w:pStyle w:val="null3"/>
              <w:ind w:firstLine="975"/>
            </w:pPr>
            <w:r>
              <w:rPr>
                <w:rFonts w:ascii="仿宋_GB2312" w:hAnsi="仿宋_GB2312" w:cs="仿宋_GB2312" w:eastAsia="仿宋_GB2312"/>
              </w:rPr>
              <w:t>联系电话号码：18629280877</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35</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2,699,994.28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长安校区东锅炉房锅炉采购安装及室外管道项目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标的名称：长安校区东锅炉房锅炉采购安装及室外管道项目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）设备供货与安装：1台额定出力 2800KW的落地式常压冷凝燃气热水锅炉、锅炉循环泵、采暖循环泵、补水泵、板式换热机组、全自动软水器、软水箱、高位膨胀水箱、自控系统、燃气报警联锁系统等全套设备的采购、运输、装卸、安装、室外管网敷设及调试运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outlineLvl w:val="3"/>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）锅炉房及地下站房主要设备表</w:t>
            </w:r>
          </w:p>
          <w:tbl>
            <w:tblPr>
              <w:tblBorders>
                <w:top w:val="none" w:color="000000" w:sz="4"/>
                <w:left w:val="none" w:color="000000" w:sz="4"/>
                <w:bottom w:val="none" w:color="000000" w:sz="4"/>
                <w:right w:val="none" w:color="000000" w:sz="4"/>
                <w:insideH w:val="none"/>
                <w:insideV w:val="none"/>
              </w:tblBorders>
            </w:tblPr>
            <w:tblGrid>
              <w:gridCol w:w="160"/>
              <w:gridCol w:w="399"/>
              <w:gridCol w:w="1197"/>
              <w:gridCol w:w="160"/>
              <w:gridCol w:w="160"/>
              <w:gridCol w:w="479"/>
            </w:tblGrid>
            <w:tr>
              <w:tc>
                <w:tcPr>
                  <w:tcW w:type="dxa" w:w="160"/>
                  <w:tcBorders>
                    <w:top w:val="singl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序号</w:t>
                  </w:r>
                </w:p>
              </w:tc>
              <w:tc>
                <w:tcPr>
                  <w:tcW w:type="dxa" w:w="399"/>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名称</w:t>
                  </w:r>
                </w:p>
              </w:tc>
              <w:tc>
                <w:tcPr>
                  <w:tcW w:type="dxa" w:w="1197"/>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规格型号</w:t>
                  </w:r>
                </w:p>
              </w:tc>
              <w:tc>
                <w:tcPr>
                  <w:tcW w:type="dxa" w:w="160"/>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单位</w:t>
                  </w:r>
                </w:p>
              </w:tc>
              <w:tc>
                <w:tcPr>
                  <w:tcW w:type="dxa" w:w="160"/>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数量</w:t>
                  </w:r>
                </w:p>
              </w:tc>
              <w:tc>
                <w:tcPr>
                  <w:tcW w:type="dxa" w:w="479"/>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备注</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落地燃气冷凝锅炉</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额定出力 2800KW，天然气耗量 275Nm³/h，供回水温度 80/60℃，热效率 97%，配套燃烧器电功率 8kW</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台</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1</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采用硅铸铝材质，配套超低氮型燃烧器</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高位膨胀水箱</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容积 V=1.0m³，外形尺寸1.0m×1.0m×1.0m</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座</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1</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304</w:t>
                  </w:r>
                  <w:r>
                    <w:rPr>
                      <w:rFonts w:ascii="仿宋_GB2312" w:hAnsi="仿宋_GB2312" w:cs="仿宋_GB2312" w:eastAsia="仿宋_GB2312"/>
                      <w:sz w:val="24"/>
                    </w:rPr>
                    <w:t>不锈钢组合开式水箱</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3</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锅炉循环泵</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流量 Q=130m³/h，扬程 H=20mH₂O，功率 15kW</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台</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2</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一用一备，变频控制</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4</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板式换热器</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换热量 Q=1910KW，一次侧 80/60℃、二次侧 75/55℃，设计压力 1.6MPa</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台</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2</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单台承担 70% 热负荷</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5</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采暖循环泵</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流量 Q=140m³/h，扬程 H=32mH₂O，功率 18.5kW</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台</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2</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一用一备，变频控制</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6</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采暖补水泵</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流量 Q=6m³/h，扬程 H=70mH₂O，功率 3kW</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台</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2</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一用一备，变频控制</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7</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全自动软水器</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处理水量 Q=3~5m³/h</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台</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1</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双阀双罐，交替连续供水</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8</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软化水箱</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容积 V=3m³，外形尺寸 1.5m×1.0m×2.0m</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座</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1</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304</w:t>
                  </w:r>
                  <w:r>
                    <w:rPr>
                      <w:rFonts w:ascii="仿宋_GB2312" w:hAnsi="仿宋_GB2312" w:cs="仿宋_GB2312" w:eastAsia="仿宋_GB2312"/>
                      <w:sz w:val="24"/>
                    </w:rPr>
                    <w:t>不锈钢组合水箱</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9</w:t>
                  </w: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自立式钢烟囱</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管径 Φ450，总高度 H=8m</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座</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1</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出屋面净高≥3m，高度暂定</w:t>
                  </w:r>
                </w:p>
              </w:tc>
            </w:tr>
            <w:tr>
              <w:tc>
                <w:tcPr>
                  <w:tcW w:type="dxa" w:w="160"/>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p>
              </w:tc>
              <w:tc>
                <w:tcPr>
                  <w:tcW w:type="dxa" w:w="39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配电控制柜</w:t>
                  </w:r>
                </w:p>
              </w:tc>
              <w:tc>
                <w:tcPr>
                  <w:tcW w:type="dxa" w:w="1197"/>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配电控制柜（含锅炉房及地下站房的配电柜、控制柜等）</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套</w:t>
                  </w:r>
                </w:p>
              </w:tc>
              <w:tc>
                <w:tcPr>
                  <w:tcW w:type="dxa" w:w="160"/>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4"/>
                    </w:rPr>
                    <w:t>1</w:t>
                  </w:r>
                </w:p>
              </w:tc>
              <w:tc>
                <w:tcPr>
                  <w:tcW w:type="dxa" w:w="479"/>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left"/>
                  </w:pPr>
                  <w:r>
                    <w:rPr>
                      <w:rFonts w:ascii="仿宋_GB2312" w:hAnsi="仿宋_GB2312" w:cs="仿宋_GB2312" w:eastAsia="仿宋_GB2312"/>
                      <w:sz w:val="24"/>
                    </w:rPr>
                    <w:t>包含配套锅炉控制柜 GL 型、换热控制柜 KZG 型及配套电气元器件</w:t>
                  </w:r>
                </w:p>
              </w:tc>
            </w:tr>
          </w:tbl>
          <w:p>
            <w:pPr>
              <w:pStyle w:val="null3"/>
              <w:jc w:val="left"/>
              <w:outlineLvl w:val="3"/>
            </w:pPr>
            <w:r>
              <w:rPr>
                <w:rFonts w:ascii="仿宋_GB2312" w:hAnsi="仿宋_GB2312" w:cs="仿宋_GB2312" w:eastAsia="仿宋_GB2312"/>
                <w:sz w:val="24"/>
                <w:b/>
                <w:color w:val="000000"/>
              </w:rPr>
              <w:t>室外供热管网主材表</w:t>
            </w:r>
          </w:p>
          <w:tbl>
            <w:tblPr>
              <w:tblBorders>
                <w:top w:val="none" w:color="000000" w:sz="4"/>
                <w:left w:val="none" w:color="000000" w:sz="4"/>
                <w:bottom w:val="none" w:color="000000" w:sz="4"/>
                <w:right w:val="none" w:color="000000" w:sz="4"/>
                <w:insideH w:val="none"/>
                <w:insideV w:val="none"/>
              </w:tblBorders>
            </w:tblPr>
            <w:tblGrid>
              <w:gridCol w:w="156"/>
              <w:gridCol w:w="364"/>
              <w:gridCol w:w="286"/>
              <w:gridCol w:w="182"/>
              <w:gridCol w:w="1562"/>
            </w:tblGrid>
            <w:tr>
              <w:tc>
                <w:tcPr>
                  <w:tcW w:type="dxa" w:w="156"/>
                  <w:tcBorders>
                    <w:top w:val="singl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1"/>
                    </w:rPr>
                    <w:t>序号</w:t>
                  </w:r>
                </w:p>
              </w:tc>
              <w:tc>
                <w:tcPr>
                  <w:tcW w:type="dxa" w:w="364"/>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1"/>
                    </w:rPr>
                    <w:t>名称</w:t>
                  </w:r>
                </w:p>
              </w:tc>
              <w:tc>
                <w:tcPr>
                  <w:tcW w:type="dxa" w:w="286"/>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1"/>
                    </w:rPr>
                    <w:t>规格型号</w:t>
                  </w:r>
                </w:p>
              </w:tc>
              <w:tc>
                <w:tcPr>
                  <w:tcW w:type="dxa" w:w="182"/>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1"/>
                    </w:rPr>
                    <w:t>单位</w:t>
                  </w:r>
                </w:p>
              </w:tc>
              <w:tc>
                <w:tcPr>
                  <w:tcW w:type="dxa" w:w="1562"/>
                  <w:tcBorders>
                    <w:top w:val="singl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1"/>
                    </w:rPr>
                    <w:t>备注</w:t>
                  </w:r>
                </w:p>
              </w:tc>
            </w:tr>
            <w:tr>
              <w:tc>
                <w:tcPr>
                  <w:tcW w:type="dxa" w:w="156"/>
                  <w:tcBorders>
                    <w:top w:val="none" w:color="000000" w:sz="4"/>
                    <w:left w:val="singl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1"/>
                    </w:rPr>
                    <w:t>1</w:t>
                  </w:r>
                </w:p>
              </w:tc>
              <w:tc>
                <w:tcPr>
                  <w:tcW w:type="dxa" w:w="364"/>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2"/>
                      <w:color w:val="000000"/>
                    </w:rPr>
                    <w:t>室外供热管网工程</w:t>
                  </w:r>
                </w:p>
              </w:tc>
              <w:tc>
                <w:tcPr>
                  <w:tcW w:type="dxa" w:w="286"/>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2"/>
                      <w:color w:val="000000"/>
                    </w:rPr>
                    <w:t>项</w:t>
                  </w:r>
                </w:p>
              </w:tc>
              <w:tc>
                <w:tcPr>
                  <w:tcW w:type="dxa" w:w="182"/>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jc w:val="center"/>
                  </w:pPr>
                  <w:r>
                    <w:rPr>
                      <w:rFonts w:ascii="仿宋_GB2312" w:hAnsi="仿宋_GB2312" w:cs="仿宋_GB2312" w:eastAsia="仿宋_GB2312"/>
                      <w:sz w:val="22"/>
                      <w:color w:val="000000"/>
                    </w:rPr>
                    <w:t>1</w:t>
                  </w:r>
                </w:p>
              </w:tc>
              <w:tc>
                <w:tcPr>
                  <w:tcW w:type="dxa" w:w="1562"/>
                  <w:tcBorders>
                    <w:top w:val="none" w:color="000000" w:sz="4"/>
                    <w:left w:val="none" w:color="000000" w:sz="4"/>
                    <w:bottom w:val="single" w:color="000000" w:sz="4"/>
                    <w:right w:val="single" w:color="000000" w:sz="4"/>
                  </w:tcBorders>
                  <w:tcMar>
                    <w:top w:type="dxa" w:w="60"/>
                    <w:left w:type="dxa" w:w="60"/>
                    <w:bottom w:type="dxa" w:w="60"/>
                    <w:right w:type="dxa" w:w="60"/>
                  </w:tcMar>
                </w:tcPr>
                <w:p>
                  <w:pPr>
                    <w:pStyle w:val="null3"/>
                    <w:ind w:firstLine="440"/>
                    <w:jc w:val="left"/>
                  </w:pPr>
                  <w:r>
                    <w:rPr>
                      <w:rFonts w:ascii="仿宋_GB2312" w:hAnsi="仿宋_GB2312" w:cs="仿宋_GB2312" w:eastAsia="仿宋_GB2312"/>
                      <w:sz w:val="22"/>
                      <w:color w:val="000000"/>
                    </w:rPr>
                    <w:t xml:space="preserve">管材：预制聚氨酯保温钢管，直埋约638m + 架空约170m；架空管道配套0.5mm厚彩钢板 170m；及配套阀门及管件；路面破除恢复约200m、草坪破除恢复约120m。                 </w:t>
                  </w:r>
                </w:p>
                <w:p>
                  <w:pPr>
                    <w:pStyle w:val="null3"/>
                    <w:ind w:firstLine="440"/>
                    <w:jc w:val="left"/>
                  </w:pPr>
                  <w:r>
                    <w:rPr>
                      <w:rFonts w:ascii="仿宋_GB2312" w:hAnsi="仿宋_GB2312" w:cs="仿宋_GB2312" w:eastAsia="仿宋_GB2312"/>
                      <w:sz w:val="22"/>
                      <w:color w:val="000000"/>
                    </w:rPr>
                    <w:t>室外管网敷设工程按一项包干报价，管网实际敷设总长、土方开挖、土方回填、路面恢复、与现场既有各类管网对接接驳、管线避让上下翻弯调整等全部施工工作量，均由供应商自行统筹考虑后综合核算报价；施工期间若意外挖损原有通信光缆、电力管线、给排水及其他地下既有设施，所产生的管线抢修、破损复原、处置等全部费用与相关责任，一并由供应商统筹考量计入该项报价。</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）室外供热管网工程：DN200预制聚氨酯保温管道敷设约860米；焊接球阀、波纹补偿器、固定/滑动支架安装；钢筋砼阀门井、分支井、补偿器井施工；混凝土路面破除与恢复、沟槽开挖回填、管道防腐保温。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）燃气配套工程：市政燃气接入、二级调压、计量装置安装、紧急切断阀、可燃气体探测报警与通风联锁系统安装调试。供应商自行考虑所有费用。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）系统联调与验收：水压试验、管道吹扫、系统联动调试、能效与环保检测、竣工验收、操作人员培训、竣工资料移交。</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6</w:t>
            </w:r>
            <w:r>
              <w:rPr>
                <w:rFonts w:ascii="仿宋_GB2312" w:hAnsi="仿宋_GB2312" w:cs="仿宋_GB2312" w:eastAsia="仿宋_GB2312"/>
                <w:sz w:val="24"/>
              </w:rPr>
              <w:t>）与综合训练中心现有锅炉系统联通，实现互为备用功能。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7</w:t>
            </w:r>
            <w:r>
              <w:rPr>
                <w:rFonts w:ascii="仿宋_GB2312" w:hAnsi="仿宋_GB2312" w:cs="仿宋_GB2312" w:eastAsia="仿宋_GB2312"/>
                <w:sz w:val="24"/>
              </w:rPr>
              <w:t>）具体要求详见附件施工图及工程量清单。</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8</w:t>
            </w:r>
            <w:r>
              <w:rPr>
                <w:rFonts w:ascii="仿宋_GB2312" w:hAnsi="仿宋_GB2312" w:cs="仿宋_GB2312" w:eastAsia="仿宋_GB2312"/>
                <w:sz w:val="24"/>
              </w:rPr>
              <w:t>）提供锅炉能效检测报告、板换的选型报告、相关设备及管件出厂检测报告。</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(一)锅炉房内设备相关标准 1.GB50041-2020 《锅炉房设计标准》 2.GB50231-2017 《机械设备安装工程施工及验收通用规范》 3.GB50273-2009 《工业锅炉安装工程施工及验收规范》 4.GB50275-2010 《压缩机、风机安装工程施工及验收通用规范》 5.GB50278-2010 《起重设备安装工程施工及验收规范》 6.GB50236-2011 《现场设备、工业管道焊接工程施工及验收通用规范》 (二)供热管网相关标准 1.GB50683-2011 《现场设备、工业管道焊接工程施工质量验收规范》 2.GB50235-2010 《工业金属管道工程施工规范》 3.GB50236-2011 《现场设备、工业管道焊接工程施工规范》 4.GB50264-2013 《工业设备及管道绝热工程设计规范》 5.GB50126-2008 《工业设备及管道绝热工程施工规范》 6.GB50025-2018 《湿陷性黄土地区建筑规范》 7.GB50242-2002 《建筑给水排水及采暖工程施工质量验收规范》 (三)燃气调压、计量、报警、联锁符合地方燃气企业运营规范； (四)管道直埋敷设、保温防腐、回填夯实执行国家热力管网相关图集。 (五)质量保证及验收标准 1）设备与材料符合本需求书及国家现行规范、标准，提供出厂合格证、型式试验报告、节能认证等资料。 2）锅炉NOx排放浓度≤30mg/m³（须提供国家认可的第三方检测报告）。 3）供热管网水压试验、严密性试验合格，无渗漏，保温防腐符合规范。 4）燃气报警、紧急切断、通风联锁等安全装置灵敏有效，验收合格。 5）系统联动调试合格，与综合训练中心锅炉实现互为备用，满足校园供暖需求。 6）竣工验收由校方组织，供应商配合出具验收报告。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1）质量要求：所有设备、材料均为全新正品，符合国家规范及本需求书参数要求；安装工艺符合GB 50235、GB 50184等标准，工程质量等级为合格。 2）安全要求：严格执行安全生产法规，配备专职安全员，特种作业人员持证上岗；落实校园施工安全管控，设置围挡、警示标识，杜绝安全事故。 3）文明施工：施工期间降噪降尘，物料堆放规范，工完场清；服从校园管理，不得影响教学与师生正常生活。 4）环保要求：低氮燃烧器排放≤30mg/m³（须提供国家认可的第三方检测报告），施工废弃物依规处置，符合校园环保管理规定。 5）资料要求：竣工后提供完整竣工图（暖通及燃气）、设备合格证、检测报告、验收记录等全套资料。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1、工期：自合同签订之日起90个日历天内完成全部设备供货、安装、管网敷设、系统调试、竣工验收并交付使用。 2、质量保修期：2个采暖季。 3、支付方式：待工程竣工验收合格后付至合同金额的80%；经学校审计后付至审定金额的100%。 4、违约责任 中标/成交供应商所交付工程不符合其投标承诺，存在偷工减料、以次充好情形的，采购人要求更换一次后仍不符合约定的，采购人有权解除采购合同，没收履约保证金，并将有关情况上报政府采购监管部门处理。 逾期完工的，每逾期1日按合同总价的0.5‰支付违约金，逾期超过15日，采购人有权单方解除合同。 5、售后服务 1）供应商须承诺系统可与综合训练中心现有供热系统互为备用，保障供暖连续性。 2）质保期内提供7*24小时响应服务，服务响应时间不超过2小时，对问题较大短期内暂不能解决的，为不影响甲方正常工作，乙方在2日内免费提供解决方案，确保正常运行，由此产生的全部费用由乙方承担。 3）负责免费提供关于新建锅炉运行控制的操作人员培训工作。 4）室外管网敷设工程按一项包干报价，管网实际敷设总长、土方开挖、土方回填、路面恢复、与现场既有各类管网对接接驳、管线避让上下翻弯调整等全部施工工作量，均由供应商自行统筹考虑后综合核算报价；施工期间若意外挖损原有通信光缆、电力管线、给排水及其他地下既有设施，所产生的管线抢修、破损复原、处置等全部费用与相关责任，一并由供应商统筹考量计入该项报价。 5）锅炉配套燃气工程（含燃气报建、审批、施工、调压、计量、联锁、燃气报警装置及相关检测等全部内容）按一项总价包干报价，供应商须提前全面预判各类风险与费用，以最终该项投标报价（合同约定）执行。 6）投标文件中响应的锅炉及板换等主要设备的品牌、型号、规格及核心技术参数，中标后一律不得进行任何变更、替换、降级，必须严格按照投标承诺供货、安装。 7）中标通知书发出后、合同签订前，采购人有权对中标供应商所投锅炉及板换等主要设备的生产厂家开展履约资质与生产能力核验，中标供应商须无条件配合并安排采购人前往生产厂家现场实地考察；同时须无条件提供厂家相关资质证明、生产现场等真实信息，确保设备为原厂原装、合规合格。核验通过后方可签订合同，若核验不实，采购人有权取消其中标资格。 8）供应商须全面统筹预判全部配套合规处置相关费用与对应责任，保障本台锅炉完成全部法定合规流程、具备合法稳定投运使用条件，相关成本综合核算并计入整体报价。 9）成交供应商在签订合同前须提供针对本项目货物的授权。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供应商提供自2025年6月1日以来至少一个月的纳税证明或完税证明(增值税、企业所得税至少一种)，纳税证明或完税证明上应有代收机构或税务机关的公章或业务专用章；其他组织和自然人提供自2025年6月1日以来至少一个月缴纳税收的凭据；依法免税的供应商应提供相关文件证明。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6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供应商需提供《具有履行合同所必需的设备和专业技术能力的承诺书》；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供应商为制造商的，须具备《中华人民共和国特种设备生产许可证》锅炉制造(含安装、修理、改造)B级及以上资质；供应商为代理商的，须提供产品制造商的《中华人民共和国特种设备生产许可证》锅炉制造(含安装、修理、改造)B级及以上资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供应商须提供建设行政主管部门颁发的建筑机电安装工程专业承包二级及以上资质证书以及合法有效的安全生产许可证；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拟派项目经理须具有机电工程二级（含）及以上注册建造师证执业资格和安全生产考核合格证（建安B证），须在本单位注册，无不良信用记录，且未担任其他在建工程项目的项目经理，提供无在建工程承诺书。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工程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已标价工程量清单 技术响应偏离表 中小企业声明函 供应商业绩 强制优先采购产品承诺函 企业关联关系声明函 响应文件封面 项目经理业绩 其他材料 残疾人福利性单位声明函 供应商基本信息 供应商承诺书 响应函 供应商资格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供应商必须满足采购文件的实质性要求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技术参数完全符合、响应采购文件“第三章 3.1 一、技术、服务标准和要求”，没有负偏离得12分，每负偏离一项扣1.5分。 注：技术参数供应商在响应文件中应尽可能多地提供技术支持资料予以证明其技术指标响应性（包括但不限于产品说明书或检验报告等），并在技术响应偏离表中标注对应页码及位置，特别对有具体参数的指标，供应商必须提供所投设备的具体参数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 供应商提供针对本项目实际需求编制的项目实施方案：①施工方案及施工技术措施；②进度计划；③技术难点、应对措施；④施工流程图或工艺流程。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 ①施工方案及施工技术措施：每完全满足一项评审标准得0.5分，满分1.5分； ②进度计划：每完全满足一项评审标准得0.5分，满分1.5分； ③技术难点、应对措施：每完全满足一项评审标准得0.5分，满分1.5分； ④施工流程图或工艺流程：每完全满足一项评审标准得0.5分，满分1.5分； 内容有缺陷得0.2分，缺项或未提供得0分。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1.评审内容： 供应商提供针对本项目实际需求编制的设备选型方案：①所投产品型号、功能、技术规格等详细信息描述；②结合本项目供热负荷、现场工况，说明设备选型科学性、配置完整性、系统兼容性、运行稳定性、行业应用广泛性；同时提供产品优势说明、市场销售业绩等证明材料。 2.评审标准： ①完整性：内容详细全面，对本项目了解透彻； ②可实施性：切合本项目实际情况，方案全面、施工步骤清晰、合理； ③针对性：方案能够紧扣项目实际情况，内容科学合理。 3.赋分标准： ①所投产品型号、功能、技术规格等详细信息描述：每完全满足一项评审标准得1.5分，满分4.5分； ②结合本项目供热负荷、现场工况，说明设备选型科学性、配置完整性、系统兼容性、运行稳定性、行业应用广泛性；同时提供产品优势说明、市场销售业绩等证明材料：每完全满足一项评审标准得1.5分，满分4.5分； 内容有缺陷得0.7分，缺项或未提供得0分。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编制的确保安全文明施工的技术组织措施：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①安全目标及文明施工措施：每完全满足一项评审标准得0.5分，满分1.5分； ②安全体系健全度：每完全满足一项评审标准得0.5分，满分1.5分； ③应急预案可行性：每完全满足一项评审标准得0.5分，满分1.5分； 内容有缺陷得0.2分，缺项或未提供得0分。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①工期计划：每完全满足一项评审标准得0.5分，满分1.5分； ②关键节点工期分析：每完全满足一项评审标准得0.5分，满分1.5分； ③延误工期补救措施：每完全满足一项评审标准得0.5分，满分1.5分； 内容有缺陷得0.2分，缺项或未提供得0分。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1.评审内容： 供应商提供针对本项目实际需求编制的质量控制措施：①施工前期质量管控；②设备制造与出厂质量控制；③现场安装施工过程质量控制；④系统调试、试验质量控制。 2.评审标准： ①完整性：内容详细全面，对本项目了解透彻； ②可实施性：切合本项目实际情况，措施全面、清晰、合理； ③针对性：方案能够紧扣项目实际情况，内容科学合理。 3.赋分标准： ①施工前期质量管控：每完全满足一项评审标准得0.5分，满分1.5分； ②设备制造与出厂质量控制：每完全满足一项评审标准得0.5分，满分1.5分； ③现场安装施工过程质量控制：每完全满足一项评审标准得0.5分，满分1.5分； ④系统调试、试验质量控制：每完全满足一项评审标准得0.5分，满分1.5分； 内容有缺陷得0.2分，缺项或未提供得0分。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供应商提供针对本项目实际需求编制的的施工机械配备和材料投入计划：①施工机械配备；②材料投入计划（主要材料信息（名称、规格、数量等）与工程进度匹配）； 2.评审标准： ①齐全程度：内容详细，能完全满足采购文件要求； ②实用性：质量有保障、使用率高、安全性能强； ③针对性：能紧扣项目实际情况，配置合理科学； 3.赋分标准： ①施工机械配备：每完全满足一项评审标准得0.5分，满分1.5分； ②材料投入计划：每完全满足一项评审标准得0.5分，满分1.5分； 内容有缺陷得0.2分，缺项或未提供得0分。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1.评审内容： 供应商提供针对本项目实际需求编制的维保服务方案：①维保内容及计划；②维保方式、巡检方案。 2.评审标准： ①齐全程度：内容详细，能完全满足采购文件要求； ②实用性：质量有保障、使用率高、安全性能强； ③针对性：能紧扣项目实际情况，配置合理科学； 3.赋分标准： ①维保内容及计划：每完全满足一项评审标准得1分，满分3分； ②维保方式、巡检方案：每完全满足一项评审标准得1分，满分3分； 内容有缺陷得0.5分，缺项或未提供得0分。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维保承诺</w:t>
            </w:r>
          </w:p>
        </w:tc>
        <w:tc>
          <w:tcPr>
            <w:tcW w:type="dxa" w:w="2492"/>
          </w:tcPr>
          <w:p>
            <w:pPr>
              <w:pStyle w:val="null3"/>
            </w:pPr>
            <w:r>
              <w:rPr>
                <w:rFonts w:ascii="仿宋_GB2312" w:hAnsi="仿宋_GB2312" w:cs="仿宋_GB2312" w:eastAsia="仿宋_GB2312"/>
              </w:rPr>
              <w:t>供应商结合自身实力及项目特点提供详细的维保人员名单及其联系电话，并提供应急维保的书面承诺得2分，未提供承诺书不得分，承诺书格式自拟。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拟派项目团队除项目负责人外须包括以下人员：技术负责人、项目安全员、施工员、质量员各1人，人员齐全得2分，每缺一个人扣0.5分。 注：响应文件中项目团队人员须提供包括但不限于资格证书、身份证复印件或扫描件、截止开标前6个月任意一个月的社保证明等佐证材料。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1.职称：具有高级及以上职称，得2分；具有中级职称，得1分；其他情况不得分。 注：以加盖投标人公章的职称证书为准。 2.业绩：提供项目经理自2023 年6 月1 日至今（时间以合同签订时间为准）的同类项目业绩合同，每提供1 项得1 分，最多得3分。 注：合同须体现项目经理姓名，项目经理业绩可与企业业绩重复计分。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项目经理业绩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在满足采购文件2个采暖季基础上，供应商可根据自身情况延长质保年限，每额外增加1个完整采暖季免费质保加2分，最多加4分。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2023年6月1日起至今，供应商承担的同类项目业绩（以响应文件中签订日期为准），每提供1份有效业绩得1分，最多得5分。 业绩要求：每个业绩须提供合同关键页（包括但不限于合同首页、项目信息页、金额页、双方签字盖章页等内容），未完整提供上述材料或所提供内容模糊不清、或不能体现符合要求的该业绩不得分。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详见附件：项目经理业绩</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