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版本号：SZT2026-SN-SC-ZC-HW-073920260801003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场景创新研究院暨未来学习中心舞台及声光电等系统集成项目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SZT2026-SN-SC-ZC-HW-0739</w:t>
      </w:r>
      <w:r>
        <w:br/>
      </w:r>
      <w:r>
        <w:br/>
      </w:r>
      <w:r>
        <w:br/>
      </w:r>
    </w:p>
    <w:p>
      <w:pPr>
        <w:pStyle w:val="null3"/>
        <w:jc w:val="center"/>
        <w:outlineLvl w:val="2"/>
      </w:pPr>
      <w:r>
        <w:rPr>
          <w:rFonts w:ascii="仿宋_GB2312" w:hAnsi="仿宋_GB2312" w:cs="仿宋_GB2312" w:eastAsia="仿宋_GB2312"/>
          <w:sz w:val="28"/>
          <w:b/>
        </w:rPr>
        <w:t>西安科技大学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西安科技大学</w:t>
      </w:r>
      <w:r>
        <w:rPr>
          <w:rFonts w:ascii="仿宋_GB2312" w:hAnsi="仿宋_GB2312" w:cs="仿宋_GB2312" w:eastAsia="仿宋_GB2312"/>
        </w:rPr>
        <w:t>委托，拟对</w:t>
      </w:r>
      <w:r>
        <w:rPr>
          <w:rFonts w:ascii="仿宋_GB2312" w:hAnsi="仿宋_GB2312" w:cs="仿宋_GB2312" w:eastAsia="仿宋_GB2312"/>
        </w:rPr>
        <w:t>场景创新研究院暨未来学习中心舞台及声光电等系统集成项目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SZT2026-SN-SC-ZC-HW-0739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场景创新研究院暨未来学习中心舞台及声光电等系统集成项目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室内多功能厅堂专业声光电机一体化集成系统项目，旨在打造一套兼容未来学习中心多种形式教学研讨、会议、文艺演出、大型活动等多场景使用的一体化声光电机解决方案，涵盖音响扩声、舞台灯光、舞台LED、舞台机械幕布、智能中央控制、内部通讯、直播、监控八大核心系统，要求整体设备兼容性强、信号传输稳定、核心性能满足各类活动的专业使用标准，为多功能场地提供全场景声光电机一体化技术支撑。 项目交付要求完成专业深化设计、设备供应、运输装卸、安装调试、人员培训、验收交付及质保期内运维服务等全流程服务。交付后系统需满足日常会议发言、专业文艺演出扩声、大型活动、线上直播活动等多类场景的使用需求，实现操作简便、性能稳定、扩展灵活的建设目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1、供应商要求：供应商具备有效的电子与智能化工程专业承包二级（含二级）以上资质，具备有效的安全生产许可证。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029-83858191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李毓菲、陈先德、郝娜娜、杨艳、马帅、赵倩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029-87304326-872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说明：签订合同前中标供应商向采购人缴纳5%的履约保证金，验收合格后缴纳的5%履约保证金无息退还。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代理服务费收费标准：中标人应向采购代理机构交纳招标代理服务费及造价咨询费。 招标代理服务费的收取参见国家计委颁布的《招标代理服务收费管理暂行办法》(计价格[2002]1980号)和(发改办价格[2003]857号)中货物类收费标准*0.775收取。 造价咨询费的收取：最高限价*3.6‰ 在领取中标通知书时向采购代理机构一次性交纳。 开户名称：陕西中技招标有限公司 开户银行：招商银行西安分行营业部 银行账号：129916812810001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踏勘时间：2026-07-31 09:30:00</w:t>
            </w:r>
          </w:p>
          <w:p>
            <w:pPr>
              <w:pStyle w:val="null3"/>
              <w:ind w:firstLine="975"/>
            </w:pPr>
            <w:r>
              <w:rPr>
                <w:rFonts w:ascii="仿宋_GB2312" w:hAnsi="仿宋_GB2312" w:cs="仿宋_GB2312" w:eastAsia="仿宋_GB2312"/>
              </w:rPr>
              <w:t>踏勘地点：西安科技大学临潼校区骊山校园双创楼</w:t>
            </w:r>
          </w:p>
          <w:p>
            <w:pPr>
              <w:pStyle w:val="null3"/>
              <w:ind w:firstLine="975"/>
            </w:pPr>
            <w:r>
              <w:rPr>
                <w:rFonts w:ascii="仿宋_GB2312" w:hAnsi="仿宋_GB2312" w:cs="仿宋_GB2312" w:eastAsia="仿宋_GB2312"/>
              </w:rPr>
              <w:t>联系人：李经理</w:t>
            </w:r>
          </w:p>
          <w:p>
            <w:pPr>
              <w:pStyle w:val="null3"/>
              <w:ind w:firstLine="975"/>
            </w:pPr>
            <w:r>
              <w:rPr>
                <w:rFonts w:ascii="仿宋_GB2312" w:hAnsi="仿宋_GB2312" w:cs="仿宋_GB2312" w:eastAsia="仿宋_GB2312"/>
              </w:rPr>
              <w:t>联系电话号码：18706763085</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西安科技大学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西安科技大学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2）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（3）如采用投标人所不拥有的知识产权，则在投标报价中必须包括合法使用该知识产权的相关费用。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室内多功能厅堂专业声光电机一体化集成系统项目，旨在打造一套兼容未来学习中心多种形式教学研讨、会议、文艺演出、大型活动等多场景使用的一体化声光电机解决方案，涵盖音响扩声、舞台灯光、舞台LED、舞台机械幕布、智能中央控制、内部通讯、直播、监控八大核心系统，要求整体设备兼容性强、信号传输稳定、核心性能满足各类活动的专业使用标准，为多功能场地提供全场景声光电机一体化技术支撑。 项目交付要求完成专业深化设计、设备供应、运输装卸、安装调试、人员培训、验收交付及质保期内运维服务等全流程服务。交付后系统需满足日常会议发言、专业文艺演出扩声、大型活动、线上直播活动等多类场景的使用需求，实现操作简便、性能稳定、扩展灵活的建设目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6,020,000.00</w:t>
      </w:r>
    </w:p>
    <w:p>
      <w:pPr>
        <w:pStyle w:val="null3"/>
      </w:pPr>
      <w:r>
        <w:rPr>
          <w:rFonts w:ascii="仿宋_GB2312" w:hAnsi="仿宋_GB2312" w:cs="仿宋_GB2312" w:eastAsia="仿宋_GB2312"/>
        </w:rPr>
        <w:t>采购包最高限价（元）: 6,019,260.83</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场景创新研究院暨未来学习中心舞台及声光电等系统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标的名称：场景创新研究院暨未来学习中心舞台及声光电等系统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核心产品：</w:t>
            </w:r>
            <w:r>
              <w:rPr>
                <w:rFonts w:ascii="仿宋_GB2312" w:hAnsi="仿宋_GB2312" w:cs="仿宋_GB2312" w:eastAsia="仿宋_GB2312"/>
                <w:sz w:val="21"/>
                <w:b/>
              </w:rPr>
              <w:t>（</w:t>
            </w:r>
            <w:r>
              <w:rPr>
                <w:rFonts w:ascii="仿宋_GB2312" w:hAnsi="仿宋_GB2312" w:cs="仿宋_GB2312" w:eastAsia="仿宋_GB2312"/>
                <w:sz w:val="21"/>
                <w:b/>
              </w:rPr>
              <w:t>1）音响扩声系统设备清单中A-1：左/右声道全频阵列扬声器；（2）舞台LED显示系统设备清单中A-1：LED显示屏</w:t>
            </w:r>
          </w:p>
          <w:p>
            <w:pPr>
              <w:pStyle w:val="null3"/>
              <w:jc w:val="both"/>
            </w:pPr>
            <w:r>
              <w:rPr>
                <w:rFonts w:ascii="仿宋_GB2312" w:hAnsi="仿宋_GB2312" w:cs="仿宋_GB2312" w:eastAsia="仿宋_GB2312"/>
                <w:sz w:val="21"/>
                <w:b/>
              </w:rPr>
              <w:t>本项目采购产品</w:t>
            </w:r>
            <w:r>
              <w:rPr>
                <w:rFonts w:ascii="仿宋_GB2312" w:hAnsi="仿宋_GB2312" w:cs="仿宋_GB2312" w:eastAsia="仿宋_GB2312"/>
                <w:sz w:val="21"/>
                <w:b/>
              </w:rPr>
              <w:t>中</w:t>
            </w:r>
            <w:r>
              <w:rPr>
                <w:rFonts w:ascii="仿宋_GB2312" w:hAnsi="仿宋_GB2312" w:cs="仿宋_GB2312" w:eastAsia="仿宋_GB2312"/>
                <w:sz w:val="21"/>
                <w:b/>
              </w:rPr>
              <w:t>属于节能产品政府采购品目清单中应强制采购的产品</w:t>
            </w:r>
            <w:r>
              <w:rPr>
                <w:rFonts w:ascii="仿宋_GB2312" w:hAnsi="仿宋_GB2312" w:cs="仿宋_GB2312" w:eastAsia="仿宋_GB2312"/>
                <w:sz w:val="21"/>
                <w:b/>
              </w:rPr>
              <w:t>有：台式计算机，视频设备</w:t>
            </w:r>
          </w:p>
          <w:p>
            <w:pPr>
              <w:pStyle w:val="null3"/>
              <w:jc w:val="both"/>
            </w:pPr>
            <w:r>
              <w:rPr>
                <w:rFonts w:ascii="仿宋_GB2312" w:hAnsi="仿宋_GB2312" w:cs="仿宋_GB2312" w:eastAsia="仿宋_GB2312"/>
              </w:rPr>
              <w:t>一、</w:t>
            </w:r>
            <w:r>
              <w:rPr>
                <w:rFonts w:ascii="仿宋_GB2312" w:hAnsi="仿宋_GB2312" w:cs="仿宋_GB2312" w:eastAsia="仿宋_GB2312"/>
              </w:rPr>
              <w:t>符合以下国家标准</w:t>
            </w:r>
          </w:p>
          <w:p>
            <w:pPr>
              <w:pStyle w:val="null3"/>
              <w:jc w:val="both"/>
            </w:pPr>
            <w:r>
              <w:rPr>
                <w:rFonts w:ascii="仿宋_GB2312" w:hAnsi="仿宋_GB2312" w:cs="仿宋_GB2312" w:eastAsia="仿宋_GB2312"/>
              </w:rPr>
              <w:t>1.《厅堂扩声系统设计规范》GB 50371-2006</w:t>
            </w:r>
          </w:p>
          <w:p>
            <w:pPr>
              <w:pStyle w:val="null3"/>
              <w:jc w:val="both"/>
            </w:pPr>
            <w:r>
              <w:rPr>
                <w:rFonts w:ascii="仿宋_GB2312" w:hAnsi="仿宋_GB2312" w:cs="仿宋_GB2312" w:eastAsia="仿宋_GB2312"/>
              </w:rPr>
              <w:t>2.《舞台灯光设计规范》WH/T 32-2008</w:t>
            </w:r>
          </w:p>
          <w:p>
            <w:pPr>
              <w:pStyle w:val="null3"/>
              <w:jc w:val="both"/>
            </w:pPr>
            <w:r>
              <w:rPr>
                <w:rFonts w:ascii="仿宋_GB2312" w:hAnsi="仿宋_GB2312" w:cs="仿宋_GB2312" w:eastAsia="仿宋_GB2312"/>
              </w:rPr>
              <w:t>3.《全彩色LED显示屏通用规范》SJ/T 11281-2017</w:t>
            </w:r>
          </w:p>
          <w:p>
            <w:pPr>
              <w:pStyle w:val="null3"/>
              <w:jc w:val="both"/>
            </w:pPr>
            <w:r>
              <w:rPr>
                <w:rFonts w:ascii="仿宋_GB2312" w:hAnsi="仿宋_GB2312" w:cs="仿宋_GB2312" w:eastAsia="仿宋_GB2312"/>
              </w:rPr>
              <w:t>4.《安全防范工程技术标准》GB 50348-2018</w:t>
            </w:r>
          </w:p>
          <w:p>
            <w:pPr>
              <w:pStyle w:val="null3"/>
              <w:jc w:val="both"/>
            </w:pPr>
            <w:r>
              <w:rPr>
                <w:rFonts w:ascii="仿宋_GB2312" w:hAnsi="仿宋_GB2312" w:cs="仿宋_GB2312" w:eastAsia="仿宋_GB2312"/>
              </w:rPr>
              <w:t>5.《智能建筑设计标准》GB 50314-2015</w:t>
            </w:r>
          </w:p>
          <w:p>
            <w:pPr>
              <w:pStyle w:val="null3"/>
              <w:jc w:val="both"/>
            </w:pPr>
            <w:r>
              <w:rPr>
                <w:rFonts w:ascii="仿宋_GB2312" w:hAnsi="仿宋_GB2312" w:cs="仿宋_GB2312" w:eastAsia="仿宋_GB2312"/>
              </w:rPr>
              <w:t>6.《舞台机械验收检测规范》GB/T 36727-2018</w:t>
            </w:r>
          </w:p>
          <w:p>
            <w:pPr>
              <w:pStyle w:val="null3"/>
              <w:jc w:val="both"/>
            </w:pPr>
            <w:r>
              <w:rPr>
                <w:rFonts w:ascii="仿宋_GB2312" w:hAnsi="仿宋_GB2312" w:cs="仿宋_GB2312" w:eastAsia="仿宋_GB2312"/>
              </w:rPr>
              <w:t>7.《舞台机械台上设备安全》WH/T28-2007</w:t>
            </w:r>
          </w:p>
          <w:p>
            <w:pPr>
              <w:pStyle w:val="null3"/>
              <w:jc w:val="both"/>
            </w:pPr>
            <w:r>
              <w:rPr>
                <w:rFonts w:ascii="仿宋_GB2312" w:hAnsi="仿宋_GB2312" w:cs="仿宋_GB2312" w:eastAsia="仿宋_GB2312"/>
              </w:rPr>
              <w:t>8.与本项目相关的国家标准</w:t>
            </w:r>
          </w:p>
          <w:p>
            <w:pPr>
              <w:pStyle w:val="null3"/>
              <w:jc w:val="both"/>
            </w:pPr>
            <w:r>
              <w:rPr>
                <w:rFonts w:ascii="仿宋_GB2312" w:hAnsi="仿宋_GB2312" w:cs="仿宋_GB2312" w:eastAsia="仿宋_GB2312"/>
              </w:rPr>
              <w:t>二</w:t>
            </w:r>
            <w:r>
              <w:rPr>
                <w:rFonts w:ascii="仿宋_GB2312" w:hAnsi="仿宋_GB2312" w:cs="仿宋_GB2312" w:eastAsia="仿宋_GB2312"/>
              </w:rPr>
              <w:t>、</w:t>
            </w:r>
            <w:r>
              <w:rPr>
                <w:rFonts w:ascii="仿宋_GB2312" w:hAnsi="仿宋_GB2312" w:cs="仿宋_GB2312" w:eastAsia="仿宋_GB2312"/>
              </w:rPr>
              <w:t>后附采购清单及图纸</w:t>
            </w:r>
            <w:r>
              <w:rPr>
                <w:rFonts w:ascii="仿宋_GB2312" w:hAnsi="仿宋_GB2312" w:cs="仿宋_GB2312" w:eastAsia="仿宋_GB2312"/>
              </w:rPr>
              <w:t>。</w:t>
            </w:r>
          </w:p>
          <w:p>
            <w:pPr>
              <w:pStyle w:val="null3"/>
              <w:jc w:val="both"/>
            </w:pPr>
            <w:r>
              <w:rPr>
                <w:rFonts w:ascii="仿宋_GB2312" w:hAnsi="仿宋_GB2312" w:cs="仿宋_GB2312" w:eastAsia="仿宋_GB2312"/>
              </w:rPr>
              <w:t>三</w:t>
            </w:r>
            <w:r>
              <w:rPr>
                <w:rFonts w:ascii="仿宋_GB2312" w:hAnsi="仿宋_GB2312" w:cs="仿宋_GB2312" w:eastAsia="仿宋_GB2312"/>
              </w:rPr>
              <w:t>、其他要求</w:t>
            </w:r>
          </w:p>
          <w:p>
            <w:pPr>
              <w:pStyle w:val="null3"/>
              <w:jc w:val="both"/>
            </w:pPr>
            <w:r>
              <w:rPr>
                <w:rFonts w:ascii="仿宋_GB2312" w:hAnsi="仿宋_GB2312" w:cs="仿宋_GB2312" w:eastAsia="仿宋_GB2312"/>
              </w:rPr>
              <w:t>1.设计交付：中标供应商需提供详细的系统深化设计方案，包括声场模拟图纸、灯光点位布置图、系统连接图、控制逻辑图等全套图纸，经采购方确认后方可进场实施。</w:t>
            </w:r>
          </w:p>
          <w:p>
            <w:pPr>
              <w:pStyle w:val="null3"/>
              <w:jc w:val="both"/>
            </w:pPr>
            <w:r>
              <w:rPr>
                <w:rFonts w:ascii="仿宋_GB2312" w:hAnsi="仿宋_GB2312" w:cs="仿宋_GB2312" w:eastAsia="仿宋_GB2312"/>
              </w:rPr>
              <w:t>2.安装调试：供应商负责所有设备的运输、安装、调试工作，负责管线布设、设备固定、系统联调，安装过程需符合国家电气安全、消防安全标准，承担安装过程的全部安全责任。</w:t>
            </w:r>
          </w:p>
          <w:p>
            <w:pPr>
              <w:pStyle w:val="null3"/>
              <w:jc w:val="both"/>
            </w:pPr>
            <w:r>
              <w:rPr>
                <w:rFonts w:ascii="仿宋_GB2312" w:hAnsi="仿宋_GB2312" w:cs="仿宋_GB2312" w:eastAsia="仿宋_GB2312"/>
              </w:rPr>
              <w:t>3.验收标准：系统安装完成后，供应商需进行声学测试、系统性能检测，检测指标符合本需求可通过验收。</w:t>
            </w:r>
          </w:p>
          <w:p>
            <w:pPr>
              <w:pStyle w:val="null3"/>
              <w:jc w:val="both"/>
            </w:pPr>
            <w:r>
              <w:rPr>
                <w:rFonts w:ascii="仿宋_GB2312" w:hAnsi="仿宋_GB2312" w:cs="仿宋_GB2312" w:eastAsia="仿宋_GB2312"/>
              </w:rPr>
              <w:t>4.人员培训：供应商需为采购方操作人员提供不少于2次现场操作培训，培训内容包括日常操作、场景切换、常见故障处理等，提供纸质操作手册和电子操作视频，保障操作人员能够独立完成日常使用。</w:t>
            </w:r>
          </w:p>
          <w:p>
            <w:pPr>
              <w:pStyle w:val="null3"/>
              <w:jc w:val="both"/>
            </w:pPr>
            <w:r>
              <w:rPr>
                <w:rFonts w:ascii="仿宋_GB2312" w:hAnsi="仿宋_GB2312" w:cs="仿宋_GB2312" w:eastAsia="仿宋_GB2312"/>
              </w:rPr>
              <w:t>5.服务保障：</w:t>
            </w:r>
          </w:p>
          <w:p>
            <w:pPr>
              <w:pStyle w:val="null3"/>
              <w:jc w:val="both"/>
            </w:pPr>
            <w:r>
              <w:rPr>
                <w:rFonts w:ascii="仿宋_GB2312" w:hAnsi="仿宋_GB2312" w:cs="仿宋_GB2312" w:eastAsia="仿宋_GB2312"/>
                <w:b/>
              </w:rPr>
              <w:t>★</w:t>
            </w:r>
            <w:r>
              <w:rPr>
                <w:rFonts w:ascii="仿宋_GB2312" w:hAnsi="仿宋_GB2312" w:cs="仿宋_GB2312" w:eastAsia="仿宋_GB2312"/>
                <w:b/>
              </w:rPr>
              <w:t>（</w:t>
            </w:r>
            <w:r>
              <w:rPr>
                <w:rFonts w:ascii="仿宋_GB2312" w:hAnsi="仿宋_GB2312" w:cs="仿宋_GB2312" w:eastAsia="仿宋_GB2312"/>
                <w:b/>
              </w:rPr>
              <w:t>1）</w:t>
            </w:r>
            <w:r>
              <w:rPr>
                <w:rFonts w:ascii="仿宋_GB2312" w:hAnsi="仿宋_GB2312" w:cs="仿宋_GB2312" w:eastAsia="仿宋_GB2312"/>
                <w:b/>
              </w:rPr>
              <w:t>质保期内供应商需配置至少一名</w:t>
            </w:r>
            <w:r>
              <w:rPr>
                <w:rFonts w:ascii="仿宋_GB2312" w:hAnsi="仿宋_GB2312" w:cs="仿宋_GB2312" w:eastAsia="仿宋_GB2312"/>
                <w:b/>
              </w:rPr>
              <w:t>7*8小时未来学习中心驻场管理员</w:t>
            </w:r>
            <w:r>
              <w:rPr>
                <w:rFonts w:ascii="仿宋_GB2312" w:hAnsi="仿宋_GB2312" w:cs="仿宋_GB2312" w:eastAsia="仿宋_GB2312"/>
                <w:b/>
              </w:rPr>
              <w:t>，</w:t>
            </w:r>
            <w:r>
              <w:rPr>
                <w:rFonts w:ascii="仿宋_GB2312" w:hAnsi="仿宋_GB2312" w:cs="仿宋_GB2312" w:eastAsia="仿宋_GB2312"/>
                <w:b/>
              </w:rPr>
              <w:t>具体要求</w:t>
            </w:r>
            <w:r>
              <w:rPr>
                <w:rFonts w:ascii="仿宋_GB2312" w:hAnsi="仿宋_GB2312" w:cs="仿宋_GB2312" w:eastAsia="仿宋_GB2312"/>
                <w:b/>
              </w:rPr>
              <w:t>：舞台音响及舞台灯光管理：一年以上工作经验，对不同音乐风格有所了解，具备音乐敏感度。了解各种音响设备技术，包括但不限于调音台、麦克风、音箱、录音设备、效果器、功放等设备。具有电工证。熟悉强电操作规范和经验，能排除灯具和线路故障。</w:t>
            </w:r>
            <w:r>
              <w:rPr>
                <w:rFonts w:ascii="仿宋_GB2312" w:hAnsi="仿宋_GB2312" w:cs="仿宋_GB2312" w:eastAsia="仿宋_GB2312"/>
                <w:b/>
              </w:rPr>
              <w:t>(提供供应商承诺函）</w:t>
            </w:r>
          </w:p>
          <w:p>
            <w:pPr>
              <w:pStyle w:val="null3"/>
              <w:jc w:val="both"/>
            </w:pPr>
            <w:r>
              <w:rPr>
                <w:rFonts w:ascii="仿宋_GB2312" w:hAnsi="仿宋_GB2312" w:cs="仿宋_GB2312" w:eastAsia="仿宋_GB2312"/>
                <w:b/>
              </w:rPr>
              <w:t>★</w:t>
            </w:r>
            <w:r>
              <w:rPr>
                <w:rFonts w:ascii="仿宋_GB2312" w:hAnsi="仿宋_GB2312" w:cs="仿宋_GB2312" w:eastAsia="仿宋_GB2312"/>
                <w:b/>
              </w:rPr>
              <w:t>（</w:t>
            </w:r>
            <w:r>
              <w:rPr>
                <w:rFonts w:ascii="仿宋_GB2312" w:hAnsi="仿宋_GB2312" w:cs="仿宋_GB2312" w:eastAsia="仿宋_GB2312"/>
                <w:b/>
              </w:rPr>
              <w:t>2）</w:t>
            </w:r>
            <w:r>
              <w:rPr>
                <w:rFonts w:ascii="仿宋_GB2312" w:hAnsi="仿宋_GB2312" w:cs="仿宋_GB2312" w:eastAsia="仿宋_GB2312"/>
                <w:b/>
              </w:rPr>
              <w:t>需配置每年不少于</w:t>
            </w:r>
            <w:r>
              <w:rPr>
                <w:rFonts w:ascii="仿宋_GB2312" w:hAnsi="仿宋_GB2312" w:cs="仿宋_GB2312" w:eastAsia="仿宋_GB2312"/>
                <w:b/>
              </w:rPr>
              <w:t>9次大型活动专业保障人员5名团队（舞台音响师1名、舞台灯光师1名、舞台视频控制师1名、舞台机械师1名、舞台总指挥1名）。</w:t>
            </w:r>
            <w:r>
              <w:rPr>
                <w:rFonts w:ascii="仿宋_GB2312" w:hAnsi="仿宋_GB2312" w:cs="仿宋_GB2312" w:eastAsia="仿宋_GB2312"/>
                <w:b/>
              </w:rPr>
              <w:t>(提供供应商承诺函）</w:t>
            </w:r>
          </w:p>
          <w:p>
            <w:pPr>
              <w:pStyle w:val="null3"/>
              <w:jc w:val="both"/>
            </w:pPr>
            <w:r>
              <w:rPr>
                <w:rFonts w:ascii="仿宋_GB2312" w:hAnsi="仿宋_GB2312" w:cs="仿宋_GB2312" w:eastAsia="仿宋_GB2312"/>
              </w:rPr>
              <w:t>6.中标供应商在实施过程中不得影响学校的日常生活、工作秩序。</w:t>
            </w:r>
          </w:p>
          <w:p>
            <w:pPr>
              <w:pStyle w:val="null3"/>
              <w:jc w:val="both"/>
            </w:pPr>
            <w:r>
              <w:rPr>
                <w:rFonts w:ascii="仿宋_GB2312" w:hAnsi="仿宋_GB2312" w:cs="仿宋_GB2312" w:eastAsia="仿宋_GB2312"/>
              </w:rPr>
              <w:t>7.现场垃圾清运、治污减霾工作由中标供应商全权负责，供应商应负责做好项目的扬尘防治工作及垃圾清运工作。</w:t>
            </w:r>
          </w:p>
          <w:p>
            <w:pPr>
              <w:pStyle w:val="null3"/>
              <w:jc w:val="both"/>
            </w:pPr>
            <w:r>
              <w:rPr>
                <w:rFonts w:ascii="仿宋_GB2312" w:hAnsi="仿宋_GB2312" w:cs="仿宋_GB2312" w:eastAsia="仿宋_GB2312"/>
              </w:rPr>
              <w:t>8.中标供应商与采购人签订合同时，需同时签订安全协议。</w:t>
            </w:r>
          </w:p>
          <w:p>
            <w:pPr>
              <w:pStyle w:val="null3"/>
              <w:jc w:val="both"/>
            </w:pPr>
            <w:r>
              <w:rPr>
                <w:rFonts w:ascii="仿宋_GB2312" w:hAnsi="仿宋_GB2312" w:cs="仿宋_GB2312" w:eastAsia="仿宋_GB2312"/>
              </w:rPr>
              <w:t>四</w:t>
            </w:r>
            <w:r>
              <w:rPr>
                <w:rFonts w:ascii="仿宋_GB2312" w:hAnsi="仿宋_GB2312" w:cs="仿宋_GB2312" w:eastAsia="仿宋_GB2312"/>
              </w:rPr>
              <w:t>、商务要求</w:t>
            </w:r>
          </w:p>
          <w:p>
            <w:pPr>
              <w:pStyle w:val="null3"/>
              <w:jc w:val="both"/>
            </w:pPr>
            <w:r>
              <w:rPr>
                <w:rFonts w:ascii="仿宋_GB2312" w:hAnsi="仿宋_GB2312" w:cs="仿宋_GB2312" w:eastAsia="仿宋_GB2312"/>
              </w:rPr>
              <w:t>1．交货期：3个月内完成安装调试及验收。</w:t>
            </w:r>
          </w:p>
          <w:p>
            <w:pPr>
              <w:pStyle w:val="null3"/>
              <w:jc w:val="both"/>
            </w:pPr>
            <w:r>
              <w:rPr>
                <w:rFonts w:ascii="仿宋_GB2312" w:hAnsi="仿宋_GB2312" w:cs="仿宋_GB2312" w:eastAsia="仿宋_GB2312"/>
              </w:rPr>
              <w:t>2.实施地点：西安科技大学临潼校区骊山校园。</w:t>
            </w:r>
          </w:p>
          <w:p>
            <w:pPr>
              <w:pStyle w:val="null3"/>
              <w:jc w:val="both"/>
            </w:pPr>
            <w:r>
              <w:rPr>
                <w:rFonts w:ascii="仿宋_GB2312" w:hAnsi="仿宋_GB2312" w:cs="仿宋_GB2312" w:eastAsia="仿宋_GB2312"/>
              </w:rPr>
              <w:t>3．项目质量：符合国家现行最新颁布的施工验收规范和质量检验“合格”标准。承包人严格按照国家颁发相关行业验收规范及设计图纸要求进行实施，质量应达到国家或专业质量检验评定标准的合格条件。</w:t>
            </w:r>
          </w:p>
          <w:p>
            <w:pPr>
              <w:pStyle w:val="null3"/>
              <w:jc w:val="both"/>
            </w:pPr>
            <w:r>
              <w:rPr>
                <w:rFonts w:ascii="仿宋_GB2312" w:hAnsi="仿宋_GB2312" w:cs="仿宋_GB2312" w:eastAsia="仿宋_GB2312"/>
              </w:rPr>
              <w:t>4．质保期：本项目竣工验收合格通过之日起2年，供应商可在此基础上根据企业自身情况自主承诺予以延长。</w:t>
            </w:r>
          </w:p>
          <w:p>
            <w:pPr>
              <w:pStyle w:val="null3"/>
            </w:pPr>
            <w:r>
              <w:rPr>
                <w:rFonts w:ascii="仿宋_GB2312" w:hAnsi="仿宋_GB2312" w:cs="仿宋_GB2312" w:eastAsia="仿宋_GB2312"/>
                <w:sz w:val="21"/>
                <w:b/>
              </w:rPr>
              <w:t>★</w:t>
            </w:r>
            <w:r>
              <w:rPr>
                <w:rFonts w:ascii="仿宋_GB2312" w:hAnsi="仿宋_GB2312" w:cs="仿宋_GB2312" w:eastAsia="仿宋_GB2312"/>
                <w:sz w:val="21"/>
                <w:b/>
              </w:rPr>
              <w:t>5.本项目所涉及的所有产品售后服务均为原厂售后。(提供供应商承诺函或产品原厂售后服务函）</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3个月内完成安装调试及验收。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1）非中小企业中标付款方式：本项目签订合同前向甲方缴纳5%的履约保证金，项目交付且经学校验收合格后一次性支付100%合同款。付款前，中标供应商开具全额增值税发票给采购人。验收合格后缴纳的5%履约保证金无息退还。（2）中小企业中标付款方式：签订合同前向学校缴纳5%的履约保证金，合同签订后采购人支付40%合同金额的预付款。项目交付且经学校验收合格后支付剩余60%合同款。付款前，中标供应商开具全额增值税发票给采购人。验收合格后缴纳的5%履约保证金无息退还，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本项目竣工验收合格通过之日起2年。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一、报价异常低价处理 （一）政府采购评审中出现下列情形之一的，评审委员会应当启动异常低价投标（响应）审查程序：详见第5章 评标办法-异常低价审查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二、落实政府采购政策《国务院办公厅关于在政府采购中实施本国产品标准及相关政策的通知国办发〔2025〕34号》 详见第5章 评标办法-实施本国产品标准。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 三、付款方式： （1）非中小企业中标付款方式：本项目签订合同前向甲方缴纳5%的履约保证金，项目交付且经学校验收合格后一次性支付100%合同款。付款前，中标供应商开具全额增值税发票给采购人。验收合格后缴纳的5%履约保证金无息退还。 （2）中小企业中标付款方式： 签订合同前向学校缴纳5%的履约保证金，合同签订后采购人支付40%合同金额的预付款。项目交付且经学校验收合格后支付剩余60%合同款。付款前，中标供应商开具全额增值税发票给采购人。验收合格后缴纳的5%履约保证金无息退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2、具有良好的商业信誉和健全的财务会计制度（提供2025年度财务审计报告或开标前近12个月内的银行资信证明或财政部门认可的政府采购专业担保机构出具的担保函）； 3、具有履行合同所必需的设备和专业技术能力（格式详见附件）； 4、具有依法缴纳税收和社会保障资金的良好记录（同时提供投标截止时间前12个月内缴存的任意时段的社保及税收缴纳证明；依法不需要缴纳的应提供相关证明文件)；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投标函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供应商要求</w:t>
            </w:r>
          </w:p>
        </w:tc>
        <w:tc>
          <w:tcPr>
            <w:tcW w:type="dxa" w:w="3322"/>
          </w:tcPr>
          <w:p>
            <w:pPr>
              <w:pStyle w:val="null3"/>
            </w:pPr>
            <w:r>
              <w:rPr>
                <w:rFonts w:ascii="仿宋_GB2312" w:hAnsi="仿宋_GB2312" w:cs="仿宋_GB2312" w:eastAsia="仿宋_GB2312"/>
              </w:rPr>
              <w:t>供应商具备有效的电子与智能化工程专业承包二级（含二级）以上资质，具备有效的安全生产许可证。</w:t>
            </w:r>
          </w:p>
        </w:tc>
        <w:tc>
          <w:tcPr>
            <w:tcW w:type="dxa" w:w="1661"/>
          </w:tcPr>
          <w:p>
            <w:pPr>
              <w:pStyle w:val="null3"/>
            </w:pPr>
            <w:r>
              <w:rPr>
                <w:rFonts w:ascii="仿宋_GB2312" w:hAnsi="仿宋_GB2312" w:cs="仿宋_GB2312" w:eastAsia="仿宋_GB2312"/>
              </w:rPr>
              <w:t>格式文本.docx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被授权人提供投标文件截止时间前一年内任意一个月在投标人单位缴纳社会保障资金（养老保险或医疗保险）的缴纳证明及被授权人身份证</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投标有效期响应招标文件的要求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交货期按招标文件要求的各项节点响应</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质保期按照招标文件的相关要求响应</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付款方式响应招标文件的要求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投标保证金按要求缴纳</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投标报价未超过采购预算或最高限价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投标内容未出现漏项或数量与要求不符、技术参数严重负偏离影响采购人使用；其他不符合招标文件要求的情形。</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核心产品品牌应满足3个品牌，不满足视为有效投标人不足3家</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★内容</w:t>
            </w:r>
          </w:p>
        </w:tc>
        <w:tc>
          <w:tcPr>
            <w:tcW w:type="dxa" w:w="3322"/>
          </w:tcPr>
          <w:p>
            <w:pPr>
              <w:pStyle w:val="null3"/>
            </w:pPr>
            <w:r>
              <w:rPr>
                <w:rFonts w:ascii="仿宋_GB2312" w:hAnsi="仿宋_GB2312" w:cs="仿宋_GB2312" w:eastAsia="仿宋_GB2312"/>
              </w:rPr>
              <w:t>★内容为实质性要求，供应商必须响应并满足。供应商须按招标文件要求提供证明材料（采购需求对证明材料有要求的按照要求提供，未做要求的提供产品彩页或检测报告或带网址链接的官网功能截图或加盖厂商公章的技术参数说明）</w:t>
            </w:r>
          </w:p>
        </w:tc>
        <w:tc>
          <w:tcPr>
            <w:tcW w:type="dxa" w:w="1661"/>
          </w:tcPr>
          <w:p>
            <w:pPr>
              <w:pStyle w:val="null3"/>
            </w:pPr>
            <w:r>
              <w:rPr>
                <w:rFonts w:ascii="仿宋_GB2312" w:hAnsi="仿宋_GB2312" w:cs="仿宋_GB2312" w:eastAsia="仿宋_GB2312"/>
              </w:rPr>
              <w:t>格式文本.docx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方案中各项设备及软件功能的技术参数响应清晰明确，符合使用要求，技术指标和性能完全响应招标文件要求，满足使用需求，计40分。结合规格、技术参数偏离表的响应证明材料，按招标文件内配置最低要求，带“▲”号指标项每出现1个负偏离扣0.5分，非“▲”号指标项每出现1个负偏离，扣0.1分，扣完为止。供应商须按招标文件要求提供带“▲”号指标项的证明材料（采购需求对证明材料有要求的按照要求提供，未做要求的提供产品彩页或检测报告或带网址链接的官网功能截图或加盖厂商公章的技术参数说明），否则自行承担未提供证明材料导致技术参数被视为负偏离的风险。</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供应商投标产品中每有一项为节能产品或环境标志产品经国家认证的得1分。（以经国家确定的认证机构出具的、处于有效期内的节能产品、环境标志产品认证证书为准，国家强制节能产品除外。）</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提供2023年1月1日至今供应商同类项目业绩，提供合同复印件（扫描件）加盖供应商公章及中标通知书，以合同签订日期为准。每份有效业绩计1分，合计最高5分。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满足本项目要求的质保期基础上，每增加1年，加0.5分。最高1分。（提供承诺函）</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拟派项目经理</w:t>
            </w:r>
          </w:p>
        </w:tc>
        <w:tc>
          <w:tcPr>
            <w:tcW w:type="dxa" w:w="2492"/>
          </w:tcPr>
          <w:p>
            <w:pPr>
              <w:pStyle w:val="null3"/>
            </w:pPr>
            <w:r>
              <w:rPr>
                <w:rFonts w:ascii="仿宋_GB2312" w:hAnsi="仿宋_GB2312" w:cs="仿宋_GB2312" w:eastAsia="仿宋_GB2312"/>
              </w:rPr>
              <w:t>具有与本项目相关的机械类或电子类高级工程师计3分，中级计1分。（提供投标文件截止时间前一年内任意一个月在投标人单位缴纳社会保障资金的缴纳证明及相应证书）（拟派项目经理与技术负责人不能为同一人）</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拟派技术负责人</w:t>
            </w:r>
          </w:p>
        </w:tc>
        <w:tc>
          <w:tcPr>
            <w:tcW w:type="dxa" w:w="2492"/>
          </w:tcPr>
          <w:p>
            <w:pPr>
              <w:pStyle w:val="null3"/>
            </w:pPr>
            <w:r>
              <w:rPr>
                <w:rFonts w:ascii="仿宋_GB2312" w:hAnsi="仿宋_GB2312" w:cs="仿宋_GB2312" w:eastAsia="仿宋_GB2312"/>
              </w:rPr>
              <w:t>具有与本项目相关的机械类或电子类或工程管理类高级工程师计2分，中级计1分。（提供投标文件截止时间前一年内任意一个月在投标人单位缴纳社会保障资金的缴纳证明及相应证书）（拟派项目经理与技术负责人不能为同一人）</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产品选型及质量保障</w:t>
            </w:r>
          </w:p>
        </w:tc>
        <w:tc>
          <w:tcPr>
            <w:tcW w:type="dxa" w:w="2492"/>
          </w:tcPr>
          <w:p>
            <w:pPr>
              <w:pStyle w:val="null3"/>
            </w:pPr>
            <w:r>
              <w:rPr>
                <w:rFonts w:ascii="仿宋_GB2312" w:hAnsi="仿宋_GB2312" w:cs="仿宋_GB2312" w:eastAsia="仿宋_GB2312"/>
              </w:rPr>
              <w:t>评审内容包含:①产品选型②产品性能③使用寿命④使用效果⑤质量保证措施。 每一项内容全面详细、阐述条理清晰得1分，满分5分，每项存在一处缺陷，扣0.2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评审内容包含:①整体进度计划②安装调试③系统深化设计方案（包含图纸等）④验收方案⑤现场垃圾清运、治污减霾方案。每一项内容全面详细、阐述条理清晰得1分，满分5分，每项存在一处缺陷，扣0.2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评审内容包含:①培训时间②培训内容。每一项内容全面详细、阐述条理清晰得1分，满分2分，每项存在一处缺陷，扣0.2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售后服务保障</w:t>
            </w:r>
          </w:p>
        </w:tc>
        <w:tc>
          <w:tcPr>
            <w:tcW w:type="dxa" w:w="2492"/>
          </w:tcPr>
          <w:p>
            <w:pPr>
              <w:pStyle w:val="null3"/>
            </w:pPr>
            <w:r>
              <w:rPr>
                <w:rFonts w:ascii="仿宋_GB2312" w:hAnsi="仿宋_GB2312" w:cs="仿宋_GB2312" w:eastAsia="仿宋_GB2312"/>
              </w:rPr>
              <w:t>评审内容包含:①售后服务②应急措施③响应时间及方式④备件供应准备⑤质保期内服务保障方案⑥质保期后的维修方案。每一项内容全面详细、阐述条理清晰得1分，满分6分，每项存在一处缺陷，扣0.2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满足招标文件要求且投标价格最低的投标报价为评标基准价，其价格分为满分30分。其他供应商的价格分统一按照下列公式计算：投标报价得分=（评标基准价/投标报价）×30。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详见附件：格式文本.docx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详见附件：西安科技大学设备采购合同.docx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