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版本号：ZXGJ-ZB14-2026-01320260527002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西安市美丽河湖可研报告编制项目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ZXGJ-ZB14-2026-013</w:t>
      </w:r>
      <w:r>
        <w:br/>
      </w:r>
      <w:r>
        <w:br/>
      </w:r>
      <w:r>
        <w:br/>
      </w:r>
    </w:p>
    <w:p>
      <w:pPr>
        <w:pStyle w:val="null3"/>
        <w:jc w:val="center"/>
        <w:outlineLvl w:val="2"/>
      </w:pPr>
      <w:r>
        <w:rPr>
          <w:rFonts w:ascii="仿宋_GB2312" w:hAnsi="仿宋_GB2312" w:cs="仿宋_GB2312" w:eastAsia="仿宋_GB2312"/>
          <w:sz w:val="28"/>
          <w:b/>
        </w:rPr>
        <w:t>西安市生态环境局（本级）</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西安市美丽河湖可研报告编制项目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ZXGJ-ZB14-2026-013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西安市美丽河湖可研报告编制项目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推进我市美丽河湖保护与建设，我市拟谋划《西安市美丽河湖保护与建设项目可研报告编制》，拟选择黑河、新河、沣河、灞河、石川河等重点河流，编制项目可研报告、项目实施方案申请中央美丽河湖建设资金。建设项目类别涵盖水生态修复、入河排污口整治、监管能力建设等多个方面。通过实施美丽河湖项目，提升河湖生态系统健康水平，改善水生态环境质量，发挥中央财政资金引领带动作用，持续深入打好碧水保卫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p>
      <w:pPr>
        <w:pStyle w:val="null3"/>
      </w:pPr>
      <w:r>
        <w:rPr>
          <w:rFonts w:ascii="仿宋_GB2312" w:hAnsi="仿宋_GB2312" w:cs="仿宋_GB2312" w:eastAsia="仿宋_GB2312"/>
        </w:rPr>
        <w:t>2、供应商备案：供应商须在“全国投资项目在线审批监管平台”工程咨询单位名录备案。</w:t>
      </w:r>
    </w:p>
    <w:p>
      <w:pPr>
        <w:pStyle w:val="null3"/>
      </w:pPr>
      <w:r>
        <w:rPr>
          <w:rFonts w:ascii="仿宋_GB2312" w:hAnsi="仿宋_GB2312" w:cs="仿宋_GB2312" w:eastAsia="仿宋_GB2312"/>
        </w:rPr>
        <w:t>3、非联合体投标：本项目不接受联合体磋商。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褚林峰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67098143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王超、同秀秀、王涛、白丹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029-81317379-606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代理服务费不足捌仟元按捌仟元收取。具体收费金额将在成交公告中公布。请将采购代理服务费汇至下列指定账户：开户名称：中昕国际项目管理有限公司；开户行：中国建设银行股份有限公司西安文景路支行；账号：61050178150000000278。注：此服务费应计入报价中，但不需要单独开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西安市生态环境局（本级）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成交供应商按照项目需求完成后，由用户方组织验收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联系人：王超、同秀秀</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推进我市美丽河湖保护与建设，我市拟谋划《西安市美丽河湖保护与建设项目可研报告编制》，拟选择黑河、新河、沣河、灞河、石川河等重点河流，编制项目可研报告、项目实施方案申请中央美丽河湖建设资金。建设项目类别涵盖水生态修复、入河排污口整治、监管能力建设等多个方面。通过实施美丽河湖项目，提升河湖生态系统健康水平，改善水生态环境质量，发挥中央财政资金引领带动作用，持续深入打好碧水保卫战。</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采购内容：为推进我市美丽河湖保护与建设，我市拟谋划《西安市美丽河湖保护与建设项目可研报告编制》，拟选择黑河、新河、沣河、灞河、石川河等重点河流，编制项目可研报告、项目实施方案申请中央美丽河湖建设资金。建设项目类别涵盖水生态修复、入河排污口整治、监管能力建设等多个方面。通过实施美丽河湖项目，提升河湖生态系统健康水平，改善水生态环境质量，发挥中央财政资金引领带动作用，持续深入打好碧水保卫战。</w:t>
            </w:r>
          </w:p>
          <w:p>
            <w:pPr>
              <w:pStyle w:val="null3"/>
              <w:ind w:left="420"/>
              <w:jc w:val="both"/>
            </w:pPr>
            <w:r>
              <w:rPr>
                <w:rFonts w:ascii="仿宋_GB2312" w:hAnsi="仿宋_GB2312" w:cs="仿宋_GB2312" w:eastAsia="仿宋_GB2312"/>
                <w:sz w:val="20"/>
              </w:rPr>
              <w:t>二、</w:t>
            </w:r>
            <w:r>
              <w:rPr>
                <w:rFonts w:ascii="仿宋_GB2312" w:hAnsi="仿宋_GB2312" w:cs="仿宋_GB2312" w:eastAsia="仿宋_GB2312"/>
                <w:sz w:val="20"/>
              </w:rPr>
              <w:t>服务</w:t>
            </w:r>
            <w:r>
              <w:rPr>
                <w:rFonts w:ascii="仿宋_GB2312" w:hAnsi="仿宋_GB2312" w:cs="仿宋_GB2312" w:eastAsia="仿宋_GB2312"/>
                <w:sz w:val="20"/>
              </w:rPr>
              <w:t>内容</w:t>
            </w:r>
          </w:p>
          <w:p>
            <w:pPr>
              <w:pStyle w:val="null3"/>
              <w:ind w:firstLine="400"/>
              <w:jc w:val="both"/>
            </w:pPr>
            <w:r>
              <w:rPr>
                <w:rFonts w:ascii="仿宋_GB2312" w:hAnsi="仿宋_GB2312" w:cs="仿宋_GB2312" w:eastAsia="仿宋_GB2312"/>
                <w:sz w:val="20"/>
              </w:rPr>
              <w:t>1.供应商需按要求提交完整编制成果，包括实施方案纸质版、电子版文档，配套图件图集，河湖现状调查报告，项目绩效目标申报表，《中央财政水污染防治资金》申报全套材料。</w:t>
            </w:r>
          </w:p>
          <w:p>
            <w:pPr>
              <w:pStyle w:val="null3"/>
              <w:ind w:firstLine="400"/>
              <w:jc w:val="both"/>
            </w:pPr>
            <w:r>
              <w:rPr>
                <w:rFonts w:ascii="仿宋_GB2312" w:hAnsi="仿宋_GB2312" w:cs="仿宋_GB2312" w:eastAsia="仿宋_GB2312"/>
                <w:sz w:val="20"/>
              </w:rPr>
              <w:t>2.供应商提供全程技术支撑服务，配合采购方完成上级审查、专家评审、中央资金申报现场答辩，根据评审意见及时修改完善方案及申报材料，直至项目成功获批。</w:t>
            </w:r>
          </w:p>
          <w:p>
            <w:pPr>
              <w:pStyle w:val="null3"/>
              <w:ind w:firstLine="400"/>
              <w:jc w:val="both"/>
            </w:pPr>
            <w:r>
              <w:rPr>
                <w:rFonts w:ascii="仿宋_GB2312" w:hAnsi="仿宋_GB2312" w:cs="仿宋_GB2312" w:eastAsia="仿宋_GB2312"/>
                <w:sz w:val="20"/>
              </w:rPr>
              <w:t>3.项目质保期不少于 2 年，质保期间持续提供后续技术咨询、项目绩效跟踪、治理问题整改指导等技术服务，保障美丽河湖建设及资金申报后续工作顺利推进。</w:t>
            </w:r>
          </w:p>
          <w:p>
            <w:pPr>
              <w:pStyle w:val="null3"/>
              <w:ind w:left="420"/>
              <w:jc w:val="both"/>
            </w:pP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技术</w:t>
            </w:r>
            <w:r>
              <w:rPr>
                <w:rFonts w:ascii="仿宋_GB2312" w:hAnsi="仿宋_GB2312" w:cs="仿宋_GB2312" w:eastAsia="仿宋_GB2312"/>
                <w:sz w:val="20"/>
              </w:rPr>
              <w:t>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1）可研报告编制</w:t>
            </w:r>
            <w:r>
              <w:rPr>
                <w:rFonts w:ascii="仿宋_GB2312" w:hAnsi="仿宋_GB2312" w:cs="仿宋_GB2312" w:eastAsia="仿宋_GB2312"/>
                <w:sz w:val="20"/>
              </w:rPr>
              <w:t>需求</w:t>
            </w:r>
          </w:p>
          <w:p>
            <w:pPr>
              <w:pStyle w:val="null3"/>
              <w:ind w:firstLine="400"/>
              <w:jc w:val="both"/>
            </w:pPr>
            <w:r>
              <w:rPr>
                <w:rFonts w:ascii="仿宋_GB2312" w:hAnsi="仿宋_GB2312" w:cs="仿宋_GB2312" w:eastAsia="仿宋_GB2312"/>
                <w:sz w:val="20"/>
              </w:rPr>
              <w:t>1.落实生态文明建设战略，全面贯彻《美丽河湖保护与建设行动方案（2025—2027 年）》《陕西省美丽河湖保护与建设实施方案（2025—2027 年）》工作部署，编制《西安市美丽河湖保护与建设可行性研究报告》，扎实推进 “清水绿岸、鱼翔浅底、人水和谐” 的美丽河湖建设，助力区域生态文明建设与美丽中国建设落地见效。</w:t>
            </w:r>
          </w:p>
          <w:p>
            <w:pPr>
              <w:pStyle w:val="null3"/>
              <w:ind w:firstLine="400"/>
              <w:jc w:val="both"/>
            </w:pPr>
            <w:r>
              <w:rPr>
                <w:rFonts w:ascii="仿宋_GB2312" w:hAnsi="仿宋_GB2312" w:cs="仿宋_GB2312" w:eastAsia="仿宋_GB2312"/>
                <w:sz w:val="20"/>
              </w:rPr>
              <w:t>2.开展流域全域系统排查，全面梳理辖区河湖水资源保障、水环境质量、水生态健康、水安全防护、水文化传承现状，精准查摆突出问题与薄弱环节，制定控源截污、生态修复、水资源调度、景观提升、长效管护一体化综合治理措施。</w:t>
            </w:r>
          </w:p>
          <w:p>
            <w:pPr>
              <w:pStyle w:val="null3"/>
              <w:ind w:firstLine="400"/>
              <w:jc w:val="both"/>
            </w:pPr>
            <w:r>
              <w:rPr>
                <w:rFonts w:ascii="仿宋_GB2312" w:hAnsi="仿宋_GB2312" w:cs="仿宋_GB2312" w:eastAsia="仿宋_GB2312"/>
                <w:sz w:val="20"/>
              </w:rPr>
              <w:t>3.对标国家美丽河湖核心评价指标，科学设定水质改善、生态修复、景观提升、运维管理等量化治理目标，明确建设标准与实施路径，确保河湖建设达标后符合国家美丽河湖评定要求。</w:t>
            </w:r>
          </w:p>
          <w:p>
            <w:pPr>
              <w:pStyle w:val="null3"/>
              <w:ind w:firstLine="400"/>
              <w:jc w:val="both"/>
            </w:pPr>
            <w:r>
              <w:rPr>
                <w:rFonts w:ascii="仿宋_GB2312" w:hAnsi="仿宋_GB2312" w:cs="仿宋_GB2312" w:eastAsia="仿宋_GB2312"/>
                <w:sz w:val="20"/>
              </w:rPr>
              <w:t>4.统筹谋划一批可落地、可实施、可入库的河湖治理工程项目，细化项目建设内容、实施规模、投资额度、推进时序及责任主体，为美丽河湖建设提供实操性指导。</w:t>
            </w:r>
          </w:p>
          <w:p>
            <w:pPr>
              <w:pStyle w:val="null3"/>
              <w:ind w:firstLine="400"/>
              <w:jc w:val="both"/>
            </w:pPr>
            <w:r>
              <w:rPr>
                <w:rFonts w:ascii="仿宋_GB2312" w:hAnsi="仿宋_GB2312" w:cs="仿宋_GB2312" w:eastAsia="仿宋_GB2312"/>
                <w:sz w:val="20"/>
              </w:rPr>
              <w:t>5.依托编制成果，专项申报《中央财政水污染防治资金》（美丽河湖专项），全力争取国家资金支持，有效撬动地方财政、社会资本投入，缓解地方财政资金压力，保障河湖治理项目顺利实施。</w:t>
            </w:r>
          </w:p>
          <w:p>
            <w:pPr>
              <w:pStyle w:val="null3"/>
              <w:ind w:firstLine="400"/>
              <w:jc w:val="both"/>
            </w:pPr>
            <w:r>
              <w:rPr>
                <w:rFonts w:ascii="仿宋_GB2312" w:hAnsi="仿宋_GB2312" w:cs="仿宋_GB2312" w:eastAsia="仿宋_GB2312"/>
                <w:sz w:val="20"/>
              </w:rPr>
              <w:t>6.构建完善河湖长制落地、监测预警、长效管护、公众参与等全流程管理机制，实现河湖水质稳定、生态向好、管护规范，保障 “有河有水、有鱼有草、人水和谐” 建设成效长效保持。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2）实施方案编制目标</w:t>
            </w:r>
          </w:p>
          <w:p>
            <w:pPr>
              <w:pStyle w:val="null3"/>
              <w:ind w:firstLine="400"/>
              <w:jc w:val="both"/>
            </w:pPr>
            <w:r>
              <w:rPr>
                <w:rFonts w:ascii="仿宋_GB2312" w:hAnsi="仿宋_GB2312" w:cs="仿宋_GB2312" w:eastAsia="仿宋_GB2312"/>
                <w:sz w:val="20"/>
              </w:rPr>
              <w:t>（一）总体目标</w:t>
            </w:r>
          </w:p>
          <w:p>
            <w:pPr>
              <w:pStyle w:val="null3"/>
              <w:ind w:firstLine="400"/>
              <w:jc w:val="both"/>
            </w:pPr>
            <w:r>
              <w:rPr>
                <w:rFonts w:ascii="仿宋_GB2312" w:hAnsi="仿宋_GB2312" w:cs="仿宋_GB2312" w:eastAsia="仿宋_GB2312"/>
                <w:sz w:val="20"/>
              </w:rPr>
              <w:t>依据《西安市美丽河湖保护与建设可行性研究报告》，编制《西安市地表水保护治理项目实施方案》，申请《中央财政水污染防治资金》。建设项目类别涵盖水生态修复、入河排污口整治、面源污染治理、监管能力建设等多个方面。通过实施美丽河湖建设项目，提升河湖生态系统健康水平，改善水生态环境质量，发挥中央财政资金引领带动作用，持续深入打好碧水保卫战，为西安市成功创建国家级美丽河湖，成功纳入国家美丽河湖名录。</w:t>
            </w:r>
          </w:p>
          <w:p>
            <w:pPr>
              <w:pStyle w:val="null3"/>
              <w:ind w:firstLine="400"/>
              <w:jc w:val="both"/>
            </w:pPr>
            <w:r>
              <w:rPr>
                <w:rFonts w:ascii="仿宋_GB2312" w:hAnsi="仿宋_GB2312" w:cs="仿宋_GB2312" w:eastAsia="仿宋_GB2312"/>
                <w:sz w:val="20"/>
              </w:rPr>
              <w:t>（二）核心量化目标</w:t>
            </w:r>
          </w:p>
          <w:p>
            <w:pPr>
              <w:pStyle w:val="null3"/>
              <w:ind w:firstLine="400"/>
              <w:jc w:val="both"/>
            </w:pPr>
            <w:r>
              <w:rPr>
                <w:rFonts w:ascii="仿宋_GB2312" w:hAnsi="仿宋_GB2312" w:cs="仿宋_GB2312" w:eastAsia="仿宋_GB2312"/>
                <w:sz w:val="20"/>
              </w:rPr>
              <w:t>生态用水保障：立足本省流域特点，生态优先、优先配水，强化生态流量管控与统一调度，保障河湖基流稳定、水域可控。维护河湖生态健康，支撑美丽河湖建设目标实现。</w:t>
            </w:r>
          </w:p>
          <w:p>
            <w:pPr>
              <w:pStyle w:val="null3"/>
              <w:ind w:firstLine="400"/>
              <w:jc w:val="both"/>
            </w:pPr>
            <w:r>
              <w:rPr>
                <w:rFonts w:ascii="仿宋_GB2312" w:hAnsi="仿宋_GB2312" w:cs="仿宋_GB2312" w:eastAsia="仿宋_GB2312"/>
                <w:sz w:val="20"/>
              </w:rPr>
              <w:t>自然岸线率：通过实施生态复绿等措施，维持河流纵向连通性及水陆生态交错带功能。</w:t>
            </w:r>
          </w:p>
          <w:p>
            <w:pPr>
              <w:pStyle w:val="null3"/>
              <w:ind w:firstLine="400"/>
              <w:jc w:val="both"/>
            </w:pPr>
            <w:r>
              <w:rPr>
                <w:rFonts w:ascii="仿宋_GB2312" w:hAnsi="仿宋_GB2312" w:cs="仿宋_GB2312" w:eastAsia="仿宋_GB2312"/>
                <w:sz w:val="20"/>
              </w:rPr>
              <w:t>水生植物保护：通过遥感监测与现场调查相结合，核算评价水域内挺水、浮叶、沉水及漂浮植物的垂直投影面积占比。重点构建生态廊道，确保水生植被群落结构稳定，水体透明度显著提升。</w:t>
            </w:r>
          </w:p>
          <w:p>
            <w:pPr>
              <w:pStyle w:val="null3"/>
              <w:ind w:firstLine="400"/>
              <w:jc w:val="both"/>
            </w:pPr>
            <w:r>
              <w:rPr>
                <w:rFonts w:ascii="仿宋_GB2312" w:hAnsi="仿宋_GB2312" w:cs="仿宋_GB2312" w:eastAsia="仿宋_GB2312"/>
                <w:sz w:val="20"/>
              </w:rPr>
              <w:t>水生动物保护：通过实施一系列保护措施，使水生生物完整性指数等级实现从</w:t>
            </w:r>
            <w:r>
              <w:rPr>
                <w:rFonts w:ascii="仿宋_GB2312" w:hAnsi="仿宋_GB2312" w:cs="仿宋_GB2312" w:eastAsia="仿宋_GB2312"/>
                <w:sz w:val="20"/>
              </w:rPr>
              <w:t>“无鱼”到“差”、“较差”，并最终向“一般”、“良”乃至“优”的梯次提升。</w:t>
            </w:r>
          </w:p>
          <w:p>
            <w:pPr>
              <w:pStyle w:val="null3"/>
              <w:ind w:firstLine="400"/>
              <w:jc w:val="both"/>
            </w:pPr>
            <w:r>
              <w:rPr>
                <w:rFonts w:ascii="仿宋_GB2312" w:hAnsi="仿宋_GB2312" w:cs="仿宋_GB2312" w:eastAsia="仿宋_GB2312"/>
                <w:sz w:val="20"/>
              </w:rPr>
              <w:t>湖库营养状态及水华：近三年湖泊、水库未发生富营养化</w:t>
            </w:r>
            <w:r>
              <w:rPr>
                <w:rFonts w:ascii="仿宋_GB2312" w:hAnsi="仿宋_GB2312" w:cs="仿宋_GB2312" w:eastAsia="仿宋_GB2312"/>
                <w:sz w:val="20"/>
              </w:rPr>
              <w:t>(综合营养状态指数TLI(∑)≤50)无明显水华(水华面积比例〈10%)，且未被预警。</w:t>
            </w:r>
          </w:p>
          <w:p>
            <w:pPr>
              <w:pStyle w:val="null3"/>
              <w:ind w:firstLine="400"/>
              <w:jc w:val="both"/>
            </w:pPr>
            <w:r>
              <w:rPr>
                <w:rFonts w:ascii="仿宋_GB2312" w:hAnsi="仿宋_GB2312" w:cs="仿宋_GB2312" w:eastAsia="仿宋_GB2312"/>
                <w:sz w:val="20"/>
              </w:rPr>
              <w:t>地表水环境质量：近三年河湖国控、省控断面水质均达到或优于</w:t>
            </w:r>
            <w:r>
              <w:rPr>
                <w:rFonts w:ascii="仿宋_GB2312" w:hAnsi="仿宋_GB2312" w:cs="仿宋_GB2312" w:eastAsia="仿宋_GB2312"/>
                <w:sz w:val="20"/>
              </w:rPr>
              <w:t>Ⅲ类(自然因素影响除外)。</w:t>
            </w:r>
          </w:p>
          <w:p>
            <w:pPr>
              <w:pStyle w:val="null3"/>
              <w:ind w:firstLine="400"/>
              <w:jc w:val="both"/>
            </w:pPr>
            <w:r>
              <w:rPr>
                <w:rFonts w:ascii="仿宋_GB2312" w:hAnsi="仿宋_GB2312" w:cs="仿宋_GB2312" w:eastAsia="仿宋_GB2312"/>
                <w:sz w:val="20"/>
              </w:rPr>
              <w:t>（三）资金申报目标</w:t>
            </w:r>
          </w:p>
          <w:p>
            <w:pPr>
              <w:pStyle w:val="null3"/>
              <w:ind w:firstLine="400"/>
              <w:jc w:val="both"/>
            </w:pPr>
            <w:r>
              <w:rPr>
                <w:rFonts w:ascii="仿宋_GB2312" w:hAnsi="仿宋_GB2312" w:cs="仿宋_GB2312" w:eastAsia="仿宋_GB2312"/>
                <w:sz w:val="20"/>
              </w:rPr>
              <w:t>《西安市地表水保护治理项目实施方案》编制质量完全符合《中央财政水污染防治资金》申报各项要求，保障项目顺利纳入中央资金项目库、通过专家评审，成功获得中央财政资金支持，申报中央资金额度不低于项目总投资的</w:t>
            </w:r>
            <w:r>
              <w:rPr>
                <w:rFonts w:ascii="仿宋_GB2312" w:hAnsi="仿宋_GB2312" w:cs="仿宋_GB2312" w:eastAsia="仿宋_GB2312"/>
                <w:sz w:val="20"/>
              </w:rPr>
              <w:t>50%（符合国家竞争性评审相关要求）。</w:t>
            </w:r>
          </w:p>
          <w:p>
            <w:pPr>
              <w:pStyle w:val="null3"/>
              <w:ind w:left="420"/>
              <w:jc w:val="both"/>
            </w:pP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服务要求</w:t>
            </w:r>
          </w:p>
          <w:p>
            <w:pPr>
              <w:pStyle w:val="null3"/>
              <w:ind w:firstLine="400"/>
              <w:jc w:val="both"/>
            </w:pPr>
            <w:r>
              <w:rPr>
                <w:rFonts w:ascii="仿宋_GB2312" w:hAnsi="仿宋_GB2312" w:cs="仿宋_GB2312" w:eastAsia="仿宋_GB2312"/>
                <w:sz w:val="20"/>
              </w:rPr>
              <w:t>严格对标《美丽河湖保护与建设行动方案（</w:t>
            </w:r>
            <w:r>
              <w:rPr>
                <w:rFonts w:ascii="仿宋_GB2312" w:hAnsi="仿宋_GB2312" w:cs="仿宋_GB2312" w:eastAsia="仿宋_GB2312"/>
                <w:sz w:val="20"/>
              </w:rPr>
              <w:t>2025—2027 年）》《美丽河湖保护与建设参考指标（试行）》，实现国家美丽河湖评价指标体系全覆盖，数据口径、指标规范与国家要求完全一致。</w:t>
            </w:r>
          </w:p>
          <w:p>
            <w:pPr>
              <w:pStyle w:val="null3"/>
              <w:ind w:firstLine="400"/>
              <w:jc w:val="both"/>
            </w:pPr>
            <w:r>
              <w:rPr>
                <w:rFonts w:ascii="仿宋_GB2312" w:hAnsi="仿宋_GB2312" w:cs="仿宋_GB2312" w:eastAsia="仿宋_GB2312"/>
                <w:sz w:val="20"/>
              </w:rPr>
              <w:t>需完全满足《中央财政水污染防治资金》项目入库、专家评审、绩效评价各项要求，完整包含项目建设必要性、河湖现状评估、目标指标设定、重点治理任务、工程项目清单、投资估算、资金筹措方案、项目实施计划、保障措施、绩效目标设定、申报配套附件等全部内容。</w:t>
            </w:r>
          </w:p>
          <w:p>
            <w:pPr>
              <w:pStyle w:val="null3"/>
              <w:ind w:firstLine="400"/>
              <w:jc w:val="both"/>
            </w:pPr>
            <w:r>
              <w:rPr>
                <w:rFonts w:ascii="仿宋_GB2312" w:hAnsi="仿宋_GB2312" w:cs="仿宋_GB2312" w:eastAsia="仿宋_GB2312"/>
                <w:sz w:val="20"/>
              </w:rPr>
              <w:t>编制成果需顺利通过生态环境、财政等多部门联合审查，投标单位需全程配合完成《中央财政水污染防治资金》申报答辩、方案修改完善等工作，直至项目成功获批资金。</w:t>
            </w:r>
          </w:p>
          <w:p>
            <w:pPr>
              <w:pStyle w:val="null3"/>
              <w:ind w:left="420"/>
              <w:jc w:val="both"/>
            </w:pPr>
            <w:r>
              <w:rPr>
                <w:rFonts w:ascii="仿宋_GB2312" w:hAnsi="仿宋_GB2312" w:cs="仿宋_GB2312" w:eastAsia="仿宋_GB2312"/>
                <w:sz w:val="20"/>
              </w:rPr>
              <w:t>五、</w:t>
            </w:r>
            <w:r>
              <w:rPr>
                <w:rFonts w:ascii="仿宋_GB2312" w:hAnsi="仿宋_GB2312" w:cs="仿宋_GB2312" w:eastAsia="仿宋_GB2312"/>
                <w:sz w:val="20"/>
              </w:rPr>
              <w:t>商务要求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服务期限</w:t>
            </w:r>
            <w:r>
              <w:rPr>
                <w:rFonts w:ascii="仿宋_GB2312" w:hAnsi="仿宋_GB2312" w:cs="仿宋_GB2312" w:eastAsia="仿宋_GB2312"/>
                <w:sz w:val="20"/>
              </w:rPr>
              <w:t>：自合同签订之日起至</w:t>
            </w:r>
            <w:r>
              <w:rPr>
                <w:rFonts w:ascii="仿宋_GB2312" w:hAnsi="仿宋_GB2312" w:cs="仿宋_GB2312" w:eastAsia="仿宋_GB2312"/>
                <w:sz w:val="20"/>
              </w:rPr>
              <w:t>202</w:t>
            </w:r>
            <w:r>
              <w:rPr>
                <w:rFonts w:ascii="仿宋_GB2312" w:hAnsi="仿宋_GB2312" w:cs="仿宋_GB2312" w:eastAsia="仿宋_GB2312"/>
                <w:sz w:val="20"/>
              </w:rPr>
              <w:t>7</w:t>
            </w:r>
            <w:r>
              <w:rPr>
                <w:rFonts w:ascii="仿宋_GB2312" w:hAnsi="仿宋_GB2312" w:cs="仿宋_GB2312" w:eastAsia="仿宋_GB2312"/>
                <w:sz w:val="20"/>
              </w:rPr>
              <w:t>年</w:t>
            </w:r>
            <w:r>
              <w:rPr>
                <w:rFonts w:ascii="仿宋_GB2312" w:hAnsi="仿宋_GB2312" w:cs="仿宋_GB2312" w:eastAsia="仿宋_GB2312"/>
                <w:sz w:val="20"/>
              </w:rPr>
              <w:t>6</w:t>
            </w:r>
            <w:r>
              <w:rPr>
                <w:rFonts w:ascii="仿宋_GB2312" w:hAnsi="仿宋_GB2312" w:cs="仿宋_GB2312" w:eastAsia="仿宋_GB2312"/>
                <w:sz w:val="20"/>
              </w:rPr>
              <w:t>月</w:t>
            </w:r>
            <w:r>
              <w:rPr>
                <w:rFonts w:ascii="仿宋_GB2312" w:hAnsi="仿宋_GB2312" w:cs="仿宋_GB2312" w:eastAsia="仿宋_GB2312"/>
                <w:sz w:val="20"/>
              </w:rPr>
              <w:t>3</w:t>
            </w:r>
            <w:r>
              <w:rPr>
                <w:rFonts w:ascii="仿宋_GB2312" w:hAnsi="仿宋_GB2312" w:cs="仿宋_GB2312" w:eastAsia="仿宋_GB2312"/>
                <w:sz w:val="20"/>
              </w:rPr>
              <w:t>0</w:t>
            </w:r>
            <w:r>
              <w:rPr>
                <w:rFonts w:ascii="仿宋_GB2312" w:hAnsi="仿宋_GB2312" w:cs="仿宋_GB2312" w:eastAsia="仿宋_GB2312"/>
                <w:sz w:val="20"/>
              </w:rPr>
              <w:t>日之前完成。</w:t>
            </w:r>
          </w:p>
          <w:p>
            <w:pPr>
              <w:pStyle w:val="null3"/>
              <w:ind w:firstLine="400"/>
              <w:jc w:val="both"/>
            </w:pPr>
            <w:r>
              <w:rPr>
                <w:rFonts w:ascii="仿宋_GB2312" w:hAnsi="仿宋_GB2312" w:cs="仿宋_GB2312" w:eastAsia="仿宋_GB2312"/>
                <w:sz w:val="20"/>
              </w:rPr>
              <w:t>2、服务地点：采购人指定地点。</w:t>
            </w:r>
          </w:p>
          <w:p>
            <w:pPr>
              <w:pStyle w:val="null3"/>
              <w:ind w:firstLine="400"/>
              <w:jc w:val="both"/>
            </w:pPr>
            <w:r>
              <w:rPr>
                <w:rFonts w:ascii="仿宋_GB2312" w:hAnsi="仿宋_GB2312" w:cs="仿宋_GB2312" w:eastAsia="仿宋_GB2312"/>
                <w:sz w:val="20"/>
              </w:rPr>
              <w:t>3、验收、交付标准和方法：按照《关于进一步加强政府采购需求和履约验收管理的指导意见》（财库〔2016〕205号）等政府采购相关法律法规的要求组织验收，验收标准按采购文件规定的服务内容及要求、成交供应商的响应文件及承诺、合同约定标准以及行业规范标准进行验收。</w:t>
            </w:r>
          </w:p>
          <w:p>
            <w:pPr>
              <w:pStyle w:val="null3"/>
              <w:ind w:firstLine="400"/>
              <w:jc w:val="both"/>
            </w:pPr>
            <w:r>
              <w:rPr>
                <w:rFonts w:ascii="仿宋_GB2312" w:hAnsi="仿宋_GB2312" w:cs="仿宋_GB2312" w:eastAsia="仿宋_GB2312"/>
                <w:sz w:val="20"/>
              </w:rPr>
              <w:t>4、付款方式：</w:t>
            </w:r>
          </w:p>
          <w:p>
            <w:pPr>
              <w:pStyle w:val="null3"/>
              <w:ind w:firstLine="400"/>
              <w:jc w:val="left"/>
            </w:pPr>
            <w:r>
              <w:rPr>
                <w:rFonts w:ascii="仿宋_GB2312" w:hAnsi="仿宋_GB2312" w:cs="仿宋_GB2312" w:eastAsia="仿宋_GB2312"/>
                <w:sz w:val="20"/>
              </w:rPr>
              <w:t>甲方分三期支付给乙方：</w:t>
            </w:r>
          </w:p>
          <w:p>
            <w:pPr>
              <w:pStyle w:val="null3"/>
              <w:ind w:firstLine="400"/>
              <w:jc w:val="left"/>
            </w:pPr>
            <w:r>
              <w:rPr>
                <w:rFonts w:ascii="仿宋_GB2312" w:hAnsi="仿宋_GB2312" w:cs="仿宋_GB2312" w:eastAsia="仿宋_GB2312"/>
                <w:sz w:val="20"/>
              </w:rPr>
              <w:t>第一期，合同签订后</w:t>
            </w:r>
            <w:r>
              <w:rPr>
                <w:rFonts w:ascii="仿宋_GB2312" w:hAnsi="仿宋_GB2312" w:cs="仿宋_GB2312" w:eastAsia="仿宋_GB2312"/>
                <w:sz w:val="20"/>
              </w:rPr>
              <w:t>20 个工作日内，甲方向乙方支付合同总价款的30%；</w:t>
            </w:r>
          </w:p>
          <w:p>
            <w:pPr>
              <w:pStyle w:val="null3"/>
              <w:ind w:firstLine="400"/>
              <w:jc w:val="left"/>
            </w:pPr>
            <w:r>
              <w:rPr>
                <w:rFonts w:ascii="仿宋_GB2312" w:hAnsi="仿宋_GB2312" w:cs="仿宋_GB2312" w:eastAsia="仿宋_GB2312"/>
                <w:sz w:val="20"/>
              </w:rPr>
              <w:t>第二期，乙方完成项目可研、实施方案编制等甲方书面确定的内容，并通过中央资金</w:t>
            </w:r>
            <w:r>
              <w:rPr>
                <w:rFonts w:ascii="仿宋_GB2312" w:hAnsi="仿宋_GB2312" w:cs="仿宋_GB2312" w:eastAsia="仿宋_GB2312"/>
                <w:sz w:val="20"/>
              </w:rPr>
              <w:t>2027年省级评审，甲方向乙方支付合同总价款的50%；</w:t>
            </w:r>
          </w:p>
          <w:p>
            <w:pPr>
              <w:pStyle w:val="null3"/>
              <w:ind w:firstLine="400"/>
              <w:jc w:val="left"/>
            </w:pPr>
            <w:r>
              <w:rPr>
                <w:rFonts w:ascii="仿宋_GB2312" w:hAnsi="仿宋_GB2312" w:cs="仿宋_GB2312" w:eastAsia="仿宋_GB2312"/>
                <w:sz w:val="20"/>
              </w:rPr>
              <w:t>第三期，西安市美丽河湖保护与建设项目成功申报</w:t>
            </w:r>
            <w:r>
              <w:rPr>
                <w:rFonts w:ascii="仿宋_GB2312" w:hAnsi="仿宋_GB2312" w:cs="仿宋_GB2312" w:eastAsia="仿宋_GB2312"/>
                <w:sz w:val="20"/>
              </w:rPr>
              <w:t>2027年中央财政水污染防治资金后，甲方向乙方支付合同总价款的20%，乙方应继续按照甲方要求补充完善相关工作直至达到国家评审要求。</w:t>
            </w:r>
          </w:p>
          <w:p>
            <w:pPr>
              <w:pStyle w:val="null3"/>
              <w:ind w:firstLine="400"/>
              <w:jc w:val="left"/>
            </w:pPr>
            <w:r>
              <w:rPr>
                <w:rFonts w:ascii="仿宋_GB2312" w:hAnsi="仿宋_GB2312" w:cs="仿宋_GB2312" w:eastAsia="仿宋_GB2312"/>
                <w:sz w:val="20"/>
              </w:rPr>
              <w:t>所有款项均以银行转账方式支付，每次甲方付款前乙方提供对应数额的税务发票。</w:t>
            </w:r>
          </w:p>
          <w:p>
            <w:pPr>
              <w:pStyle w:val="null3"/>
              <w:ind w:left="420"/>
              <w:jc w:val="both"/>
            </w:pPr>
            <w:r>
              <w:rPr>
                <w:rFonts w:ascii="仿宋_GB2312" w:hAnsi="仿宋_GB2312" w:cs="仿宋_GB2312" w:eastAsia="仿宋_GB2312"/>
                <w:sz w:val="20"/>
              </w:rPr>
              <w:t>六、其他</w:t>
            </w:r>
            <w:r>
              <w:rPr>
                <w:rFonts w:ascii="仿宋_GB2312" w:hAnsi="仿宋_GB2312" w:cs="仿宋_GB2312" w:eastAsia="仿宋_GB2312"/>
                <w:sz w:val="20"/>
              </w:rPr>
              <w:t>要求</w:t>
            </w:r>
          </w:p>
          <w:p>
            <w:pPr>
              <w:pStyle w:val="null3"/>
              <w:ind w:firstLine="400"/>
              <w:jc w:val="both"/>
            </w:pPr>
            <w:r>
              <w:rPr>
                <w:rFonts w:ascii="仿宋_GB2312" w:hAnsi="仿宋_GB2312" w:cs="仿宋_GB2312" w:eastAsia="仿宋_GB2312"/>
                <w:sz w:val="20"/>
              </w:rPr>
              <w:t>1、供应商应保证所提供的服务或其任何一部分均不会侵犯任何第三方的专利权、商标权或著作权。</w:t>
            </w:r>
          </w:p>
          <w:p>
            <w:pPr>
              <w:pStyle w:val="null3"/>
              <w:ind w:firstLine="400"/>
              <w:jc w:val="both"/>
            </w:pPr>
            <w:r>
              <w:rPr>
                <w:rFonts w:ascii="仿宋_GB2312" w:hAnsi="仿宋_GB2312" w:cs="仿宋_GB2312" w:eastAsia="仿宋_GB2312"/>
                <w:sz w:val="20"/>
              </w:rPr>
              <w:t>2、报价要求：（1）成交供应商在项目实施期间，若上级主管部门对本项目的完成时间、工作内容和技术要求有调整和变化的，供应商应无条件按照新要求执行，满足采购人和上级主管部门对本项目的部署与要求，所需一切费用包含在本次磋商报价中。（2）项目总报价应当包括完成本项目可能发生的各项费用的总和，为包干费用，如人工费、成果编制费、仪器设备使用费、资料费、项目成果评审费、差旅费、保险费、管理费、招标代理服务费、税金等一切费用的体现，采购文件未列明而供应商认为其他必需的费用也须列入报价内。采购人不再另行支付成交金额以外的其他任何费用。</w:t>
            </w:r>
          </w:p>
          <w:p>
            <w:pPr>
              <w:pStyle w:val="null3"/>
              <w:ind w:firstLine="400"/>
              <w:jc w:val="both"/>
            </w:pPr>
            <w:r>
              <w:rPr>
                <w:rFonts w:ascii="仿宋_GB2312" w:hAnsi="仿宋_GB2312" w:cs="仿宋_GB2312" w:eastAsia="仿宋_GB2312"/>
                <w:sz w:val="20"/>
              </w:rPr>
              <w:t>3、违约责任与解决争议的方法：（1）供应商和采购人必须遵守本合同并执行合同中的各项规定，保证本合同的正常履行。（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解决争议的方法：（1）在执行本合同中发生的或与本合同有关的争端，双方应通过友好协商解决，经协商不能达成协议时，应提交采购人所在地人民法院诉讼解决。（2）在诉讼期间，乙方不得停止服务，并应保证政府采购合同的继续履行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自合同签订之日起至2027年6月30日之前完成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关于进一步加强政府采购需求和履约验收管理的指导意见》（财库〔2016〕205号）等政府采购相关法律法规的要求组织验收，验收标准按采购文件规定的服务内容及要求、成交供应商的响应文件及承诺、合同约定标准以及行业规范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第一期，合同签订后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第二期，乙方完成项目可研、实施方案编制等甲方书面确定的内容，并通过中央资金2027年省级评审</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第三期，西安市美丽河湖保护与建设项目成功申报2027年中央财政水污染防治资金后，乙方应继续按照甲方要求补充完善相关工作直至达到国家评审要求。所有款项均以银行转账方式支付，每次甲方付款前乙方提供对应数额的税务发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和采购人必须遵守本合同并执行合同中的各项规定，保证本合同的正常履行。（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解决争议的方法：（1）在执行本合同中发生的或与本合同有关的争端，双方应通过友好协商解决，经协商不能达成协议时，应提交采购人所在地人民法院诉讼解决。（2）在诉讼期间，乙方不得停止服务，并应保证政府采购合同的继续履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提供纸质文件①为顺利推进政府采购电子化交易平台应用工作，供应商需要在线提交所有通过电子化交易平台实施的政府采购项目的响应文件，同时，线下提交纸质响应文件正本壹份、副本贰份。②纸质响应文件正、副本分别胶装，标明供应商名称密封递交，递交截止时间同在线递交电子响应文件截止时间一致，递交地址：西安市未央区西安经济技术开发区凤城十二路首创禧悦里25幢A座16层（纸质响应文件可顺丰邮寄，邮件发出时间应在递交电子响应文件截止时间之前，邮寄地址：西安市未央区西安经济技术开发区凤城十二路首创禧悦里25幢A座16层，联系人：同秀秀，联系电话：13379211324）。③若电子响应文件与纸质响应文件不一致的，以电子响应文件为准。二、供应商的磋商报价是供应商响应磋商项目要求的全部工作内容的价格体现，包括供应商完成本项目所需的直接费、间接费、利润、税金及其它相关的一切费用。包括但不限于：人工费、设备费、管理费、验收费、采购代理服务费、利润和税金等全部费用。在提供服务的过程中的任何遗漏，均由成交供应商免费提供，采购人将不再支付任何费用。三、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2.评审过程中，除符合第1条规定情形外，若出现合格供应商少于3家时，采购人应依法重新组织采购活动。 五、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七、签名是指手写签名或者加盖姓名章(含电子签名或电子印章)，盖章是指加盖单位印章。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供应商需在项目电子化交易系统中按要求填写《响应函》完成承诺并进行电子签章。（1）供应商的营业执照等证明文件，自然人的身份证明； (2) 法定代表人（单位负责人）参加磋商的，提供本人身份证复印件；法定代表人（单位负责人）授权他人参加磋商的，提供法定代表人（单位负责人）委托授权书并出示被授权代表的身份证复印件； （3）供应商2025年5月至今已缴纳任意一个月任意税种纳税凭证或税务机关开具的完税证明（个人所得税除外），依法免税的应提供相关文件证明；（4）供应商2025年5月至今已缴存的任意一个月的社会保障资金缴存单据或社保机构开具的社会保险参保缴费情况证明，依法不需要缴纳社会保障资金的供应商应提供相关文件证明； （5）具有履行合同所必需的设备和专业技术能力的承诺；（6）参加本次采购前3年内，在经营活动中没有重大违法记录的书面声明。注：1、按照《中华人民共和国政府采购法》有关规定，采购代理机构依法对供应商的资格进行审查，并组建资格审查小组。 2、资格审查小组，由1名采购人代表和2名采购代理机构工作人员3人组成，采购代理机构项目经理担任资格审查小组组长。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经审计的财务会计报告或其提交响应文件截止时间前3个月内基本账户开户银行出具的资信证明。（以上形式的资料提供任何一种即可）要求： （1）供应商是企业法人的，应提供2024或2025全年度经审计的供应商财务报告，包括 “四表一注”即《资产负债表》《利润表》《现金流量表》《所有者权益变动表》及其附注，或者提交响应文件截止时间前3个月内基本账户开户银行出具的资信证明（附基本存款账户信息）； （2）供应商是执行《小企业会计准则》的小微企业的，应提供2024或2025全年度经审计的供应商财务报告，至少包括 《资产负债表》《利润表》《现金流量表》及其附注，或者提交响应文件截止时间前3个月内基本账户开户银行出具的资信证明（附基本存款账户信息）； （3）供应商是执行《事业单位会计准则》的事业单位法人的，应提供2024或2025全年度经审计的供应商财务报告，至少包括《资产负债表》《收入支出表或者收入费用表》《财政补助收入支出表》及其附注，或者提交响应文件截止时间前3个月内基本账户开户银行出具的资信证明（附基本存款账户信息）；（4）部分其他组织和自然人，提供提交响应文件截止时间前3个月内基本账户开户银行出具的资信证明（附账户信息）； （5）供应商是民办非企业单位的，应提供2024或2025全年度经审计的供应商财务报告，包括《资产负债表》《业务活动表》《现金流量表》及其附注或者提交响应文件截止时间前3个月内基本账户开户银行出具的资信证明（附账户信息）；（6）供应商成立不到1年（至提交响应文件截止时间）的，提供成立后任意一个月的资产负债表，或提交响应文件截止时间前3个月内基本账户开户银行出具的资信证明（附基本存款账户信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 号）文件中信用查询的要求； 经查询，供应商未被列入“信用中国”网站记录的“失信被执行人”或“重大税收违法案件当事人”名单；不处于“中国政府采购网”记录的“政府采购严重违法失信行为记录名单 ”中的禁止参加政府采购活动期间。</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供应商备案</w:t>
            </w:r>
          </w:p>
        </w:tc>
        <w:tc>
          <w:tcPr>
            <w:tcW w:type="dxa" w:w="3322"/>
          </w:tcPr>
          <w:p>
            <w:pPr>
              <w:pStyle w:val="null3"/>
            </w:pPr>
            <w:r>
              <w:rPr>
                <w:rFonts w:ascii="仿宋_GB2312" w:hAnsi="仿宋_GB2312" w:cs="仿宋_GB2312" w:eastAsia="仿宋_GB2312"/>
              </w:rPr>
              <w:t>供应商须在“全国投资项目在线审批监管平台”工程咨询单位名录备案。</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供应商名称与营业执照一致（合格）供应商名称与营业执照不一致（不合格）</w:t>
            </w:r>
          </w:p>
        </w:tc>
        <w:tc>
          <w:tcPr>
            <w:tcW w:type="dxa" w:w="1661"/>
          </w:tcPr>
          <w:p>
            <w:pPr>
              <w:pStyle w:val="null3"/>
            </w:pPr>
            <w:r>
              <w:rPr>
                <w:rFonts w:ascii="仿宋_GB2312" w:hAnsi="仿宋_GB2312" w:cs="仿宋_GB2312" w:eastAsia="仿宋_GB2312"/>
              </w:rPr>
              <w:t>响应文件封面 商务技术部分.pdf 中小企业声明函 残疾人福利性单位声明函 标的清单 报价表 响应函 资格证明文件.pdf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响应文件按采购文件要求的数量、计量单位、报价货币及签字盖章</w:t>
            </w:r>
          </w:p>
        </w:tc>
        <w:tc>
          <w:tcPr>
            <w:tcW w:type="dxa" w:w="3322"/>
          </w:tcPr>
          <w:p>
            <w:pPr>
              <w:pStyle w:val="null3"/>
            </w:pPr>
            <w:r>
              <w:rPr>
                <w:rFonts w:ascii="仿宋_GB2312" w:hAnsi="仿宋_GB2312" w:cs="仿宋_GB2312" w:eastAsia="仿宋_GB2312"/>
              </w:rPr>
              <w:t>响应文件按采购文件要求的数量、计量单位、报价货币及签字盖章（合格）响应文件未按采购文件要求的数量、计量单位、报价货币及签字盖章（不合格）</w:t>
            </w:r>
          </w:p>
        </w:tc>
        <w:tc>
          <w:tcPr>
            <w:tcW w:type="dxa" w:w="1661"/>
          </w:tcPr>
          <w:p>
            <w:pPr>
              <w:pStyle w:val="null3"/>
            </w:pPr>
            <w:r>
              <w:rPr>
                <w:rFonts w:ascii="仿宋_GB2312" w:hAnsi="仿宋_GB2312" w:cs="仿宋_GB2312" w:eastAsia="仿宋_GB2312"/>
              </w:rPr>
              <w:t>商务技术部分.pdf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响应有效期满足采购文件要求</w:t>
            </w:r>
          </w:p>
        </w:tc>
        <w:tc>
          <w:tcPr>
            <w:tcW w:type="dxa" w:w="3322"/>
          </w:tcPr>
          <w:p>
            <w:pPr>
              <w:pStyle w:val="null3"/>
            </w:pPr>
            <w:r>
              <w:rPr>
                <w:rFonts w:ascii="仿宋_GB2312" w:hAnsi="仿宋_GB2312" w:cs="仿宋_GB2312" w:eastAsia="仿宋_GB2312"/>
              </w:rPr>
              <w:t>响应有效期满足采购文件要求（合格）响应有效期不满足采购文件要求（不合格）</w:t>
            </w:r>
          </w:p>
        </w:tc>
        <w:tc>
          <w:tcPr>
            <w:tcW w:type="dxa" w:w="1661"/>
          </w:tcPr>
          <w:p>
            <w:pPr>
              <w:pStyle w:val="null3"/>
            </w:pPr>
            <w:r>
              <w:rPr>
                <w:rFonts w:ascii="仿宋_GB2312" w:hAnsi="仿宋_GB2312" w:cs="仿宋_GB2312" w:eastAsia="仿宋_GB2312"/>
              </w:rPr>
              <w:t>商务技术部分.pdf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商务响应满足第三章3.3商务要求（合格），任意一条不满足（不合格）</w:t>
            </w:r>
          </w:p>
        </w:tc>
        <w:tc>
          <w:tcPr>
            <w:tcW w:type="dxa" w:w="1661"/>
          </w:tcPr>
          <w:p>
            <w:pPr>
              <w:pStyle w:val="null3"/>
            </w:pPr>
            <w:r>
              <w:rPr>
                <w:rFonts w:ascii="仿宋_GB2312" w:hAnsi="仿宋_GB2312" w:cs="仿宋_GB2312" w:eastAsia="仿宋_GB2312"/>
              </w:rPr>
              <w:t>响应文件封面 商务技术部分.pdf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符合法律、法规和采购文件中规定的其他实质性要求</w:t>
            </w:r>
          </w:p>
        </w:tc>
        <w:tc>
          <w:tcPr>
            <w:tcW w:type="dxa" w:w="3322"/>
          </w:tcPr>
          <w:p>
            <w:pPr>
              <w:pStyle w:val="null3"/>
            </w:pPr>
            <w:r>
              <w:rPr>
                <w:rFonts w:ascii="仿宋_GB2312" w:hAnsi="仿宋_GB2312" w:cs="仿宋_GB2312" w:eastAsia="仿宋_GB2312"/>
              </w:rPr>
              <w:t>符合法律、法规和采购文件中规定的其他实质性要求（合格）不符合法律、法规和采购文件中规定的其他实质性要求（不合格）</w:t>
            </w:r>
          </w:p>
        </w:tc>
        <w:tc>
          <w:tcPr>
            <w:tcW w:type="dxa" w:w="1661"/>
          </w:tcPr>
          <w:p>
            <w:pPr>
              <w:pStyle w:val="null3"/>
            </w:pPr>
            <w:r>
              <w:rPr>
                <w:rFonts w:ascii="仿宋_GB2312" w:hAnsi="仿宋_GB2312" w:cs="仿宋_GB2312" w:eastAsia="仿宋_GB2312"/>
              </w:rPr>
              <w:t>响应文件封面 商务技术部分.pdf 中小企业声明函 残疾人福利性单位声明函 标的清单 报价表 响应函 资格证明文件.pdf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项目政策背景理解</w:t>
            </w:r>
          </w:p>
        </w:tc>
        <w:tc>
          <w:tcPr>
            <w:tcW w:type="dxa" w:w="2492"/>
          </w:tcPr>
          <w:p>
            <w:pPr>
              <w:pStyle w:val="null3"/>
            </w:pPr>
            <w:r>
              <w:rPr>
                <w:rFonts w:ascii="仿宋_GB2312" w:hAnsi="仿宋_GB2312" w:cs="仿宋_GB2312" w:eastAsia="仿宋_GB2312"/>
              </w:rPr>
              <w:t>一、评审内容 供应商提供针对本项目实施的相关政策及背景的理解。 二、评审标准 1、完整性：完全掌握本项目实施的相关政策及背景，理解全面； 2、科学性：内容紧扣项目实际情况，逻辑完整、科学合理。 三、赋分依据 每完全满足一个评审标准得2.0分，每基本满足一个评审标准得1.0分，不满足或未提供不得分，满分4.0分。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供应商针对本项目制定整体服务方案。包括①服务目标、内容及标准②服务方法及策略③人员组织安排④配合验收方案。 二、评审标准 1、完整性：内容须全面，对评审内容中的各项要求描述详细； 2、可实施性：切合本项目实际情况，实施步骤清晰、合理； 3、针对性：能够紧扣项目实际情况，内容科学合理。 三、赋分依据 ①服务目标、内容及标准：每完全满足一个评审标准得2.0分，每基本满足一个评审标准得1.0分，不满足或未提供不得分，满分6分； ②服务方法及策略：每完全满足一个评审标准得2.0分，每基本满足一个评审标准得1.0分，不满足或未提供不得分，满分6分； ③人员组织安排：每完全满足一个评审标准得2.0分，每基本满足一个评审标准得1.0分，不满足或未提供不得分，满分6分； ④配合验收方案：每完全满足一个评审标准得2.0分，每基本满足一个评审标准得1.0分，不满足或未提供不得分，满分6分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一、评审内容 供应商针对本项目制作各阶段工作流程。包括①前期准备②报告编制③报告审核、修改与最终上报。 二、评审标准 1、完整性：内容须全面，对评审内容中的各项要求描述详细； 2、可实施性：切合本项目实际情况，实施步骤清晰、合理； 3、针对性：能够紧扣项目实际情况，内容科学合理。 三、赋分依据 ①前期准备：每完全满足一个评审标准得1分，每基本满足一个评审标准得0.5分，不满足或未提供不得分，满分3分； ②报告编制：每完全满足一个评审标准得1分，每基本满足一个评审标准得0.5分，不满足或未提供不得分，满分3分； ③报告审核、修改与最终上报：每完全满足一个评审标准得1分，每基本满足一个评审标准得0.5分，不满足或未提供不得分，满分3分。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进度保障</w:t>
            </w:r>
          </w:p>
        </w:tc>
        <w:tc>
          <w:tcPr>
            <w:tcW w:type="dxa" w:w="2492"/>
          </w:tcPr>
          <w:p>
            <w:pPr>
              <w:pStyle w:val="null3"/>
            </w:pPr>
            <w:r>
              <w:rPr>
                <w:rFonts w:ascii="仿宋_GB2312" w:hAnsi="仿宋_GB2312" w:cs="仿宋_GB2312" w:eastAsia="仿宋_GB2312"/>
              </w:rPr>
              <w:t>一、评审内容 供应商针对本项目制定进度保障方案。包括①编制进度安排及保障措施②突发情况的应急措施。 二、评审标准 1、完整性：内容须全面，对评审内容中的各项要求描述详细； 2、可实施性：切合本项目实际情况，实施步骤清晰、合理； 3、针对性：能够紧扣项目实际情况，内容科学合理。 三、赋分依据 ①编制进度安排及保障措施：每完全满足一个评审标准得1分，每基本满足一个评审标准得0.5分，不满足或未提供不得分，满分3分； ②突发情况的应急措施：每完全满足一个评审标准得1分，每基本满足一个评审标准得0.5分，不满足或未提供不得分，满分3分。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供应商针对本项目制定质量保障方案。包括①质量规划、目标②保障措施③未达到质量标准的改进措施。 二、评审标准 1、完整性：内容须全面，对评审内容中的各项要求描述详细； 2、可实施性：切合本项目实际情况，实施步骤清晰、合理； 3、针对性：能够紧扣项目实际情况，内容科学合理。 三、赋分依据 ①质量规划、目标：每完全满足一个评审标准得1分，每基本满足一个评审标准得0.5分，不满足或未提供不得分，满分3分； ②保障措施：每完全满足一个评审标准得1分，每基本满足一个评审标准得0.5分，不满足或未提供不得分，满分3分； ③未达到质量标准的改进措施：每完全满足一个评审标准得1分，每基本满足一个评审标准得0.5分，不满足或未提供不得分，满分3分。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一、评审内容 供应商针对本项目报告编制进行重难点分析。包括①重难点分析 ②对应解决方案。 二、评审标准 1、完整性：内容须全面，对评审内容中的各项要求描述详细； 2、可实施性：切合本项目实际情况，实施步骤清晰、合理； 3、针对性：能够紧扣项目实际情况，内容科学合理。 三、赋分依据 ①重难点分析：每完全满足一个评审标准得1分，每基本满足一个评审标准得0.5分，不满足或未提供不得分，满分3分； ②对应解决方案：每完全满足一个评审标准得1分，每基本满足一个评审标准得0.5分，不满足或未提供不得分，满分3分。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供应商针对本项目获悉的采购人相关信息制定完整可行的保密措施，具备完善的内部保密制度。包括①制度建设②保密措施。 二、评审标准 1、完整性：内容须全面，对评审内容中的各项要求描述详细； 2、可实施性：切合本项目实际情况，实施步骤清晰、合理； 3、针对性：能够紧扣项目实际情况，内容科学合理。 三、赋分依据 ①制度建设：每完全满足一个评审标准得1分，每基本满足一个评审标准得0.5分，不满足或未提供不得分，满分3分； ②保密措施：每完全满足一个评审标准得1分，每基本满足一个评审标准得0.5分，不满足或未提供不得分，满分3分。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成果交付资料</w:t>
            </w:r>
          </w:p>
        </w:tc>
        <w:tc>
          <w:tcPr>
            <w:tcW w:type="dxa" w:w="2492"/>
          </w:tcPr>
          <w:p>
            <w:pPr>
              <w:pStyle w:val="null3"/>
            </w:pPr>
            <w:r>
              <w:rPr>
                <w:rFonts w:ascii="仿宋_GB2312" w:hAnsi="仿宋_GB2312" w:cs="仿宋_GB2312" w:eastAsia="仿宋_GB2312"/>
              </w:rPr>
              <w:t>一、评审内容 供应商提供针对本项目的成果交付资料应真实、有效，符合采购人要求。若未达到采购人标准，提供具体的改进措施。 二、评审标准 1、完整性：内容须全面，对评审内容中的各项要求描述详细； 2、可实施性：切合本项目实际情况，实施步骤清晰、合理； 3、针对性：能够紧扣项目实际情况，内容科学合理。 三、赋分依据 每完全满足一个评审标准得1分，每基本满足一个评审标准得0.5分，不满足或未提供不得分，满分3分。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项目配备人员①具有相关专业正高级职称1人得2.0分； ②具备相关专业高级职称1人得1.0分。最高得10分。 （配备人员需提供身份证、学历证、本单位缴纳社保证明、职称证等相关证明材料，未提供或提供资料不完整的不得分。）注：供应商承诺，如若成交，服务团队人员不得随意更换。若因不可抗力因素，确需更换，要求至少提前7个工作日以书面形式通知采购人，并将拟更换的人员个人资料一并上报，经采购人审核同意后，方可更换。提供此承诺计1分，未提供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供应商承诺①配合相关验收工作，达到有关主管部门审批要求，负责配合采购人将成果上报有关主管部门并获得批准通过。②服务成果的相关资料知识产权归采购人所有。 每提供上述一个承诺计1分，共2分。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供应商从2023年1月1日以来（以合同签订日期为准）类似项目业绩，每提供一个1个计2分，最高得10分。 注：响应文件需要同时提供合同首页、服务内容页、盖章页复印件并加盖供应商公章，时间以合同签订时间为准，否则不得分。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提供项目具体成本测算等与报价合理性相关的书面说明及必要的证明材料，包括但不限于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磋商评审价为磋商基准价，其磋商报价为满分。供应商的磋商报价得分，统一按照下列公式计算：磋商评审价=磋商报价×（1-磋商报价扣除幅度），磋商报价得分=(评审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政府采购促进中小企业发展管理办法》的相关规定，对小型和微型企业的价格给予10%的扣除，用扣除后的价格参与评审。（2）根据《财政部民政部中国残疾人联合会关于促进残疾人就业政府采购政策的通知》（财库[2017]141号）的规定，对符合条件的残疾人福利性单位产品的价格给予10%的扣除，用扣除后的价格参与评审。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详见附件：商务技术部分.pdf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