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版本号：DZDL-2026-028Z.1B120260708001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参加全国全省比赛(二次)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DZDL-2026-028Z.1B1</w:t>
      </w:r>
      <w:r>
        <w:br/>
      </w:r>
      <w:r>
        <w:br/>
      </w:r>
      <w:r>
        <w:br/>
      </w:r>
    </w:p>
    <w:p>
      <w:pPr>
        <w:pStyle w:val="null3"/>
        <w:jc w:val="center"/>
        <w:outlineLvl w:val="2"/>
      </w:pPr>
      <w:r>
        <w:rPr>
          <w:rFonts w:ascii="仿宋_GB2312" w:hAnsi="仿宋_GB2312" w:cs="仿宋_GB2312" w:eastAsia="仿宋_GB2312"/>
          <w:sz w:val="28"/>
          <w:b/>
        </w:rPr>
        <w:t>西安市举重摔跤柔道运动管理中心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西安市举重摔跤柔道运动管理中心</w:t>
      </w:r>
      <w:r>
        <w:rPr>
          <w:rFonts w:ascii="仿宋_GB2312" w:hAnsi="仿宋_GB2312" w:cs="仿宋_GB2312" w:eastAsia="仿宋_GB2312"/>
        </w:rPr>
        <w:t>委托，拟对</w:t>
      </w:r>
      <w:r>
        <w:rPr>
          <w:rFonts w:ascii="仿宋_GB2312" w:hAnsi="仿宋_GB2312" w:cs="仿宋_GB2312" w:eastAsia="仿宋_GB2312"/>
        </w:rPr>
        <w:t>参加全国全省比赛(二次)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DZDL-2026-028Z.1B1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参加全国全省比赛(二次)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西安市举重摔跤柔道运动管理中心拟采购一批参加全国全省比赛用服装，本次采购为其中的专项服采购。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采购包1（专项服）：属于专门面向中小企业采购。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西安市举重摔跤柔道运动管理中心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经计算不足6000的，按6000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西安市举重摔跤柔道运动管理中心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西安市举重摔跤柔道运动管理中心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西安市举重摔跤柔道运动管理中心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本次采购项目磋商文件、响应文件、样品（如有）、澄清表（函）；合同及附件文本；合同签订时的国家及行业现行的标准和技术规范。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西安市举重摔跤柔道运动管理中心拟采购一批参加全国全省比赛用服装，本次采购为其中的专项服采购。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专项服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标的名称：专项服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color w:val="000000"/>
              </w:rPr>
              <w:t>专项服</w:t>
            </w:r>
            <w:r>
              <w:rPr>
                <w:rFonts w:ascii="仿宋_GB2312" w:hAnsi="仿宋_GB2312" w:cs="仿宋_GB2312" w:eastAsia="仿宋_GB2312"/>
                <w:sz w:val="32"/>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94"/>
              <w:gridCol w:w="268"/>
              <w:gridCol w:w="181"/>
              <w:gridCol w:w="176"/>
              <w:gridCol w:w="1733"/>
            </w:tblGrid>
            <w:tr>
              <w:tc>
                <w:tcPr>
                  <w:tcW w:type="dxa" w:w="194"/>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柔道服</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1、上衣材质：100%棉，梭织/不起绒，800～950g/m²（±5%），抗拉≥2200N；裤子材质：≥80%棉、≤20%聚酯纤维，梭织/不起绒，300～550g/m²，达到GB 18401-2010 《国家纺织产品基本安全技术规范》 B类及以上标准。</w:t>
                  </w:r>
                </w:p>
                <w:p>
                  <w:pPr>
                    <w:pStyle w:val="null3"/>
                    <w:jc w:val="both"/>
                  </w:pPr>
                  <w:r>
                    <w:rPr>
                      <w:rFonts w:ascii="仿宋_GB2312" w:hAnsi="仿宋_GB2312" w:cs="仿宋_GB2312" w:eastAsia="仿宋_GB2312"/>
                      <w:sz w:val="21"/>
                    </w:rPr>
                    <w:t>2、安全标准：达到GB 18401-2010 《国家纺织产品基本安全技术规范》 B类及以上标准；</w:t>
                  </w:r>
                  <w:r>
                    <w:br/>
                  </w:r>
                  <w:r>
                    <w:rPr>
                      <w:rFonts w:ascii="仿宋_GB2312" w:hAnsi="仿宋_GB2312" w:cs="仿宋_GB2312" w:eastAsia="仿宋_GB2312"/>
                      <w:sz w:val="21"/>
                    </w:rPr>
                    <w:t>3、功能：柔道服上衣要求竹节布加菱形布，纱支为10/6+10/2×10/2；密度是26+52×60平方米，克重550克车格布纱支10/4+21/2×21/2,密度是16+84×84，</w:t>
                  </w:r>
                  <w:r>
                    <w:rPr>
                      <w:rFonts w:ascii="仿宋_GB2312" w:hAnsi="仿宋_GB2312" w:cs="仿宋_GB2312" w:eastAsia="仿宋_GB2312"/>
                      <w:sz w:val="21"/>
                    </w:rPr>
                    <w:t>柔道服上衣均有肩条。</w:t>
                  </w:r>
                  <w:r>
                    <w:br/>
                  </w:r>
                  <w:r>
                    <w:rPr>
                      <w:rFonts w:ascii="仿宋_GB2312" w:hAnsi="仿宋_GB2312" w:cs="仿宋_GB2312" w:eastAsia="仿宋_GB2312"/>
                      <w:sz w:val="21"/>
                    </w:rPr>
                    <w:t>4、工艺：</w:t>
                  </w:r>
                  <w:r>
                    <w:rPr>
                      <w:rFonts w:ascii="仿宋_GB2312" w:hAnsi="仿宋_GB2312" w:cs="仿宋_GB2312" w:eastAsia="仿宋_GB2312"/>
                      <w:sz w:val="21"/>
                    </w:rPr>
                    <w:t>前幅后背内有原身布贴，后中三针锁链底线，压线顺直平整；袖口高</w:t>
                  </w:r>
                  <w:r>
                    <w:rPr>
                      <w:rFonts w:ascii="仿宋_GB2312" w:hAnsi="仿宋_GB2312" w:cs="仿宋_GB2312" w:eastAsia="仿宋_GB2312"/>
                      <w:sz w:val="21"/>
                    </w:rPr>
                    <w:t>3cm内贴有斜纹梳织布车三行线，上下中腰内分别用斜纹梳织布贴布车平顺，压三行线，压线均匀； 下节两侧而开叉，叉边是斜纹梳织拉捆包边，车三角形固定加固防止撕裂；上衣门襟由层布加固，门襟4cm宽，车线4条，压线均匀平直。裤子前腰有一个原身布耳仔，裤头高3cm单针返折压线，裤头穿绳，前幅由两内贴，两边各压两条直线，防止走位及外形自然舒适，脚口内贴由原身布拉捆压线。</w:t>
                  </w:r>
                  <w:r>
                    <w:br/>
                  </w:r>
                  <w:r>
                    <w:rPr>
                      <w:rFonts w:ascii="仿宋_GB2312" w:hAnsi="仿宋_GB2312" w:cs="仿宋_GB2312" w:eastAsia="仿宋_GB2312"/>
                      <w:sz w:val="21"/>
                    </w:rPr>
                    <w:t>5、腰带：</w:t>
                  </w:r>
                  <w:r>
                    <w:rPr>
                      <w:rFonts w:ascii="仿宋_GB2312" w:hAnsi="仿宋_GB2312" w:cs="仿宋_GB2312" w:eastAsia="仿宋_GB2312"/>
                      <w:sz w:val="21"/>
                    </w:rPr>
                    <w:t>腰带采用黑色斜纹</w:t>
                  </w:r>
                  <w:r>
                    <w:rPr>
                      <w:rFonts w:ascii="仿宋_GB2312" w:hAnsi="仿宋_GB2312" w:cs="仿宋_GB2312" w:eastAsia="仿宋_GB2312"/>
                      <w:sz w:val="21"/>
                    </w:rPr>
                    <w:t>，</w:t>
                  </w:r>
                  <w:r>
                    <w:rPr>
                      <w:rFonts w:ascii="仿宋_GB2312" w:hAnsi="仿宋_GB2312" w:cs="仿宋_GB2312" w:eastAsia="仿宋_GB2312"/>
                      <w:sz w:val="21"/>
                    </w:rPr>
                    <w:t>100%纯棉里料填充。内层由棉与三层布缝合而成，车线为10条直线压线面成，压线直而顺。</w:t>
                  </w:r>
                </w:p>
                <w:p>
                  <w:pPr>
                    <w:pStyle w:val="null3"/>
                    <w:jc w:val="both"/>
                  </w:pPr>
                  <w:r>
                    <w:rPr>
                      <w:rFonts w:ascii="仿宋_GB2312" w:hAnsi="仿宋_GB2312" w:cs="仿宋_GB2312" w:eastAsia="仿宋_GB2312"/>
                      <w:sz w:val="21"/>
                    </w:rPr>
                    <w:t>7、尺码：00#-5.5#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摔跤服</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1、材质：≤85%锦纶、 ≥15%氨纶，≤200±3g/m²。</w:t>
                  </w:r>
                </w:p>
                <w:p>
                  <w:pPr>
                    <w:pStyle w:val="null3"/>
                    <w:jc w:val="both"/>
                  </w:pPr>
                  <w:r>
                    <w:rPr>
                      <w:rFonts w:ascii="仿宋_GB2312" w:hAnsi="仿宋_GB2312" w:cs="仿宋_GB2312" w:eastAsia="仿宋_GB2312"/>
                      <w:sz w:val="21"/>
                    </w:rPr>
                    <w:t>2、安全标准：达到GB 18401-2010 《国家纺织产品基本安全技术规范》 B类及以上标准。</w:t>
                  </w:r>
                  <w:r>
                    <w:br/>
                  </w:r>
                  <w:r>
                    <w:rPr>
                      <w:rFonts w:ascii="仿宋_GB2312" w:hAnsi="仿宋_GB2312" w:cs="仿宋_GB2312" w:eastAsia="仿宋_GB2312"/>
                      <w:sz w:val="21"/>
                    </w:rPr>
                    <w:t>3、功能：连体摔跤服，男侧开口大有效散热，女侧开口小防走光，透气面料，舒适贴身、高弹力。</w:t>
                  </w:r>
                  <w:r>
                    <w:br/>
                  </w:r>
                  <w:r>
                    <w:rPr>
                      <w:rFonts w:ascii="仿宋_GB2312" w:hAnsi="仿宋_GB2312" w:cs="仿宋_GB2312" w:eastAsia="仿宋_GB2312"/>
                      <w:sz w:val="21"/>
                    </w:rPr>
                    <w:t>4、工艺：工字背开口设计自由无束缚，各种动作轻松驾驭，透气面料布料光滑，柔软轻肤，舒适贴身透气易整理，高弹力面料灵活伸展灵活自如；贴身连体背心款，专业比赛摔跤服，吸汗透气，具有排汗散热，结实耐磨，柔软舒适，耐撕扯，防破裂等特性，高弹拉力，可拉伸5-8倍，拉伸后迅速回弹，穿着无压迫感；适合专业摔跤训练、比赛服装。</w:t>
                  </w:r>
                  <w:r>
                    <w:br/>
                  </w:r>
                  <w:r>
                    <w:rPr>
                      <w:rFonts w:ascii="仿宋_GB2312" w:hAnsi="仿宋_GB2312" w:cs="仿宋_GB2312" w:eastAsia="仿宋_GB2312"/>
                      <w:sz w:val="21"/>
                    </w:rPr>
                    <w:t>5、颜色：每套服装含红色、蓝色各一件</w:t>
                  </w:r>
                  <w:r>
                    <w:br/>
                  </w:r>
                  <w:r>
                    <w:rPr>
                      <w:rFonts w:ascii="仿宋_GB2312" w:hAnsi="仿宋_GB2312" w:cs="仿宋_GB2312" w:eastAsia="仿宋_GB2312"/>
                      <w:sz w:val="21"/>
                    </w:rPr>
                    <w:t>6、尺码：XS-7XL</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举重服</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1、材质：≥80%锦纶、≤20%氨纶。</w:t>
                  </w:r>
                </w:p>
                <w:p>
                  <w:pPr>
                    <w:pStyle w:val="null3"/>
                    <w:jc w:val="both"/>
                  </w:pPr>
                  <w:r>
                    <w:rPr>
                      <w:rFonts w:ascii="仿宋_GB2312" w:hAnsi="仿宋_GB2312" w:cs="仿宋_GB2312" w:eastAsia="仿宋_GB2312"/>
                      <w:sz w:val="21"/>
                    </w:rPr>
                    <w:t>2、安全标准：达到GB 18401-2010 《国家纺织产品基本安全技术规范》 B类及以上标准。</w:t>
                  </w:r>
                </w:p>
                <w:p>
                  <w:pPr>
                    <w:pStyle w:val="null3"/>
                    <w:jc w:val="both"/>
                  </w:pPr>
                  <w:r>
                    <w:rPr>
                      <w:rFonts w:ascii="仿宋_GB2312" w:hAnsi="仿宋_GB2312" w:cs="仿宋_GB2312" w:eastAsia="仿宋_GB2312"/>
                      <w:sz w:val="21"/>
                    </w:rPr>
                    <w:t>3、功能：连体举重服，男侧开口大有效散热，女侧开口小防走光，透气面料，舒适贴身、高弹力。</w:t>
                  </w:r>
                </w:p>
                <w:p>
                  <w:pPr>
                    <w:pStyle w:val="null3"/>
                    <w:jc w:val="both"/>
                  </w:pPr>
                  <w:r>
                    <w:rPr>
                      <w:rFonts w:ascii="仿宋_GB2312" w:hAnsi="仿宋_GB2312" w:cs="仿宋_GB2312" w:eastAsia="仿宋_GB2312"/>
                      <w:sz w:val="21"/>
                    </w:rPr>
                    <w:t>4、工艺：工字背开口设计自由无束缚，各种动作轻松驾驭，透气面料布料光滑，柔软轻肤，舒适贴身透气易整理，高弹力面料灵活伸展灵活自如；贴身连体背心款，专业比赛举重服，吸汗透气，具有排汗散热，结实耐磨，柔软舒适，耐撕扯，防破裂等特性，高弹拉力，可拉伸5-8倍，拉伸后迅速回弹，穿着无压迫感；适合专业举重训练、比赛服装。</w:t>
                  </w:r>
                </w:p>
                <w:p>
                  <w:pPr>
                    <w:pStyle w:val="null3"/>
                    <w:jc w:val="both"/>
                  </w:pPr>
                  <w:r>
                    <w:rPr>
                      <w:rFonts w:ascii="仿宋_GB2312" w:hAnsi="仿宋_GB2312" w:cs="仿宋_GB2312" w:eastAsia="仿宋_GB2312"/>
                      <w:sz w:val="21"/>
                    </w:rPr>
                    <w:t>5、颜色：红色、蓝色</w:t>
                  </w:r>
                </w:p>
                <w:p>
                  <w:pPr>
                    <w:pStyle w:val="null3"/>
                    <w:jc w:val="both"/>
                  </w:pPr>
                  <w:r>
                    <w:rPr>
                      <w:rFonts w:ascii="仿宋_GB2312" w:hAnsi="仿宋_GB2312" w:cs="仿宋_GB2312" w:eastAsia="仿宋_GB2312"/>
                      <w:sz w:val="21"/>
                    </w:rPr>
                    <w:t>6、尺码：XS-5XL</w:t>
                  </w:r>
                </w:p>
              </w:tc>
            </w:tr>
            <w:tr>
              <w:tc>
                <w:tcPr>
                  <w:tcW w:type="dxa" w:w="19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摔跤鞋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面料：耐磨超纤皮</w:t>
                  </w:r>
                  <w:r>
                    <w:rPr>
                      <w:rFonts w:ascii="仿宋_GB2312" w:hAnsi="仿宋_GB2312" w:cs="仿宋_GB2312" w:eastAsia="仿宋_GB2312"/>
                      <w:sz w:val="21"/>
                    </w:rPr>
                    <w:t>/透气网，透气网面舒适、干爽。</w:t>
                  </w:r>
                  <w:r>
                    <w:br/>
                  </w:r>
                  <w:r>
                    <w:rPr>
                      <w:rFonts w:ascii="仿宋_GB2312" w:hAnsi="仿宋_GB2312" w:cs="仿宋_GB2312" w:eastAsia="仿宋_GB2312"/>
                      <w:sz w:val="21"/>
                    </w:rPr>
                    <w:t>2、鞋底：软底防滑橡胶底，轻盈、舒适、防滑、耐磨。</w:t>
                  </w:r>
                  <w:r>
                    <w:br/>
                  </w:r>
                  <w:r>
                    <w:rPr>
                      <w:rFonts w:ascii="仿宋_GB2312" w:hAnsi="仿宋_GB2312" w:cs="仿宋_GB2312" w:eastAsia="仿宋_GB2312"/>
                      <w:sz w:val="21"/>
                    </w:rPr>
                    <w:t>3、性能：接缝强度≥15N/mm，防滑试验动摩擦系数（干态）≥0.8；折后不得出现帮面裂面；底墙、帮底、鞋底开胶≤5.0mm；折后鞋底出现裂纹不得超过3处,且最长裂纹长度&lt;5.0mm；鞋底不得出现涂色脱落；有气(液)垫的鞋折后气(液)垫不应出现漏气(液)、瘪塌现象；外底磨痕长度（非泡发材料）≤12mm。</w:t>
                  </w:r>
                </w:p>
                <w:p>
                  <w:pPr>
                    <w:pStyle w:val="null3"/>
                    <w:jc w:val="both"/>
                  </w:pPr>
                  <w:r>
                    <w:rPr>
                      <w:rFonts w:ascii="仿宋_GB2312" w:hAnsi="仿宋_GB2312" w:cs="仿宋_GB2312" w:eastAsia="仿宋_GB2312"/>
                      <w:sz w:val="21"/>
                    </w:rPr>
                    <w:t>4、适合专业摔跤训练、比赛鞋。</w:t>
                  </w:r>
                  <w:r>
                    <w:br/>
                  </w:r>
                  <w:r>
                    <w:rPr>
                      <w:rFonts w:ascii="仿宋_GB2312" w:hAnsi="仿宋_GB2312" w:cs="仿宋_GB2312" w:eastAsia="仿宋_GB2312"/>
                      <w:sz w:val="21"/>
                    </w:rPr>
                    <w:t>5、颜色：红色、蓝色、黑色</w:t>
                  </w:r>
                </w:p>
                <w:p>
                  <w:pPr>
                    <w:pStyle w:val="null3"/>
                    <w:jc w:val="both"/>
                  </w:pPr>
                  <w:r>
                    <w:rPr>
                      <w:rFonts w:ascii="仿宋_GB2312" w:hAnsi="仿宋_GB2312" w:cs="仿宋_GB2312" w:eastAsia="仿宋_GB2312"/>
                      <w:sz w:val="21"/>
                    </w:rPr>
                    <w:t>6、尺码：35#-47#</w:t>
                  </w:r>
                </w:p>
                <w:p>
                  <w:pPr>
                    <w:pStyle w:val="null3"/>
                    <w:ind w:left="-105"/>
                    <w:jc w:val="both"/>
                  </w:pPr>
                </w:p>
              </w:tc>
            </w:tr>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举重鞋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1、鞋面：头层牛皮+特种尼龙布+海绵+特种帆布+PU；头层牛皮拼接尼龙布，透气孔设计，透气性好，可固定鞋带设计。</w:t>
                  </w:r>
                  <w:r>
                    <w:br/>
                  </w:r>
                  <w:r>
                    <w:rPr>
                      <w:rFonts w:ascii="仿宋_GB2312" w:hAnsi="仿宋_GB2312" w:cs="仿宋_GB2312" w:eastAsia="仿宋_GB2312"/>
                      <w:sz w:val="21"/>
                    </w:rPr>
                    <w:t>2、鞋底：耐磨耐寒橡胶大底 ,鞋底防滑橡胶层，细波纹，防滑效果良好。</w:t>
                  </w:r>
                  <w:r>
                    <w:br/>
                  </w:r>
                  <w:r>
                    <w:rPr>
                      <w:rFonts w:ascii="仿宋_GB2312" w:hAnsi="仿宋_GB2312" w:cs="仿宋_GB2312" w:eastAsia="仿宋_GB2312"/>
                      <w:sz w:val="21"/>
                    </w:rPr>
                    <w:t>3、鞋垫：海绵+布料，吸湿透气。</w:t>
                  </w:r>
                  <w:r>
                    <w:br/>
                  </w:r>
                  <w:r>
                    <w:rPr>
                      <w:rFonts w:ascii="仿宋_GB2312" w:hAnsi="仿宋_GB2312" w:cs="仿宋_GB2312" w:eastAsia="仿宋_GB2312"/>
                      <w:sz w:val="21"/>
                    </w:rPr>
                    <w:t>4、适合专业举重训练、比赛鞋。</w:t>
                  </w:r>
                </w:p>
                <w:p>
                  <w:pPr>
                    <w:pStyle w:val="null3"/>
                    <w:jc w:val="both"/>
                  </w:pPr>
                  <w:r>
                    <w:rPr>
                      <w:rFonts w:ascii="仿宋_GB2312" w:hAnsi="仿宋_GB2312" w:cs="仿宋_GB2312" w:eastAsia="仿宋_GB2312"/>
                      <w:sz w:val="21"/>
                    </w:rPr>
                    <w:t>5、颜色：白色。</w:t>
                  </w:r>
                </w:p>
                <w:p>
                  <w:pPr>
                    <w:pStyle w:val="null3"/>
                    <w:jc w:val="both"/>
                  </w:pPr>
                  <w:r>
                    <w:rPr>
                      <w:rFonts w:ascii="仿宋_GB2312" w:hAnsi="仿宋_GB2312" w:cs="仿宋_GB2312" w:eastAsia="仿宋_GB2312"/>
                      <w:sz w:val="21"/>
                    </w:rPr>
                    <w:t>6、尺码：35#-47#</w:t>
                  </w:r>
                </w:p>
              </w:tc>
            </w:tr>
          </w:tbl>
          <w:p>
            <w:pPr>
              <w:pStyle w:val="null3"/>
            </w:pPr>
            <w:r>
              <w:rPr>
                <w:rFonts w:ascii="仿宋_GB2312" w:hAnsi="仿宋_GB2312" w:cs="仿宋_GB2312" w:eastAsia="仿宋_GB2312"/>
                <w:sz w:val="21"/>
              </w:rPr>
              <w:t>备注：鞋服具体尺码及颜色数量要求中标后根据采购人要求供货。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本采购包为纺织、服装和日用品批发服务采购，不设置核心产品。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自合同签订后5日内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组织成交供应商（必要时进行随机抽样）进行验收，验收合格后，填写验收单作为对供货内容的最终认可。（二）验收依据：本次采购项目磋商文件、响应文件、样品（如有）、澄清表（函）；合同及附件文本；合同签订时的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进度款，合同签订后预检备货的数量款式质量，达到付款条件起10个工作日内，支付合同总金额的50.0%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进度款，供货完成且验收合格，达到付款条件起10个工作日内，支付合同总金额的50.0%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如成交供应商事先未征得采购人书面同意而单方面延迟交货的，每逾期一日按照合同总额的万分之五承担违约责任；成交供应商逾期累计15天以上的，采购人有权解除合同,并要求成交供应商承担合同价款30%的违约金。（二）成交供应商所供产品不符合磋商文件规定或不合格的或本项目不能通过验收的，采购人有权解除合同，并要求成交供应商承担合同价款30%的违约金。（三）部分服装不合格的，采购人有权要求成交供应商在指定期间内免费更换，成交供应商拒不更换的，采购人有权自行或委托第三方购买，但产品供应费、运输费等合理费用由成交供应商承担。（四）因成交供应商提供的产品侵害他人权利或者造成采购人损害的，成交供应商承担全部赔偿责任。（五）成交供应商在提供服务过程中造成他人损害的，由成交供应商承担全部责任。（六）成交供应商应在收到解除通知后7天内退还已收取的款项。上述约定的违约条款可合并适用，合并适用后仍不能弥补采购人损失的，采购人有权继续追偿。（七）采购人应当将供应商违约的情况以及拟采取的措施以书面形式报政府采购监管部门，根据政府采购监管部门的处理意见，采购人有权要求成交供应商承担违约责任。同时，政府采购监管部门有权依据《中华人民共和国政府采购法》及相关法律法规对供应商的违法行为进行相应的处罚。九、合同争议解决的方式：本合同在履行过程中发生的争议，由甲、乙双方当事人协商解决，协商不成的按下列第（一）种方式解决：（一）提交仲裁委员会仲裁；（二）依法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本项目为纺织、服装和日用品批发服务采购，供应商填写《中小企业声明函》时，所属行业为批发业，承接企业填写供应商信息，不需要填写服装制造商信息。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同时满足以下条款：（1）货币单位符合磋商文件要求；（2）报价符合唯一性要求；（3）未超出采购预算或最高限价；（4）符合《报价函》、《分项报价表》及《标的清单》的填报要求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拟投入项目的专业设备及工器具情况表.docx 中小企业声明函 商务应答表 服务内容及服务要求应答表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含项目负责人、量体、采购、质检、配送等岗位）在满足采购文件基础人员配置要求的基础上，达到5人得2分，5人以上每增加1人加1分，最高加3分，满分5分。以供应商加盖公章的“项目实施人员情况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高于国标的环保指标</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柔道服、摔跤服、举重服）甲醛含量低于强制性国标限值≥20%的，每种产品得1分，最高得3分。注：报告出具日期须在投标截止日前一年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高于国标的耐用性指标（服）</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柔道服、摔跤服、举重服）耐水色牢度、耐汗渍色牢度、耐摩擦色牢度各项均达到4级及以上（国标基础要求为3级），每种产品得1分，最高得3分。注：报告出具日期须在投标截止日前一年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高于国标的耐用性指标（鞋）</w:t>
            </w:r>
          </w:p>
        </w:tc>
        <w:tc>
          <w:tcPr>
            <w:tcW w:type="dxa" w:w="2492"/>
          </w:tcPr>
          <w:p>
            <w:pPr>
              <w:pStyle w:val="null3"/>
            </w:pPr>
            <w:r>
              <w:rPr>
                <w:rFonts w:ascii="仿宋_GB2312" w:hAnsi="仿宋_GB2312" w:cs="仿宋_GB2312" w:eastAsia="仿宋_GB2312"/>
              </w:rPr>
              <w:t>供应商提供国家认可的检测机构出具的检测报告（CMA或CNAS），证明所供产品（指本采购包的摔跤鞋、举重鞋）帮底剥离强度或底墙与帮面剥离强度、耐磨性能、耐折性能各项均达到优等品（国标基础要求为合格品）的，每个产品的每种性能得1分，每个产品得3分。本项最高得6分。注：报告出具日期须在投标截止日前一年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2分，满分8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供应商自有或租赁服装专用仓储面积：500平方米以下得1分，500平方米（含）至1000平方米得2分，1000平方米（含）以上得3分。以加盖供应商公章的产权证明或租赁合同扫描件为准。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专业设备配置</w:t>
            </w:r>
          </w:p>
        </w:tc>
        <w:tc>
          <w:tcPr>
            <w:tcW w:type="dxa" w:w="2492"/>
          </w:tcPr>
          <w:p>
            <w:pPr>
              <w:pStyle w:val="null3"/>
            </w:pPr>
            <w:r>
              <w:rPr>
                <w:rFonts w:ascii="仿宋_GB2312" w:hAnsi="仿宋_GB2312" w:cs="仿宋_GB2312" w:eastAsia="仿宋_GB2312"/>
              </w:rPr>
              <w:t>供应商具备服装质检设备（含色牢度测试仪、甲醛测试仪等）的，每提供一类得0.7分，最高得2.1分。以加盖供应商公章的设备采购发票或CMA或CNAS资质检测机构的合作协议扫描件为准。</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vMerge/>
          </w:tcPr>
          <w:p/>
        </w:tc>
        <w:tc>
          <w:tcPr>
            <w:tcW w:type="dxa" w:w="1661"/>
          </w:tcPr>
          <w:p>
            <w:pPr>
              <w:pStyle w:val="null3"/>
            </w:pPr>
            <w:r>
              <w:rPr>
                <w:rFonts w:ascii="仿宋_GB2312" w:hAnsi="仿宋_GB2312" w:cs="仿宋_GB2312" w:eastAsia="仿宋_GB2312"/>
              </w:rPr>
              <w:t>服装款式设计与面料选型方案</w:t>
            </w:r>
          </w:p>
        </w:tc>
        <w:tc>
          <w:tcPr>
            <w:tcW w:type="dxa" w:w="2492"/>
          </w:tcPr>
          <w:p>
            <w:pPr>
              <w:pStyle w:val="null3"/>
            </w:pPr>
            <w:r>
              <w:rPr>
                <w:rFonts w:ascii="仿宋_GB2312" w:hAnsi="仿宋_GB2312" w:cs="仿宋_GB2312" w:eastAsia="仿宋_GB2312"/>
              </w:rPr>
              <w:t>供应商提供针对本项目的服装款式设计与面料选型方案。内容完整，针对性强且有利于项目实施得3.5分。方案中存在内容缺陷的，每有一处扣0.5分，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采购渠道管理方案</w:t>
            </w:r>
          </w:p>
        </w:tc>
        <w:tc>
          <w:tcPr>
            <w:tcW w:type="dxa" w:w="2492"/>
          </w:tcPr>
          <w:p>
            <w:pPr>
              <w:pStyle w:val="null3"/>
            </w:pPr>
            <w:r>
              <w:rPr>
                <w:rFonts w:ascii="仿宋_GB2312" w:hAnsi="仿宋_GB2312" w:cs="仿宋_GB2312" w:eastAsia="仿宋_GB2312"/>
              </w:rPr>
              <w:t>供应商提供针对本项目的采购渠道管理方案。内容完整，针对性强且有利于项目实施得3.5分。方案中存在内容缺陷的，每有一处扣0.5分，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入库检验流程管理方案</w:t>
            </w:r>
          </w:p>
        </w:tc>
        <w:tc>
          <w:tcPr>
            <w:tcW w:type="dxa" w:w="2492"/>
          </w:tcPr>
          <w:p>
            <w:pPr>
              <w:pStyle w:val="null3"/>
            </w:pPr>
            <w:r>
              <w:rPr>
                <w:rFonts w:ascii="仿宋_GB2312" w:hAnsi="仿宋_GB2312" w:cs="仿宋_GB2312" w:eastAsia="仿宋_GB2312"/>
              </w:rPr>
              <w:t>供应商提供针对本项目的入库检验流程管理方案。内容完整，针对性强且有利于项目实施得3.5分。存在内容缺陷的，每有一处扣0.5分，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过程质量抽查机制</w:t>
            </w:r>
          </w:p>
        </w:tc>
        <w:tc>
          <w:tcPr>
            <w:tcW w:type="dxa" w:w="2492"/>
          </w:tcPr>
          <w:p>
            <w:pPr>
              <w:pStyle w:val="null3"/>
            </w:pPr>
            <w:r>
              <w:rPr>
                <w:rFonts w:ascii="仿宋_GB2312" w:hAnsi="仿宋_GB2312" w:cs="仿宋_GB2312" w:eastAsia="仿宋_GB2312"/>
              </w:rPr>
              <w:t>供应商提供针对本项目的过程质量抽查机制。内容完整，针对性强且有利于项目实施得3.5分。存在内容缺陷的，每有一处扣0.5分，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出厂前验收方案</w:t>
            </w:r>
          </w:p>
        </w:tc>
        <w:tc>
          <w:tcPr>
            <w:tcW w:type="dxa" w:w="2492"/>
          </w:tcPr>
          <w:p>
            <w:pPr>
              <w:pStyle w:val="null3"/>
            </w:pPr>
            <w:r>
              <w:rPr>
                <w:rFonts w:ascii="仿宋_GB2312" w:hAnsi="仿宋_GB2312" w:cs="仿宋_GB2312" w:eastAsia="仿宋_GB2312"/>
              </w:rPr>
              <w:t>供应商提供针对本项目的出厂前验收方案。内容完整，针对性强且有利于项目实施得3.5分。存在内容缺陷的，每有一处扣0.5分，每项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配送时效承诺</w:t>
            </w:r>
          </w:p>
        </w:tc>
        <w:tc>
          <w:tcPr>
            <w:tcW w:type="dxa" w:w="2492"/>
          </w:tcPr>
          <w:p>
            <w:pPr>
              <w:pStyle w:val="null3"/>
            </w:pPr>
            <w:r>
              <w:rPr>
                <w:rFonts w:ascii="仿宋_GB2312" w:hAnsi="仿宋_GB2312" w:cs="仿宋_GB2312" w:eastAsia="仿宋_GB2312"/>
              </w:rPr>
              <w:t>供应商提供针对本项目的配送时效承诺。承诺内容完整，针对性强且有利于项目实施得3.5分。存在内容缺陷的，每有一处扣0.5分，每项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退换货响应机制</w:t>
            </w:r>
          </w:p>
        </w:tc>
        <w:tc>
          <w:tcPr>
            <w:tcW w:type="dxa" w:w="2492"/>
          </w:tcPr>
          <w:p>
            <w:pPr>
              <w:pStyle w:val="null3"/>
            </w:pPr>
            <w:r>
              <w:rPr>
                <w:rFonts w:ascii="仿宋_GB2312" w:hAnsi="仿宋_GB2312" w:cs="仿宋_GB2312" w:eastAsia="仿宋_GB2312"/>
              </w:rPr>
              <w:t>供应商提供针对本项目的退换货响应机制。内容完整，针对性强且有利于项目实施得3.5分。存在内容缺陷的，每有一处扣0.5分，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售后服务体系</w:t>
            </w:r>
          </w:p>
        </w:tc>
        <w:tc>
          <w:tcPr>
            <w:tcW w:type="dxa" w:w="2492"/>
          </w:tcPr>
          <w:p>
            <w:pPr>
              <w:pStyle w:val="null3"/>
            </w:pPr>
            <w:r>
              <w:rPr>
                <w:rFonts w:ascii="仿宋_GB2312" w:hAnsi="仿宋_GB2312" w:cs="仿宋_GB2312" w:eastAsia="仿宋_GB2312"/>
              </w:rPr>
              <w:t>供应商提供针对本项目的售后服务体系。内容完整，针对性强且有利于项目实施得3.5分。存在内容缺陷的，每有一处扣0.5分，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突发事件应对措施</w:t>
            </w:r>
          </w:p>
        </w:tc>
        <w:tc>
          <w:tcPr>
            <w:tcW w:type="dxa" w:w="2492"/>
          </w:tcPr>
          <w:p>
            <w:pPr>
              <w:pStyle w:val="null3"/>
            </w:pPr>
            <w:r>
              <w:rPr>
                <w:rFonts w:ascii="仿宋_GB2312" w:hAnsi="仿宋_GB2312" w:cs="仿宋_GB2312" w:eastAsia="仿宋_GB2312"/>
              </w:rPr>
              <w:t>供应商提供针对本项目的突发事件应对措施。内容完整，针对性强且有利于项目实施得2.8分。存在内容缺陷的，每有一处扣0.4分，最多扣2.8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供应商提供针对本项目的应急配送方案。内容完整，针对性强且有利于项目实施得2.8分。存在内容缺陷的，每有一处扣0.4分，最多扣2.8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排产计划方案</w:t>
            </w:r>
          </w:p>
        </w:tc>
        <w:tc>
          <w:tcPr>
            <w:tcW w:type="dxa" w:w="2492"/>
          </w:tcPr>
          <w:p>
            <w:pPr>
              <w:pStyle w:val="null3"/>
            </w:pPr>
            <w:r>
              <w:rPr>
                <w:rFonts w:ascii="仿宋_GB2312" w:hAnsi="仿宋_GB2312" w:cs="仿宋_GB2312" w:eastAsia="仿宋_GB2312"/>
              </w:rPr>
              <w:t>供应商提供针对本项目的排产计划方案。内容完整，针对性强且有利于项目实施得2.8分。存在内容缺陷的，每有一处扣0.4分，最多扣2.8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配送节点控制措施</w:t>
            </w:r>
          </w:p>
        </w:tc>
        <w:tc>
          <w:tcPr>
            <w:tcW w:type="dxa" w:w="2492"/>
          </w:tcPr>
          <w:p>
            <w:pPr>
              <w:pStyle w:val="null3"/>
            </w:pPr>
            <w:r>
              <w:rPr>
                <w:rFonts w:ascii="仿宋_GB2312" w:hAnsi="仿宋_GB2312" w:cs="仿宋_GB2312" w:eastAsia="仿宋_GB2312"/>
              </w:rPr>
              <w:t>供应商提供针对本项目的配送节点控制措施。内容完整，针对性强且有利于项目实施得3.5分。存在内容缺陷的，每有一处扣0.5分，最多扣3.5分，扣完为止。内容缺陷认定标准：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有效供应商的最终报价的最低值为基准价得满分，其他各供应商的最终报价得分按下列公式计算：（基准价/最终报价）×30。注：本项目为批发服务采购，不执行本国产品价格扣除优惠政策。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