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98E18">
      <w:pPr>
        <w:pStyle w:val="3"/>
        <w:rPr>
          <w:rFonts w:hint="default" w:eastAsia="方正仿宋_GB2312" w:cs="方正仿宋_GB2312" w:asciiTheme="minorAscii" w:hAnsiTheme="minorAscii"/>
          <w:caps w:val="0"/>
          <w:smallCaps w:val="0"/>
          <w:color w:val="auto"/>
          <w:highlight w:val="none"/>
        </w:rPr>
      </w:pPr>
      <w:bookmarkStart w:id="0" w:name="_Toc4290"/>
      <w:bookmarkStart w:id="1" w:name="_Toc12352"/>
      <w:r>
        <w:rPr>
          <w:rFonts w:hint="default" w:eastAsia="方正仿宋_GB2312" w:cs="方正仿宋_GB2312" w:asciiTheme="minorAscii" w:hAnsiTheme="minorAscii"/>
          <w:caps w:val="0"/>
          <w:smallCaps w:val="0"/>
          <w:color w:val="auto"/>
          <w:highlight w:val="none"/>
        </w:rPr>
        <w:t>合同主要条款</w:t>
      </w:r>
      <w:bookmarkEnd w:id="0"/>
      <w:bookmarkEnd w:id="1"/>
    </w:p>
    <w:p w14:paraId="346E0457">
      <w:pPr>
        <w:keepNext w:val="0"/>
        <w:keepLines w:val="0"/>
        <w:pageBreakBefore w:val="0"/>
        <w:widowControl w:val="0"/>
        <w:kinsoku w:val="0"/>
        <w:wordWrap/>
        <w:overflowPunct/>
        <w:topLinePunct w:val="0"/>
        <w:autoSpaceDE/>
        <w:bidi w:val="0"/>
        <w:spacing w:line="440" w:lineRule="exact"/>
        <w:ind w:firstLine="525" w:firstLineChars="250"/>
        <w:rPr>
          <w:rFonts w:hint="default" w:eastAsia="方正仿宋_GB2312" w:cs="方正仿宋_GB2312" w:asciiTheme="minorAscii" w:hAnsiTheme="minorAscii"/>
          <w:caps w:val="0"/>
          <w:smallCaps w:val="0"/>
          <w:color w:val="auto"/>
          <w:sz w:val="21"/>
          <w:szCs w:val="21"/>
          <w:highlight w:val="none"/>
        </w:rPr>
      </w:pPr>
    </w:p>
    <w:p w14:paraId="0C9B3BC7">
      <w:pPr>
        <w:keepNext w:val="0"/>
        <w:keepLines w:val="0"/>
        <w:pageBreakBefore w:val="0"/>
        <w:widowControl w:val="0"/>
        <w:kinsoku w:val="0"/>
        <w:wordWrap/>
        <w:overflowPunct/>
        <w:topLinePunct w:val="0"/>
        <w:autoSpaceDE/>
        <w:bidi w:val="0"/>
        <w:spacing w:line="440" w:lineRule="exact"/>
        <w:ind w:firstLine="525" w:firstLineChars="250"/>
        <w:rPr>
          <w:rFonts w:hint="default" w:eastAsia="方正仿宋_GB2312" w:cs="方正仿宋_GB2312" w:asciiTheme="minorAscii" w:hAnsiTheme="minorAscii"/>
          <w:caps w:val="0"/>
          <w:smallCaps w:val="0"/>
          <w:color w:val="auto"/>
          <w:sz w:val="21"/>
          <w:szCs w:val="21"/>
          <w:highlight w:val="none"/>
          <w:u w:val="single"/>
          <w:lang w:val="en-US" w:eastAsia="zh-CN"/>
        </w:rPr>
      </w:pPr>
      <w:r>
        <w:rPr>
          <w:rFonts w:hint="default" w:eastAsia="方正仿宋_GB2312" w:cs="方正仿宋_GB2312" w:asciiTheme="minorAscii" w:hAnsiTheme="minorAscii"/>
          <w:caps w:val="0"/>
          <w:smallCaps w:val="0"/>
          <w:color w:val="auto"/>
          <w:sz w:val="21"/>
          <w:szCs w:val="21"/>
          <w:highlight w:val="none"/>
        </w:rPr>
        <w:t>甲方（买方）：</w:t>
      </w:r>
      <w:r>
        <w:rPr>
          <w:rFonts w:hint="default" w:eastAsia="方正仿宋_GB2312" w:cs="方正仿宋_GB2312" w:asciiTheme="minorAscii" w:hAnsiTheme="minorAscii"/>
          <w:caps w:val="0"/>
          <w:smallCaps w:val="0"/>
          <w:color w:val="auto"/>
          <w:sz w:val="21"/>
          <w:szCs w:val="21"/>
          <w:highlight w:val="none"/>
          <w:u w:val="single"/>
          <w:lang w:val="en-US" w:eastAsia="zh-CN"/>
        </w:rPr>
        <w:t xml:space="preserve">                                          </w:t>
      </w:r>
    </w:p>
    <w:p w14:paraId="141E6D7A">
      <w:pPr>
        <w:keepNext w:val="0"/>
        <w:keepLines w:val="0"/>
        <w:pageBreakBefore w:val="0"/>
        <w:widowControl w:val="0"/>
        <w:kinsoku w:val="0"/>
        <w:wordWrap/>
        <w:overflowPunct/>
        <w:topLinePunct w:val="0"/>
        <w:autoSpaceDE/>
        <w:bidi w:val="0"/>
        <w:spacing w:line="440" w:lineRule="exact"/>
        <w:ind w:firstLine="525" w:firstLineChars="250"/>
        <w:rPr>
          <w:rFonts w:hint="default" w:eastAsia="方正仿宋_GB2312" w:cs="方正仿宋_GB2312" w:asciiTheme="minorAscii" w:hAnsiTheme="minorAscii"/>
          <w:caps w:val="0"/>
          <w:smallCaps w:val="0"/>
          <w:color w:val="auto"/>
          <w:sz w:val="21"/>
          <w:szCs w:val="21"/>
          <w:highlight w:val="none"/>
          <w:u w:val="single"/>
          <w:lang w:val="en-US" w:eastAsia="zh-CN"/>
        </w:rPr>
      </w:pPr>
      <w:r>
        <w:rPr>
          <w:rFonts w:hint="default" w:eastAsia="方正仿宋_GB2312" w:cs="方正仿宋_GB2312" w:asciiTheme="minorAscii" w:hAnsiTheme="minorAscii"/>
          <w:caps w:val="0"/>
          <w:smallCaps w:val="0"/>
          <w:color w:val="auto"/>
          <w:sz w:val="21"/>
          <w:szCs w:val="21"/>
          <w:highlight w:val="none"/>
        </w:rPr>
        <w:t>乙方（卖方）：</w:t>
      </w:r>
      <w:r>
        <w:rPr>
          <w:rFonts w:hint="default" w:eastAsia="方正仿宋_GB2312" w:cs="方正仿宋_GB2312" w:asciiTheme="minorAscii" w:hAnsiTheme="minorAscii"/>
          <w:caps w:val="0"/>
          <w:smallCaps w:val="0"/>
          <w:color w:val="auto"/>
          <w:sz w:val="21"/>
          <w:szCs w:val="21"/>
          <w:highlight w:val="none"/>
          <w:u w:val="single"/>
          <w:lang w:val="en-US" w:eastAsia="zh-CN"/>
        </w:rPr>
        <w:t xml:space="preserve">                                          </w:t>
      </w:r>
    </w:p>
    <w:p w14:paraId="752531B2">
      <w:pPr>
        <w:keepNext w:val="0"/>
        <w:keepLines w:val="0"/>
        <w:pageBreakBefore w:val="0"/>
        <w:widowControl w:val="0"/>
        <w:kinsoku w:val="0"/>
        <w:wordWrap/>
        <w:overflowPunct/>
        <w:topLinePunct w:val="0"/>
        <w:autoSpaceDE/>
        <w:bidi w:val="0"/>
        <w:spacing w:line="440" w:lineRule="exact"/>
        <w:ind w:firstLine="525" w:firstLineChars="250"/>
        <w:rPr>
          <w:rFonts w:hint="default" w:eastAsia="方正仿宋_GB2312" w:cs="方正仿宋_GB2312" w:asciiTheme="minorAscii" w:hAnsiTheme="minorAscii"/>
          <w:caps w:val="0"/>
          <w:smallCaps w:val="0"/>
          <w:color w:val="auto"/>
          <w:sz w:val="21"/>
          <w:szCs w:val="21"/>
          <w:highlight w:val="none"/>
        </w:rPr>
      </w:pPr>
    </w:p>
    <w:p w14:paraId="0E68A9AD">
      <w:pPr>
        <w:keepNext w:val="0"/>
        <w:keepLines w:val="0"/>
        <w:pageBreakBefore w:val="0"/>
        <w:widowControl w:val="0"/>
        <w:kinsoku w:val="0"/>
        <w:wordWrap/>
        <w:overflowPunct/>
        <w:topLinePunct w:val="0"/>
        <w:autoSpaceDE/>
        <w:bidi w:val="0"/>
        <w:spacing w:line="360" w:lineRule="auto"/>
        <w:ind w:firstLine="525" w:firstLineChars="250"/>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根据《中华人民共和国</w:t>
      </w:r>
      <w:r>
        <w:rPr>
          <w:rFonts w:hint="default" w:eastAsia="方正仿宋_GB2312" w:cs="方正仿宋_GB2312" w:asciiTheme="minorAscii" w:hAnsiTheme="minorAscii"/>
          <w:caps w:val="0"/>
          <w:smallCaps w:val="0"/>
          <w:color w:val="auto"/>
          <w:sz w:val="21"/>
          <w:szCs w:val="21"/>
          <w:highlight w:val="none"/>
          <w:lang w:val="en-US" w:eastAsia="zh-CN"/>
        </w:rPr>
        <w:t>民法典</w:t>
      </w:r>
      <w:r>
        <w:rPr>
          <w:rFonts w:hint="default" w:eastAsia="方正仿宋_GB2312" w:cs="方正仿宋_GB2312" w:asciiTheme="minorAscii" w:hAnsiTheme="minorAscii"/>
          <w:caps w:val="0"/>
          <w:smallCaps w:val="0"/>
          <w:color w:val="auto"/>
          <w:sz w:val="21"/>
          <w:szCs w:val="21"/>
          <w:highlight w:val="none"/>
        </w:rPr>
        <w:t>》等法律法规，甲方通过</w:t>
      </w:r>
      <w:r>
        <w:rPr>
          <w:rFonts w:hint="default" w:eastAsia="方正仿宋_GB2312" w:cs="方正仿宋_GB2312" w:asciiTheme="minorAscii" w:hAnsiTheme="minorAscii"/>
          <w:caps w:val="0"/>
          <w:smallCaps w:val="0"/>
          <w:color w:val="auto"/>
          <w:sz w:val="21"/>
          <w:szCs w:val="21"/>
          <w:highlight w:val="none"/>
          <w:u w:val="single"/>
          <w:lang w:val="en-US" w:eastAsia="zh-CN"/>
        </w:rPr>
        <w:t xml:space="preserve"> 竞争性磋商 </w:t>
      </w:r>
      <w:r>
        <w:rPr>
          <w:rFonts w:hint="default" w:eastAsia="方正仿宋_GB2312" w:cs="方正仿宋_GB2312" w:asciiTheme="minorAscii" w:hAnsiTheme="minorAscii"/>
          <w:caps w:val="0"/>
          <w:smallCaps w:val="0"/>
          <w:color w:val="auto"/>
          <w:sz w:val="21"/>
          <w:szCs w:val="21"/>
          <w:highlight w:val="none"/>
        </w:rPr>
        <w:t>，选定乙方为</w:t>
      </w:r>
      <w:r>
        <w:rPr>
          <w:rFonts w:hint="default" w:eastAsia="方正仿宋_GB2312" w:cs="方正仿宋_GB2312" w:asciiTheme="minorAscii" w:hAnsiTheme="minorAscii"/>
          <w:caps w:val="0"/>
          <w:smallCaps w:val="0"/>
          <w:color w:val="auto"/>
          <w:sz w:val="21"/>
          <w:szCs w:val="21"/>
          <w:highlight w:val="none"/>
          <w:u w:val="single"/>
          <w:lang w:val="en-US" w:eastAsia="zh-CN"/>
        </w:rPr>
        <w:t xml:space="preserve">      </w:t>
      </w:r>
      <w:r>
        <w:rPr>
          <w:rFonts w:hint="default" w:eastAsia="方正仿宋_GB2312" w:cs="方正仿宋_GB2312" w:asciiTheme="minorAscii" w:hAnsiTheme="minorAscii"/>
          <w:caps w:val="0"/>
          <w:smallCaps w:val="0"/>
          <w:color w:val="auto"/>
          <w:sz w:val="21"/>
          <w:szCs w:val="21"/>
          <w:highlight w:val="none"/>
          <w:u w:val="none"/>
          <w:lang w:val="en-US" w:eastAsia="zh-CN"/>
        </w:rPr>
        <w:t>（项目名称）</w:t>
      </w:r>
      <w:r>
        <w:rPr>
          <w:rFonts w:hint="default" w:eastAsia="方正仿宋_GB2312" w:cs="方正仿宋_GB2312" w:asciiTheme="minorAscii" w:hAnsiTheme="minorAscii"/>
          <w:caps w:val="0"/>
          <w:smallCaps w:val="0"/>
          <w:color w:val="auto"/>
          <w:sz w:val="21"/>
          <w:szCs w:val="21"/>
          <w:highlight w:val="none"/>
          <w:lang w:eastAsia="zh-CN"/>
        </w:rPr>
        <w:t>成交</w:t>
      </w:r>
      <w:r>
        <w:rPr>
          <w:rFonts w:hint="default" w:eastAsia="方正仿宋_GB2312" w:cs="方正仿宋_GB2312" w:asciiTheme="minorAscii" w:hAnsiTheme="minorAscii"/>
          <w:caps w:val="0"/>
          <w:smallCaps w:val="0"/>
          <w:color w:val="auto"/>
          <w:sz w:val="21"/>
          <w:szCs w:val="21"/>
          <w:highlight w:val="none"/>
        </w:rPr>
        <w:t>。甲、乙双方在平等基础上协商一致，达成如下合同条款：</w:t>
      </w:r>
    </w:p>
    <w:p w14:paraId="29AAA835">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2" w:name="_Toc5070_WPSOffice_Level2"/>
      <w:r>
        <w:rPr>
          <w:rFonts w:hint="default" w:eastAsia="方正仿宋_GB2312" w:cs="方正仿宋_GB2312" w:asciiTheme="minorAscii" w:hAnsiTheme="minorAscii"/>
          <w:b/>
          <w:caps w:val="0"/>
          <w:smallCaps w:val="0"/>
          <w:color w:val="auto"/>
          <w:sz w:val="21"/>
          <w:szCs w:val="21"/>
          <w:highlight w:val="none"/>
        </w:rPr>
        <w:t>一、合同价款</w:t>
      </w:r>
      <w:bookmarkEnd w:id="2"/>
    </w:p>
    <w:p w14:paraId="41BF4F51">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（一）合同总价款为人民币（大写）</w:t>
      </w:r>
      <w:r>
        <w:rPr>
          <w:rFonts w:hint="default" w:eastAsia="方正仿宋_GB2312" w:cs="方正仿宋_GB2312" w:asciiTheme="minorAscii" w:hAnsiTheme="minorAscii"/>
          <w:caps w:val="0"/>
          <w:smallCaps w:val="0"/>
          <w:color w:val="auto"/>
          <w:sz w:val="21"/>
          <w:szCs w:val="21"/>
          <w:highlight w:val="none"/>
          <w:u w:val="single"/>
        </w:rPr>
        <w:t xml:space="preserve">        </w:t>
      </w: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u w:val="single"/>
        </w:rPr>
        <w:t xml:space="preserve">    </w:t>
      </w:r>
      <w:r>
        <w:rPr>
          <w:rFonts w:hint="default" w:eastAsia="方正仿宋_GB2312" w:cs="方正仿宋_GB2312" w:asciiTheme="minorAscii" w:hAnsiTheme="minorAscii"/>
          <w:caps w:val="0"/>
          <w:smallCaps w:val="0"/>
          <w:color w:val="auto"/>
          <w:sz w:val="21"/>
          <w:szCs w:val="21"/>
          <w:highlight w:val="none"/>
          <w:u w:val="single"/>
          <w:lang w:val="en-US" w:eastAsia="zh-CN"/>
        </w:rPr>
        <w:t xml:space="preserve">     </w:t>
      </w:r>
      <w:r>
        <w:rPr>
          <w:rFonts w:hint="default" w:eastAsia="方正仿宋_GB2312" w:cs="方正仿宋_GB2312" w:asciiTheme="minorAscii" w:hAnsiTheme="minorAscii"/>
          <w:caps w:val="0"/>
          <w:smallCaps w:val="0"/>
          <w:color w:val="auto"/>
          <w:sz w:val="21"/>
          <w:szCs w:val="21"/>
          <w:highlight w:val="none"/>
          <w:u w:val="single"/>
        </w:rPr>
        <w:t xml:space="preserve"> </w:t>
      </w:r>
      <w:r>
        <w:rPr>
          <w:rFonts w:hint="default" w:eastAsia="方正仿宋_GB2312" w:cs="方正仿宋_GB2312" w:asciiTheme="minorAscii" w:hAnsiTheme="minorAscii"/>
          <w:caps w:val="0"/>
          <w:smallCaps w:val="0"/>
          <w:color w:val="auto"/>
          <w:sz w:val="21"/>
          <w:szCs w:val="21"/>
          <w:highlight w:val="none"/>
        </w:rPr>
        <w:t xml:space="preserve"> ）。</w:t>
      </w:r>
    </w:p>
    <w:p w14:paraId="54966C6F">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（二）合同总价包括但不限于产品</w:t>
      </w:r>
      <w:r>
        <w:rPr>
          <w:rFonts w:hint="default" w:eastAsia="方正仿宋_GB2312" w:cs="方正仿宋_GB2312" w:asciiTheme="minorAscii" w:hAnsiTheme="minorAscii"/>
          <w:caps w:val="0"/>
          <w:smallCaps w:val="0"/>
          <w:color w:val="auto"/>
          <w:sz w:val="21"/>
          <w:szCs w:val="21"/>
          <w:highlight w:val="none"/>
          <w:lang w:val="zh-CN"/>
        </w:rPr>
        <w:t>的制造、包装、生产、运输、装卸、保险、检测、验收、税金等一切费用。</w:t>
      </w:r>
    </w:p>
    <w:p w14:paraId="7C3895A7">
      <w:pPr>
        <w:keepNext w:val="0"/>
        <w:keepLines w:val="0"/>
        <w:pageBreakBefore w:val="0"/>
        <w:widowControl w:val="0"/>
        <w:kinsoku w:val="0"/>
        <w:wordWrap/>
        <w:overflowPunct/>
        <w:topLinePunct w:val="0"/>
        <w:autoSpaceDE/>
        <w:bidi w:val="0"/>
        <w:spacing w:line="360" w:lineRule="auto"/>
        <w:ind w:firstLine="527" w:firstLineChars="250"/>
        <w:rPr>
          <w:rFonts w:hint="default" w:eastAsia="方正仿宋_GB2312" w:cs="方正仿宋_GB2312" w:asciiTheme="minorAscii" w:hAnsiTheme="minorAscii"/>
          <w:caps w:val="0"/>
          <w:smallCaps w:val="0"/>
          <w:color w:val="auto"/>
          <w:sz w:val="21"/>
          <w:szCs w:val="21"/>
          <w:highlight w:val="none"/>
        </w:rPr>
      </w:pPr>
      <w:bookmarkStart w:id="3" w:name="_Toc9047_WPSOffice_Level2"/>
      <w:r>
        <w:rPr>
          <w:rFonts w:hint="default" w:eastAsia="方正仿宋_GB2312" w:cs="方正仿宋_GB2312" w:asciiTheme="minorAscii" w:hAnsiTheme="minorAscii"/>
          <w:b/>
          <w:caps w:val="0"/>
          <w:smallCaps w:val="0"/>
          <w:color w:val="auto"/>
          <w:sz w:val="21"/>
          <w:szCs w:val="21"/>
          <w:highlight w:val="none"/>
        </w:rPr>
        <w:t>二、</w:t>
      </w:r>
      <w:bookmarkEnd w:id="3"/>
      <w:r>
        <w:rPr>
          <w:rFonts w:hint="default" w:eastAsia="方正仿宋_GB2312" w:cs="方正仿宋_GB2312" w:asciiTheme="minorAscii" w:hAnsiTheme="minorAscii"/>
          <w:b/>
          <w:bCs/>
          <w:caps w:val="0"/>
          <w:smallCaps w:val="0"/>
          <w:color w:val="auto"/>
          <w:sz w:val="21"/>
          <w:szCs w:val="21"/>
          <w:highlight w:val="none"/>
        </w:rPr>
        <w:t>合同内容</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1846"/>
        <w:gridCol w:w="1430"/>
        <w:gridCol w:w="1021"/>
        <w:gridCol w:w="1021"/>
        <w:gridCol w:w="1021"/>
        <w:gridCol w:w="1015"/>
        <w:gridCol w:w="984"/>
      </w:tblGrid>
      <w:tr w14:paraId="40ED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83" w:type="pct"/>
            <w:noWrap w:val="0"/>
            <w:vAlign w:val="center"/>
          </w:tcPr>
          <w:p w14:paraId="178C8351">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序号</w:t>
            </w:r>
          </w:p>
        </w:tc>
        <w:tc>
          <w:tcPr>
            <w:tcW w:w="1000" w:type="pct"/>
            <w:noWrap w:val="0"/>
            <w:vAlign w:val="center"/>
          </w:tcPr>
          <w:p w14:paraId="72A40CE3">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产品名称</w:t>
            </w:r>
          </w:p>
        </w:tc>
        <w:tc>
          <w:tcPr>
            <w:tcW w:w="775" w:type="pct"/>
            <w:noWrap w:val="0"/>
            <w:vAlign w:val="center"/>
          </w:tcPr>
          <w:p w14:paraId="49CDA90F">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lang w:val="en-US" w:eastAsia="zh-CN"/>
              </w:rPr>
            </w:pPr>
            <w:r>
              <w:rPr>
                <w:rFonts w:hint="default" w:eastAsia="方正仿宋_GB2312" w:cs="方正仿宋_GB2312" w:asciiTheme="minorAscii" w:hAnsiTheme="minorAscii"/>
                <w:b/>
                <w:bCs/>
                <w:caps w:val="0"/>
                <w:smallCaps w:val="0"/>
                <w:color w:val="auto"/>
                <w:sz w:val="21"/>
                <w:szCs w:val="21"/>
                <w:highlight w:val="none"/>
                <w:lang w:val="en-US" w:eastAsia="zh-CN"/>
              </w:rPr>
              <w:t>品牌</w:t>
            </w:r>
          </w:p>
        </w:tc>
        <w:tc>
          <w:tcPr>
            <w:tcW w:w="553" w:type="pct"/>
            <w:noWrap w:val="0"/>
            <w:vAlign w:val="center"/>
          </w:tcPr>
          <w:p w14:paraId="20BF1386">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型号</w:t>
            </w:r>
          </w:p>
        </w:tc>
        <w:tc>
          <w:tcPr>
            <w:tcW w:w="553" w:type="pct"/>
            <w:noWrap w:val="0"/>
            <w:vAlign w:val="center"/>
          </w:tcPr>
          <w:p w14:paraId="178FACE7">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数量</w:t>
            </w:r>
          </w:p>
        </w:tc>
        <w:tc>
          <w:tcPr>
            <w:tcW w:w="553" w:type="pct"/>
            <w:noWrap w:val="0"/>
            <w:vAlign w:val="center"/>
          </w:tcPr>
          <w:p w14:paraId="5C32F27C">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单价</w:t>
            </w:r>
          </w:p>
        </w:tc>
        <w:tc>
          <w:tcPr>
            <w:tcW w:w="550" w:type="pct"/>
            <w:noWrap w:val="0"/>
            <w:vAlign w:val="center"/>
          </w:tcPr>
          <w:p w14:paraId="03300CCB">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总价</w:t>
            </w:r>
          </w:p>
        </w:tc>
        <w:tc>
          <w:tcPr>
            <w:tcW w:w="529" w:type="pct"/>
            <w:noWrap w:val="0"/>
            <w:vAlign w:val="center"/>
          </w:tcPr>
          <w:p w14:paraId="29B1C935">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备注</w:t>
            </w:r>
          </w:p>
        </w:tc>
      </w:tr>
      <w:tr w14:paraId="0B90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483" w:type="pct"/>
            <w:noWrap w:val="0"/>
            <w:vAlign w:val="center"/>
          </w:tcPr>
          <w:p w14:paraId="38FD3E15">
            <w:pPr>
              <w:keepNext w:val="0"/>
              <w:keepLines w:val="0"/>
              <w:pageBreakBefore w:val="0"/>
              <w:widowControl w:val="0"/>
              <w:wordWrap/>
              <w:overflowPunct/>
              <w:topLinePunct w:val="0"/>
              <w:autoSpaceDE/>
              <w:bidi w:val="0"/>
              <w:adjustRightInd w:val="0"/>
              <w:snapToGrid w:val="0"/>
              <w:spacing w:line="240" w:lineRule="auto"/>
              <w:jc w:val="center"/>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1</w:t>
            </w:r>
          </w:p>
        </w:tc>
        <w:tc>
          <w:tcPr>
            <w:tcW w:w="1000" w:type="pct"/>
            <w:noWrap w:val="0"/>
            <w:vAlign w:val="center"/>
          </w:tcPr>
          <w:p w14:paraId="043CC6FC">
            <w:pPr>
              <w:keepNext w:val="0"/>
              <w:keepLines w:val="0"/>
              <w:pageBreakBefore w:val="0"/>
              <w:widowControl w:val="0"/>
              <w:wordWrap/>
              <w:overflowPunct/>
              <w:topLinePunct w:val="0"/>
              <w:autoSpaceDE/>
              <w:bidi w:val="0"/>
              <w:adjustRightInd w:val="0"/>
              <w:snapToGrid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775" w:type="pct"/>
            <w:noWrap w:val="0"/>
            <w:vAlign w:val="center"/>
          </w:tcPr>
          <w:p w14:paraId="78059AA4">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553" w:type="pct"/>
            <w:noWrap w:val="0"/>
            <w:vAlign w:val="center"/>
          </w:tcPr>
          <w:p w14:paraId="30763D0E">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553" w:type="pct"/>
            <w:noWrap w:val="0"/>
            <w:vAlign w:val="center"/>
          </w:tcPr>
          <w:p w14:paraId="0C453D13">
            <w:pPr>
              <w:keepNext w:val="0"/>
              <w:keepLines w:val="0"/>
              <w:pageBreakBefore w:val="0"/>
              <w:widowControl w:val="0"/>
              <w:wordWrap/>
              <w:overflowPunct/>
              <w:topLinePunct w:val="0"/>
              <w:autoSpaceDE/>
              <w:bidi w:val="0"/>
              <w:adjustRightInd w:val="0"/>
              <w:snapToGrid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553" w:type="pct"/>
            <w:noWrap w:val="0"/>
            <w:vAlign w:val="center"/>
          </w:tcPr>
          <w:p w14:paraId="02D3C7D5">
            <w:pPr>
              <w:keepNext w:val="0"/>
              <w:keepLines w:val="0"/>
              <w:pageBreakBefore w:val="0"/>
              <w:widowControl w:val="0"/>
              <w:wordWrap/>
              <w:overflowPunct/>
              <w:topLinePunct w:val="0"/>
              <w:autoSpaceDE/>
              <w:autoSpaceDN w:val="0"/>
              <w:bidi w:val="0"/>
              <w:spacing w:line="240" w:lineRule="auto"/>
              <w:jc w:val="center"/>
              <w:textAlignment w:val="center"/>
              <w:rPr>
                <w:rFonts w:hint="default" w:eastAsia="方正仿宋_GB2312" w:cs="方正仿宋_GB2312" w:asciiTheme="minorAscii" w:hAnsiTheme="minorAscii"/>
                <w:caps w:val="0"/>
                <w:smallCaps w:val="0"/>
                <w:color w:val="auto"/>
                <w:sz w:val="21"/>
                <w:szCs w:val="21"/>
                <w:highlight w:val="none"/>
              </w:rPr>
            </w:pPr>
          </w:p>
        </w:tc>
        <w:tc>
          <w:tcPr>
            <w:tcW w:w="550" w:type="pct"/>
            <w:noWrap w:val="0"/>
            <w:vAlign w:val="center"/>
          </w:tcPr>
          <w:p w14:paraId="7AC84CBA">
            <w:pPr>
              <w:keepNext w:val="0"/>
              <w:keepLines w:val="0"/>
              <w:pageBreakBefore w:val="0"/>
              <w:widowControl w:val="0"/>
              <w:wordWrap/>
              <w:overflowPunct/>
              <w:topLinePunct w:val="0"/>
              <w:autoSpaceDE/>
              <w:autoSpaceDN w:val="0"/>
              <w:bidi w:val="0"/>
              <w:spacing w:line="240" w:lineRule="auto"/>
              <w:jc w:val="center"/>
              <w:textAlignment w:val="center"/>
              <w:rPr>
                <w:rFonts w:hint="default" w:eastAsia="方正仿宋_GB2312" w:cs="方正仿宋_GB2312" w:asciiTheme="minorAscii" w:hAnsiTheme="minorAscii"/>
                <w:caps w:val="0"/>
                <w:smallCaps w:val="0"/>
                <w:color w:val="auto"/>
                <w:sz w:val="21"/>
                <w:szCs w:val="21"/>
                <w:highlight w:val="none"/>
              </w:rPr>
            </w:pPr>
          </w:p>
        </w:tc>
        <w:tc>
          <w:tcPr>
            <w:tcW w:w="529" w:type="pct"/>
            <w:noWrap w:val="0"/>
            <w:vAlign w:val="center"/>
          </w:tcPr>
          <w:p w14:paraId="6B1E75CA">
            <w:pPr>
              <w:keepNext w:val="0"/>
              <w:keepLines w:val="0"/>
              <w:pageBreakBefore w:val="0"/>
              <w:widowControl w:val="0"/>
              <w:wordWrap/>
              <w:overflowPunct/>
              <w:topLinePunct w:val="0"/>
              <w:autoSpaceDE/>
              <w:autoSpaceDN w:val="0"/>
              <w:bidi w:val="0"/>
              <w:spacing w:line="240" w:lineRule="auto"/>
              <w:jc w:val="center"/>
              <w:textAlignment w:val="center"/>
              <w:rPr>
                <w:rFonts w:hint="default" w:eastAsia="方正仿宋_GB2312" w:cs="方正仿宋_GB2312" w:asciiTheme="minorAscii" w:hAnsiTheme="minorAscii"/>
                <w:caps w:val="0"/>
                <w:smallCaps w:val="0"/>
                <w:color w:val="auto"/>
                <w:sz w:val="21"/>
                <w:szCs w:val="21"/>
                <w:highlight w:val="none"/>
              </w:rPr>
            </w:pPr>
          </w:p>
        </w:tc>
      </w:tr>
      <w:tr w14:paraId="5B10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483" w:type="pct"/>
            <w:noWrap w:val="0"/>
            <w:vAlign w:val="center"/>
          </w:tcPr>
          <w:p w14:paraId="3BFE7192">
            <w:pPr>
              <w:keepNext w:val="0"/>
              <w:keepLines w:val="0"/>
              <w:pageBreakBefore w:val="0"/>
              <w:widowControl w:val="0"/>
              <w:wordWrap/>
              <w:overflowPunct/>
              <w:topLinePunct w:val="0"/>
              <w:autoSpaceDE/>
              <w:bidi w:val="0"/>
              <w:adjustRightInd w:val="0"/>
              <w:snapToGrid w:val="0"/>
              <w:spacing w:line="240" w:lineRule="auto"/>
              <w:jc w:val="center"/>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w:t>
            </w:r>
          </w:p>
        </w:tc>
        <w:tc>
          <w:tcPr>
            <w:tcW w:w="1000" w:type="pct"/>
            <w:noWrap w:val="0"/>
            <w:vAlign w:val="center"/>
          </w:tcPr>
          <w:p w14:paraId="151900DC">
            <w:pPr>
              <w:keepNext w:val="0"/>
              <w:keepLines w:val="0"/>
              <w:pageBreakBefore w:val="0"/>
              <w:widowControl w:val="0"/>
              <w:wordWrap/>
              <w:overflowPunct/>
              <w:topLinePunct w:val="0"/>
              <w:autoSpaceDE/>
              <w:bidi w:val="0"/>
              <w:adjustRightInd w:val="0"/>
              <w:snapToGrid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775" w:type="pct"/>
            <w:noWrap w:val="0"/>
            <w:vAlign w:val="center"/>
          </w:tcPr>
          <w:p w14:paraId="077E8077">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553" w:type="pct"/>
            <w:noWrap w:val="0"/>
            <w:vAlign w:val="center"/>
          </w:tcPr>
          <w:p w14:paraId="393E3E5F">
            <w:pPr>
              <w:keepNext w:val="0"/>
              <w:keepLines w:val="0"/>
              <w:pageBreakBefore w:val="0"/>
              <w:widowControl w:val="0"/>
              <w:wordWrap/>
              <w:overflowPunct/>
              <w:topLinePunct w:val="0"/>
              <w:autoSpaceDE/>
              <w:bidi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553" w:type="pct"/>
            <w:noWrap w:val="0"/>
            <w:vAlign w:val="center"/>
          </w:tcPr>
          <w:p w14:paraId="13B78BEF">
            <w:pPr>
              <w:keepNext w:val="0"/>
              <w:keepLines w:val="0"/>
              <w:pageBreakBefore w:val="0"/>
              <w:widowControl w:val="0"/>
              <w:wordWrap/>
              <w:overflowPunct/>
              <w:topLinePunct w:val="0"/>
              <w:autoSpaceDE/>
              <w:bidi w:val="0"/>
              <w:adjustRightInd w:val="0"/>
              <w:snapToGrid w:val="0"/>
              <w:spacing w:line="240" w:lineRule="auto"/>
              <w:jc w:val="center"/>
              <w:rPr>
                <w:rFonts w:hint="default" w:eastAsia="方正仿宋_GB2312" w:cs="方正仿宋_GB2312" w:asciiTheme="minorAscii" w:hAnsiTheme="minorAscii"/>
                <w:caps w:val="0"/>
                <w:smallCaps w:val="0"/>
                <w:color w:val="auto"/>
                <w:sz w:val="21"/>
                <w:szCs w:val="21"/>
                <w:highlight w:val="none"/>
              </w:rPr>
            </w:pPr>
          </w:p>
        </w:tc>
        <w:tc>
          <w:tcPr>
            <w:tcW w:w="553" w:type="pct"/>
            <w:noWrap w:val="0"/>
            <w:vAlign w:val="center"/>
          </w:tcPr>
          <w:p w14:paraId="7A5C49EE">
            <w:pPr>
              <w:keepNext w:val="0"/>
              <w:keepLines w:val="0"/>
              <w:pageBreakBefore w:val="0"/>
              <w:widowControl w:val="0"/>
              <w:wordWrap/>
              <w:overflowPunct/>
              <w:topLinePunct w:val="0"/>
              <w:autoSpaceDE/>
              <w:autoSpaceDN w:val="0"/>
              <w:bidi w:val="0"/>
              <w:spacing w:line="240" w:lineRule="auto"/>
              <w:jc w:val="center"/>
              <w:textAlignment w:val="center"/>
              <w:rPr>
                <w:rFonts w:hint="default" w:eastAsia="方正仿宋_GB2312" w:cs="方正仿宋_GB2312" w:asciiTheme="minorAscii" w:hAnsiTheme="minorAscii"/>
                <w:caps w:val="0"/>
                <w:smallCaps w:val="0"/>
                <w:color w:val="auto"/>
                <w:sz w:val="21"/>
                <w:szCs w:val="21"/>
                <w:highlight w:val="none"/>
              </w:rPr>
            </w:pPr>
          </w:p>
        </w:tc>
        <w:tc>
          <w:tcPr>
            <w:tcW w:w="550" w:type="pct"/>
            <w:noWrap w:val="0"/>
            <w:vAlign w:val="center"/>
          </w:tcPr>
          <w:p w14:paraId="6350FC67">
            <w:pPr>
              <w:keepNext w:val="0"/>
              <w:keepLines w:val="0"/>
              <w:pageBreakBefore w:val="0"/>
              <w:widowControl w:val="0"/>
              <w:wordWrap/>
              <w:overflowPunct/>
              <w:topLinePunct w:val="0"/>
              <w:autoSpaceDE/>
              <w:autoSpaceDN w:val="0"/>
              <w:bidi w:val="0"/>
              <w:spacing w:line="240" w:lineRule="auto"/>
              <w:jc w:val="center"/>
              <w:textAlignment w:val="center"/>
              <w:rPr>
                <w:rFonts w:hint="default" w:eastAsia="方正仿宋_GB2312" w:cs="方正仿宋_GB2312" w:asciiTheme="minorAscii" w:hAnsiTheme="minorAscii"/>
                <w:caps w:val="0"/>
                <w:smallCaps w:val="0"/>
                <w:color w:val="auto"/>
                <w:sz w:val="21"/>
                <w:szCs w:val="21"/>
                <w:highlight w:val="none"/>
              </w:rPr>
            </w:pPr>
          </w:p>
        </w:tc>
        <w:tc>
          <w:tcPr>
            <w:tcW w:w="529" w:type="pct"/>
            <w:noWrap w:val="0"/>
            <w:vAlign w:val="center"/>
          </w:tcPr>
          <w:p w14:paraId="316DDBE8">
            <w:pPr>
              <w:keepNext w:val="0"/>
              <w:keepLines w:val="0"/>
              <w:pageBreakBefore w:val="0"/>
              <w:widowControl w:val="0"/>
              <w:wordWrap/>
              <w:overflowPunct/>
              <w:topLinePunct w:val="0"/>
              <w:autoSpaceDE/>
              <w:autoSpaceDN w:val="0"/>
              <w:bidi w:val="0"/>
              <w:spacing w:line="240" w:lineRule="auto"/>
              <w:jc w:val="center"/>
              <w:textAlignment w:val="center"/>
              <w:rPr>
                <w:rFonts w:hint="default" w:eastAsia="方正仿宋_GB2312" w:cs="方正仿宋_GB2312" w:asciiTheme="minorAscii" w:hAnsiTheme="minorAscii"/>
                <w:caps w:val="0"/>
                <w:smallCaps w:val="0"/>
                <w:color w:val="auto"/>
                <w:sz w:val="21"/>
                <w:szCs w:val="21"/>
                <w:highlight w:val="none"/>
              </w:rPr>
            </w:pPr>
          </w:p>
        </w:tc>
      </w:tr>
      <w:tr w14:paraId="4C42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483" w:type="pct"/>
            <w:gridSpan w:val="2"/>
            <w:noWrap w:val="0"/>
            <w:vAlign w:val="center"/>
          </w:tcPr>
          <w:p w14:paraId="0CB3436C">
            <w:pPr>
              <w:keepNext w:val="0"/>
              <w:keepLines w:val="0"/>
              <w:pageBreakBefore w:val="0"/>
              <w:widowControl w:val="0"/>
              <w:wordWrap/>
              <w:overflowPunct/>
              <w:topLinePunct w:val="0"/>
              <w:autoSpaceDE/>
              <w:bidi w:val="0"/>
              <w:adjustRightInd w:val="0"/>
              <w:snapToGrid w:val="0"/>
              <w:spacing w:line="240" w:lineRule="auto"/>
              <w:jc w:val="center"/>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总计（人民币/元）</w:t>
            </w:r>
          </w:p>
        </w:tc>
        <w:tc>
          <w:tcPr>
            <w:tcW w:w="3516" w:type="pct"/>
            <w:gridSpan w:val="6"/>
            <w:noWrap w:val="0"/>
            <w:vAlign w:val="center"/>
          </w:tcPr>
          <w:p w14:paraId="1F6B9DDE">
            <w:pPr>
              <w:keepNext w:val="0"/>
              <w:keepLines w:val="0"/>
              <w:pageBreakBefore w:val="0"/>
              <w:widowControl w:val="0"/>
              <w:wordWrap/>
              <w:overflowPunct/>
              <w:topLinePunct w:val="0"/>
              <w:autoSpaceDE/>
              <w:bidi w:val="0"/>
              <w:adjustRightInd w:val="0"/>
              <w:snapToGrid w:val="0"/>
              <w:spacing w:line="240" w:lineRule="auto"/>
              <w:rPr>
                <w:rFonts w:hint="default" w:eastAsia="方正仿宋_GB2312" w:cs="方正仿宋_GB2312" w:asciiTheme="minorAscii" w:hAnsiTheme="minorAscii"/>
                <w:b/>
                <w:bCs/>
                <w:caps w:val="0"/>
                <w:smallCaps w:val="0"/>
                <w:color w:val="auto"/>
                <w:sz w:val="21"/>
                <w:szCs w:val="21"/>
                <w:highlight w:val="none"/>
              </w:rPr>
            </w:pPr>
            <w:r>
              <w:rPr>
                <w:rFonts w:hint="default" w:eastAsia="方正仿宋_GB2312" w:cs="方正仿宋_GB2312" w:asciiTheme="minorAscii" w:hAnsiTheme="minorAscii"/>
                <w:b/>
                <w:bCs/>
                <w:caps w:val="0"/>
                <w:smallCaps w:val="0"/>
                <w:color w:val="auto"/>
                <w:sz w:val="21"/>
                <w:szCs w:val="21"/>
                <w:highlight w:val="none"/>
              </w:rPr>
              <w:t>￥：</w:t>
            </w:r>
            <w:r>
              <w:rPr>
                <w:rFonts w:hint="default" w:eastAsia="方正仿宋_GB2312" w:cs="方正仿宋_GB2312" w:asciiTheme="minorAscii" w:hAnsiTheme="minorAscii"/>
                <w:b/>
                <w:bCs/>
                <w:caps w:val="0"/>
                <w:smallCaps w:val="0"/>
                <w:color w:val="auto"/>
                <w:sz w:val="21"/>
                <w:szCs w:val="21"/>
                <w:highlight w:val="none"/>
                <w:lang w:val="en-US" w:eastAsia="zh-CN"/>
              </w:rPr>
              <w:t xml:space="preserve">                         </w:t>
            </w:r>
            <w:r>
              <w:rPr>
                <w:rFonts w:hint="default" w:eastAsia="方正仿宋_GB2312" w:cs="方正仿宋_GB2312" w:asciiTheme="minorAscii" w:hAnsiTheme="minorAscii"/>
                <w:b/>
                <w:bCs/>
                <w:caps w:val="0"/>
                <w:smallCaps w:val="0"/>
                <w:color w:val="auto"/>
                <w:sz w:val="21"/>
                <w:szCs w:val="21"/>
                <w:highlight w:val="none"/>
              </w:rPr>
              <w:t>（大写）</w:t>
            </w:r>
          </w:p>
        </w:tc>
      </w:tr>
      <w:tr w14:paraId="78A3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5000" w:type="pct"/>
            <w:gridSpan w:val="8"/>
            <w:noWrap w:val="0"/>
            <w:vAlign w:val="center"/>
          </w:tcPr>
          <w:p w14:paraId="6B9D9FDA">
            <w:pPr>
              <w:keepNext w:val="0"/>
              <w:keepLines w:val="0"/>
              <w:pageBreakBefore w:val="0"/>
              <w:widowControl w:val="0"/>
              <w:wordWrap/>
              <w:overflowPunct/>
              <w:topLinePunct w:val="0"/>
              <w:autoSpaceDE/>
              <w:bidi w:val="0"/>
              <w:adjustRightInd w:val="0"/>
              <w:snapToGrid w:val="0"/>
              <w:spacing w:line="240" w:lineRule="auto"/>
              <w:jc w:val="left"/>
              <w:rPr>
                <w:rFonts w:hint="default" w:eastAsia="方正仿宋_GB2312" w:cs="方正仿宋_GB2312" w:asciiTheme="minorAscii" w:hAnsiTheme="minorAscii"/>
                <w:b w:val="0"/>
                <w:bCs w:val="0"/>
                <w:caps w:val="0"/>
                <w:smallCaps w:val="0"/>
                <w:color w:val="auto"/>
                <w:sz w:val="21"/>
                <w:szCs w:val="21"/>
                <w:highlight w:val="none"/>
                <w:lang w:val="en-US" w:eastAsia="zh-CN"/>
              </w:rPr>
            </w:pPr>
            <w:bookmarkStart w:id="4" w:name="_Toc16947_WPSOffice_Level2"/>
            <w:r>
              <w:rPr>
                <w:rFonts w:hint="default" w:eastAsia="方正仿宋_GB2312" w:cs="方正仿宋_GB2312" w:asciiTheme="minorAscii" w:hAnsiTheme="minorAscii"/>
                <w:b w:val="0"/>
                <w:bCs w:val="0"/>
                <w:caps w:val="0"/>
                <w:smallCaps w:val="0"/>
                <w:color w:val="auto"/>
                <w:sz w:val="21"/>
                <w:szCs w:val="21"/>
                <w:highlight w:val="none"/>
                <w:lang w:val="en-US" w:eastAsia="zh-CN"/>
              </w:rPr>
              <w:t>备注：以上单价=</w:t>
            </w:r>
            <w:r>
              <w:rPr>
                <w:rFonts w:hint="eastAsia" w:eastAsia="方正仿宋_GB2312" w:cs="方正仿宋_GB2312" w:asciiTheme="minorAscii" w:hAnsiTheme="minorAscii"/>
                <w:b w:val="0"/>
                <w:bCs w:val="0"/>
                <w:caps w:val="0"/>
                <w:smallCaps w:val="0"/>
                <w:color w:val="auto"/>
                <w:sz w:val="21"/>
                <w:szCs w:val="21"/>
                <w:highlight w:val="none"/>
                <w:lang w:val="en-US" w:eastAsia="zh-CN"/>
              </w:rPr>
              <w:t>分项</w:t>
            </w:r>
            <w:r>
              <w:rPr>
                <w:rFonts w:hint="default" w:eastAsia="方正仿宋_GB2312" w:cs="方正仿宋_GB2312" w:asciiTheme="minorAscii" w:hAnsiTheme="minorAscii"/>
                <w:b w:val="0"/>
                <w:bCs w:val="0"/>
                <w:caps w:val="0"/>
                <w:smallCaps w:val="0"/>
                <w:color w:val="auto"/>
                <w:sz w:val="21"/>
                <w:szCs w:val="21"/>
                <w:highlight w:val="none"/>
                <w:lang w:val="en-US" w:eastAsia="zh-CN"/>
              </w:rPr>
              <w:t>报价表所填</w:t>
            </w:r>
            <w:r>
              <w:rPr>
                <w:rFonts w:hint="eastAsia" w:eastAsia="方正仿宋_GB2312" w:cs="方正仿宋_GB2312" w:asciiTheme="minorAscii" w:hAnsiTheme="minorAscii"/>
                <w:b w:val="0"/>
                <w:bCs w:val="0"/>
                <w:caps w:val="0"/>
                <w:smallCaps w:val="0"/>
                <w:color w:val="auto"/>
                <w:sz w:val="21"/>
                <w:szCs w:val="21"/>
                <w:highlight w:val="none"/>
                <w:lang w:val="en-US" w:eastAsia="zh-CN"/>
              </w:rPr>
              <w:t>首次</w:t>
            </w:r>
            <w:r>
              <w:rPr>
                <w:rFonts w:hint="default" w:eastAsia="方正仿宋_GB2312" w:cs="方正仿宋_GB2312" w:asciiTheme="minorAscii" w:hAnsiTheme="minorAscii"/>
                <w:b w:val="0"/>
                <w:bCs w:val="0"/>
                <w:caps w:val="0"/>
                <w:smallCaps w:val="0"/>
                <w:color w:val="auto"/>
                <w:sz w:val="21"/>
                <w:szCs w:val="21"/>
                <w:highlight w:val="none"/>
                <w:lang w:val="en-US" w:eastAsia="zh-CN"/>
              </w:rPr>
              <w:t>单价×（最终报价</w:t>
            </w:r>
            <w:r>
              <w:rPr>
                <w:rFonts w:hint="eastAsia" w:eastAsia="方正仿宋_GB2312" w:cs="方正仿宋_GB2312" w:asciiTheme="minorAscii" w:hAnsiTheme="minorAscii"/>
                <w:b w:val="0"/>
                <w:bCs w:val="0"/>
                <w:caps w:val="0"/>
                <w:smallCaps w:val="0"/>
                <w:color w:val="auto"/>
                <w:sz w:val="21"/>
                <w:szCs w:val="21"/>
                <w:highlight w:val="none"/>
                <w:lang w:val="en-US" w:eastAsia="zh-CN"/>
              </w:rPr>
              <w:t>总价</w:t>
            </w:r>
            <w:r>
              <w:rPr>
                <w:rFonts w:hint="default" w:eastAsia="方正仿宋_GB2312" w:cs="方正仿宋_GB2312" w:asciiTheme="minorAscii" w:hAnsiTheme="minorAscii"/>
                <w:b w:val="0"/>
                <w:bCs w:val="0"/>
                <w:caps w:val="0"/>
                <w:smallCaps w:val="0"/>
                <w:color w:val="auto"/>
                <w:sz w:val="21"/>
                <w:szCs w:val="21"/>
                <w:highlight w:val="none"/>
                <w:lang w:val="en-US" w:eastAsia="zh-CN"/>
              </w:rPr>
              <w:t>/</w:t>
            </w:r>
            <w:r>
              <w:rPr>
                <w:rFonts w:hint="eastAsia" w:eastAsia="方正仿宋_GB2312" w:cs="方正仿宋_GB2312" w:asciiTheme="minorAscii" w:hAnsiTheme="minorAscii"/>
                <w:b w:val="0"/>
                <w:bCs w:val="0"/>
                <w:caps w:val="0"/>
                <w:smallCaps w:val="0"/>
                <w:color w:val="auto"/>
                <w:sz w:val="21"/>
                <w:szCs w:val="21"/>
                <w:highlight w:val="none"/>
                <w:lang w:val="en-US" w:eastAsia="zh-CN"/>
              </w:rPr>
              <w:t>首次</w:t>
            </w:r>
            <w:r>
              <w:rPr>
                <w:rFonts w:hint="default" w:eastAsia="方正仿宋_GB2312" w:cs="方正仿宋_GB2312" w:asciiTheme="minorAscii" w:hAnsiTheme="minorAscii"/>
                <w:b w:val="0"/>
                <w:bCs w:val="0"/>
                <w:caps w:val="0"/>
                <w:smallCaps w:val="0"/>
                <w:color w:val="auto"/>
                <w:sz w:val="21"/>
                <w:szCs w:val="21"/>
                <w:highlight w:val="none"/>
                <w:lang w:val="en-US" w:eastAsia="zh-CN"/>
              </w:rPr>
              <w:t>报价</w:t>
            </w:r>
            <w:r>
              <w:rPr>
                <w:rFonts w:hint="eastAsia" w:eastAsia="方正仿宋_GB2312" w:cs="方正仿宋_GB2312" w:asciiTheme="minorAscii" w:hAnsiTheme="minorAscii"/>
                <w:b w:val="0"/>
                <w:bCs w:val="0"/>
                <w:caps w:val="0"/>
                <w:smallCaps w:val="0"/>
                <w:color w:val="auto"/>
                <w:sz w:val="21"/>
                <w:szCs w:val="21"/>
                <w:highlight w:val="none"/>
                <w:lang w:val="en-US" w:eastAsia="zh-CN"/>
              </w:rPr>
              <w:t>总价</w:t>
            </w:r>
            <w:r>
              <w:rPr>
                <w:rFonts w:hint="default" w:eastAsia="方正仿宋_GB2312" w:cs="方正仿宋_GB2312" w:asciiTheme="minorAscii" w:hAnsiTheme="minorAscii"/>
                <w:b w:val="0"/>
                <w:bCs w:val="0"/>
                <w:caps w:val="0"/>
                <w:smallCaps w:val="0"/>
                <w:color w:val="auto"/>
                <w:sz w:val="21"/>
                <w:szCs w:val="21"/>
                <w:highlight w:val="none"/>
                <w:lang w:val="en-US" w:eastAsia="zh-CN"/>
              </w:rPr>
              <w:t>）。</w:t>
            </w:r>
          </w:p>
        </w:tc>
      </w:tr>
    </w:tbl>
    <w:p w14:paraId="469DED13">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caps w:val="0"/>
          <w:smallCaps w:val="0"/>
          <w:color w:val="auto"/>
          <w:sz w:val="21"/>
          <w:szCs w:val="21"/>
          <w:highlight w:val="none"/>
          <w:lang w:val="en-US" w:eastAsia="zh-CN"/>
        </w:rPr>
      </w:pPr>
      <w:r>
        <w:rPr>
          <w:rFonts w:hint="default" w:eastAsia="方正仿宋_GB2312" w:cs="方正仿宋_GB2312" w:asciiTheme="minorAscii" w:hAnsiTheme="minorAscii"/>
          <w:caps w:val="0"/>
          <w:smallCaps w:val="0"/>
          <w:color w:val="auto"/>
          <w:sz w:val="21"/>
          <w:szCs w:val="21"/>
          <w:highlight w:val="none"/>
          <w:lang w:val="en-US" w:eastAsia="zh-CN"/>
        </w:rPr>
        <w:t>结算方式：以固定单价方式据实结算（即：合同单价一次性包死，不受市场价格变化因素的影响，不再调整）。</w:t>
      </w:r>
    </w:p>
    <w:p w14:paraId="74DC6245">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r>
        <w:rPr>
          <w:rFonts w:hint="default" w:eastAsia="方正仿宋_GB2312" w:cs="方正仿宋_GB2312" w:asciiTheme="minorAscii" w:hAnsiTheme="minorAscii"/>
          <w:b/>
          <w:caps w:val="0"/>
          <w:smallCaps w:val="0"/>
          <w:color w:val="auto"/>
          <w:sz w:val="21"/>
          <w:szCs w:val="21"/>
          <w:highlight w:val="none"/>
        </w:rPr>
        <w:t>三、款项结算</w:t>
      </w:r>
      <w:bookmarkEnd w:id="4"/>
    </w:p>
    <w:p w14:paraId="636168DD">
      <w:pPr>
        <w:keepNext w:val="0"/>
        <w:keepLines w:val="0"/>
        <w:pageBreakBefore w:val="0"/>
        <w:widowControl w:val="0"/>
        <w:tabs>
          <w:tab w:val="left" w:pos="480"/>
        </w:tabs>
        <w:kinsoku/>
        <w:wordWrap/>
        <w:overflowPunct/>
        <w:topLinePunct w:val="0"/>
        <w:autoSpaceDE w:val="0"/>
        <w:autoSpaceDN w:val="0"/>
        <w:bidi w:val="0"/>
        <w:adjustRightInd w:val="0"/>
        <w:spacing w:beforeLines="0" w:afterLines="0" w:line="360" w:lineRule="auto"/>
        <w:ind w:firstLine="480"/>
        <w:textAlignment w:val="auto"/>
        <w:rPr>
          <w:rFonts w:hint="eastAsia" w:eastAsia="方正仿宋_GB2312" w:cs="方正仿宋_GB2312" w:asciiTheme="minorAscii" w:hAnsiTheme="minorAscii"/>
          <w:caps w:val="0"/>
          <w:smallCaps w:val="0"/>
          <w:color w:val="auto"/>
          <w:sz w:val="21"/>
          <w:szCs w:val="21"/>
          <w:highlight w:val="none"/>
          <w:lang w:val="en-US" w:eastAsia="zh-CN"/>
        </w:rPr>
      </w:pPr>
      <w:r>
        <w:rPr>
          <w:rFonts w:hint="default" w:eastAsia="方正仿宋_GB2312" w:cs="方正仿宋_GB2312" w:asciiTheme="minorAscii" w:hAnsiTheme="minorAscii"/>
          <w:caps w:val="0"/>
          <w:smallCaps w:val="0"/>
          <w:color w:val="auto"/>
          <w:sz w:val="21"/>
          <w:szCs w:val="21"/>
          <w:highlight w:val="none"/>
        </w:rPr>
        <w:t>（一）合同签订后预检备货的数量款式质量，达到付款条件起10个工作日内，支付合同总金额的50%</w:t>
      </w:r>
      <w:r>
        <w:rPr>
          <w:rFonts w:hint="eastAsia" w:eastAsia="方正仿宋_GB2312" w:cs="方正仿宋_GB2312" w:asciiTheme="minorAscii" w:hAnsiTheme="minorAscii"/>
          <w:caps w:val="0"/>
          <w:smallCaps w:val="0"/>
          <w:color w:val="auto"/>
          <w:sz w:val="21"/>
          <w:szCs w:val="21"/>
          <w:highlight w:val="none"/>
          <w:lang w:eastAsia="zh-CN"/>
        </w:rPr>
        <w:t>；</w:t>
      </w:r>
      <w:r>
        <w:rPr>
          <w:rFonts w:hint="default" w:eastAsia="方正仿宋_GB2312" w:cs="方正仿宋_GB2312" w:asciiTheme="minorAscii" w:hAnsiTheme="minorAscii"/>
          <w:caps w:val="0"/>
          <w:smallCaps w:val="0"/>
          <w:color w:val="auto"/>
          <w:sz w:val="21"/>
          <w:szCs w:val="21"/>
          <w:highlight w:val="none"/>
        </w:rPr>
        <w:t>供货完成且验收合格，达到付款条件起10个工作日内，支付合同总金额的50%</w:t>
      </w:r>
      <w:r>
        <w:rPr>
          <w:rFonts w:hint="eastAsia" w:eastAsia="方正仿宋_GB2312" w:cs="方正仿宋_GB2312" w:asciiTheme="minorAscii" w:hAnsiTheme="minorAscii"/>
          <w:caps w:val="0"/>
          <w:smallCaps w:val="0"/>
          <w:color w:val="auto"/>
          <w:sz w:val="21"/>
          <w:szCs w:val="21"/>
          <w:highlight w:val="none"/>
          <w:lang w:eastAsia="zh-CN"/>
        </w:rPr>
        <w:t>。</w:t>
      </w:r>
    </w:p>
    <w:p w14:paraId="4FBC7DA3">
      <w:pPr>
        <w:keepNext w:val="0"/>
        <w:keepLines w:val="0"/>
        <w:pageBreakBefore w:val="0"/>
        <w:widowControl w:val="0"/>
        <w:tabs>
          <w:tab w:val="left" w:pos="480"/>
        </w:tabs>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二</w:t>
      </w: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付款前，由</w:t>
      </w:r>
      <w:r>
        <w:rPr>
          <w:rFonts w:hint="default" w:eastAsia="方正仿宋_GB2312" w:cs="方正仿宋_GB2312" w:asciiTheme="minorAscii" w:hAnsiTheme="minorAscii"/>
          <w:caps w:val="0"/>
          <w:smallCaps w:val="0"/>
          <w:color w:val="auto"/>
          <w:sz w:val="21"/>
          <w:szCs w:val="21"/>
          <w:highlight w:val="none"/>
          <w:lang w:eastAsia="zh-CN"/>
        </w:rPr>
        <w:t>乙方</w:t>
      </w:r>
      <w:r>
        <w:rPr>
          <w:rFonts w:hint="default" w:eastAsia="方正仿宋_GB2312" w:cs="方正仿宋_GB2312" w:asciiTheme="minorAscii" w:hAnsiTheme="minorAscii"/>
          <w:caps w:val="0"/>
          <w:smallCaps w:val="0"/>
          <w:color w:val="auto"/>
          <w:sz w:val="21"/>
          <w:szCs w:val="21"/>
          <w:highlight w:val="none"/>
        </w:rPr>
        <w:t>开具</w:t>
      </w:r>
      <w:r>
        <w:rPr>
          <w:rFonts w:hint="default" w:eastAsia="方正仿宋_GB2312" w:cs="方正仿宋_GB2312" w:asciiTheme="minorAscii" w:hAnsiTheme="minorAscii"/>
          <w:caps w:val="0"/>
          <w:smallCaps w:val="0"/>
          <w:color w:val="auto"/>
          <w:sz w:val="21"/>
          <w:szCs w:val="21"/>
          <w:highlight w:val="none"/>
          <w:lang w:val="en-US" w:eastAsia="zh-CN"/>
        </w:rPr>
        <w:t>等额</w:t>
      </w:r>
      <w:r>
        <w:rPr>
          <w:rFonts w:hint="default" w:eastAsia="方正仿宋_GB2312" w:cs="方正仿宋_GB2312" w:asciiTheme="minorAscii" w:hAnsiTheme="minorAscii"/>
          <w:caps w:val="0"/>
          <w:smallCaps w:val="0"/>
          <w:color w:val="auto"/>
          <w:sz w:val="21"/>
          <w:szCs w:val="21"/>
          <w:highlight w:val="none"/>
        </w:rPr>
        <w:t>增值税发票。</w:t>
      </w:r>
    </w:p>
    <w:p w14:paraId="7E7220E2">
      <w:pPr>
        <w:keepNext w:val="0"/>
        <w:keepLines w:val="0"/>
        <w:pageBreakBefore w:val="0"/>
        <w:widowControl w:val="0"/>
        <w:tabs>
          <w:tab w:val="left" w:pos="480"/>
        </w:tabs>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三</w:t>
      </w:r>
      <w:r>
        <w:rPr>
          <w:rFonts w:hint="default" w:eastAsia="方正仿宋_GB2312" w:cs="方正仿宋_GB2312" w:asciiTheme="minorAscii" w:hAnsiTheme="minorAscii"/>
          <w:caps w:val="0"/>
          <w:smallCaps w:val="0"/>
          <w:color w:val="auto"/>
          <w:sz w:val="21"/>
          <w:szCs w:val="21"/>
          <w:highlight w:val="none"/>
        </w:rPr>
        <w:t>）支付方式：银行转账。</w:t>
      </w:r>
    </w:p>
    <w:p w14:paraId="1A01C90C">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5" w:name="_Toc428_WPSOffice_Level2"/>
      <w:r>
        <w:rPr>
          <w:rFonts w:hint="default" w:eastAsia="方正仿宋_GB2312" w:cs="方正仿宋_GB2312" w:asciiTheme="minorAscii" w:hAnsiTheme="minorAscii"/>
          <w:b/>
          <w:caps w:val="0"/>
          <w:smallCaps w:val="0"/>
          <w:color w:val="auto"/>
          <w:sz w:val="21"/>
          <w:szCs w:val="21"/>
          <w:highlight w:val="none"/>
        </w:rPr>
        <w:t>四、技术标准、质量标准及其他要求</w:t>
      </w:r>
      <w:bookmarkEnd w:id="5"/>
    </w:p>
    <w:p w14:paraId="2ACE0F8D">
      <w:pPr>
        <w:keepNext w:val="0"/>
        <w:keepLines w:val="0"/>
        <w:pageBreakBefore w:val="0"/>
        <w:widowControl w:val="0"/>
        <w:tabs>
          <w:tab w:val="left" w:pos="480"/>
        </w:tabs>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（一）所选材料必须保证质量可靠、进货渠道正规，面料、制作符合国家、行业标准合</w:t>
      </w:r>
      <w:r>
        <w:rPr>
          <w:rFonts w:hint="eastAsia" w:eastAsia="方正仿宋_GB2312" w:cs="方正仿宋_GB2312" w:asciiTheme="minorAscii" w:hAnsiTheme="minorAscii"/>
          <w:caps w:val="0"/>
          <w:smallCaps w:val="0"/>
          <w:color w:val="auto"/>
          <w:sz w:val="21"/>
          <w:szCs w:val="21"/>
          <w:highlight w:val="none"/>
          <w:lang w:eastAsia="zh-CN"/>
        </w:rPr>
        <w:t>格产</w:t>
      </w:r>
      <w:r>
        <w:rPr>
          <w:rFonts w:hint="default" w:eastAsia="方正仿宋_GB2312" w:cs="方正仿宋_GB2312" w:asciiTheme="minorAscii" w:hAnsiTheme="minorAscii"/>
          <w:caps w:val="0"/>
          <w:smallCaps w:val="0"/>
          <w:color w:val="auto"/>
          <w:sz w:val="21"/>
          <w:szCs w:val="21"/>
          <w:highlight w:val="none"/>
        </w:rPr>
        <w:t>品要求。</w:t>
      </w:r>
    </w:p>
    <w:p w14:paraId="3C9D2696">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13" w:firstLineChars="197"/>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（二）所提供的产品符合国家现行标准和相应的技术规范，这些标准和技术规范应为合同签订之日为止最新公布发行的标准和技术规范。</w:t>
      </w:r>
    </w:p>
    <w:p w14:paraId="1E24FEED">
      <w:pPr>
        <w:keepNext w:val="0"/>
        <w:keepLines w:val="0"/>
        <w:pageBreakBefore w:val="0"/>
        <w:widowControl w:val="0"/>
        <w:tabs>
          <w:tab w:val="left" w:pos="480"/>
        </w:tabs>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（三）</w:t>
      </w:r>
      <w:r>
        <w:rPr>
          <w:rFonts w:hint="default" w:eastAsia="方正仿宋_GB2312" w:cs="方正仿宋_GB2312" w:asciiTheme="minorAscii" w:hAnsiTheme="minorAscii"/>
          <w:caps w:val="0"/>
          <w:smallCaps w:val="0"/>
          <w:color w:val="auto"/>
          <w:kern w:val="0"/>
          <w:sz w:val="21"/>
          <w:szCs w:val="21"/>
          <w:highlight w:val="none"/>
          <w:lang w:eastAsia="zh-CN"/>
        </w:rPr>
        <w:t>质保期</w:t>
      </w:r>
      <w:r>
        <w:rPr>
          <w:rFonts w:hint="default" w:eastAsia="方正仿宋_GB2312" w:cs="方正仿宋_GB2312" w:asciiTheme="minorAscii" w:hAnsiTheme="minorAscii"/>
          <w:caps w:val="0"/>
          <w:smallCaps w:val="0"/>
          <w:color w:val="auto"/>
          <w:kern w:val="0"/>
          <w:sz w:val="21"/>
          <w:szCs w:val="21"/>
          <w:highlight w:val="none"/>
        </w:rPr>
        <w:t>：</w:t>
      </w:r>
      <w:r>
        <w:rPr>
          <w:rFonts w:hint="default" w:eastAsia="方正仿宋_GB2312" w:cs="方正仿宋_GB2312" w:asciiTheme="minorAscii" w:hAnsiTheme="minorAscii"/>
          <w:caps w:val="0"/>
          <w:smallCaps w:val="0"/>
          <w:color w:val="auto"/>
          <w:kern w:val="0"/>
          <w:sz w:val="21"/>
          <w:szCs w:val="21"/>
          <w:highlight w:val="none"/>
          <w:lang w:val="en-US" w:eastAsia="zh-CN"/>
        </w:rPr>
        <w:t>根据国家关于</w:t>
      </w:r>
      <w:r>
        <w:rPr>
          <w:rFonts w:hint="default" w:eastAsia="方正仿宋_GB2312" w:cs="方正仿宋_GB2312" w:asciiTheme="minorAscii" w:hAnsiTheme="minorAscii"/>
          <w:caps w:val="0"/>
          <w:smallCaps w:val="0"/>
          <w:color w:val="auto"/>
          <w:kern w:val="0"/>
          <w:sz w:val="21"/>
          <w:szCs w:val="21"/>
          <w:highlight w:val="none"/>
        </w:rPr>
        <w:t>《消费品使用说明纺织品和服装使用说明》</w:t>
      </w:r>
      <w:r>
        <w:rPr>
          <w:rFonts w:hint="default" w:eastAsia="方正仿宋_GB2312" w:cs="方正仿宋_GB2312" w:asciiTheme="minorAscii" w:hAnsiTheme="minorAscii"/>
          <w:caps w:val="0"/>
          <w:smallCaps w:val="0"/>
          <w:color w:val="auto"/>
          <w:kern w:val="0"/>
          <w:sz w:val="21"/>
          <w:szCs w:val="21"/>
          <w:highlight w:val="none"/>
          <w:lang w:val="en-US" w:eastAsia="zh-CN"/>
        </w:rPr>
        <w:t>管理规定及本项目实际情况，本项目质保期为一年，从验收合格之日起计算。质保期内，乙方应对问题产品进行免费维修或更换。</w:t>
      </w:r>
    </w:p>
    <w:p w14:paraId="026333D8">
      <w:pPr>
        <w:keepNext w:val="0"/>
        <w:keepLines w:val="0"/>
        <w:pageBreakBefore w:val="0"/>
        <w:widowControl w:val="0"/>
        <w:numPr>
          <w:ilvl w:val="0"/>
          <w:numId w:val="0"/>
        </w:numPr>
        <w:kinsoku/>
        <w:wordWrap/>
        <w:overflowPunct/>
        <w:topLinePunct w:val="0"/>
        <w:autoSpaceDE w:val="0"/>
        <w:autoSpaceDN w:val="0"/>
        <w:bidi w:val="0"/>
        <w:adjustRightInd w:val="0"/>
        <w:snapToGrid w:val="0"/>
        <w:spacing w:afterLines="0" w:line="360" w:lineRule="auto"/>
        <w:ind w:firstLine="420" w:firstLineChars="200"/>
        <w:textAlignment w:val="auto"/>
        <w:rPr>
          <w:rFonts w:hint="default" w:eastAsia="方正仿宋_GB2312" w:cs="方正仿宋_GB2312" w:asciiTheme="minorAscii" w:hAnsiTheme="minorAscii"/>
          <w:caps w:val="0"/>
          <w:smallCaps w:val="0"/>
          <w:color w:val="auto"/>
          <w:kern w:val="0"/>
          <w:sz w:val="21"/>
          <w:szCs w:val="21"/>
          <w:highlight w:val="none"/>
          <w:lang w:eastAsia="zh-CN"/>
        </w:rPr>
      </w:pPr>
      <w:r>
        <w:rPr>
          <w:rFonts w:hint="default" w:eastAsia="方正仿宋_GB2312" w:cs="方正仿宋_GB2312" w:asciiTheme="minorAscii" w:hAnsiTheme="minorAscii"/>
          <w:caps w:val="0"/>
          <w:smallCaps w:val="0"/>
          <w:color w:val="auto"/>
          <w:kern w:val="0"/>
          <w:sz w:val="21"/>
          <w:szCs w:val="21"/>
          <w:highlight w:val="none"/>
          <w:lang w:val="en-US" w:eastAsia="zh-CN"/>
        </w:rPr>
        <w:t>除以下情形外，</w:t>
      </w:r>
      <w:r>
        <w:rPr>
          <w:rFonts w:hint="default" w:eastAsia="方正仿宋_GB2312" w:cs="方正仿宋_GB2312" w:asciiTheme="minorAscii" w:hAnsiTheme="minorAscii"/>
          <w:caps w:val="0"/>
          <w:smallCaps w:val="0"/>
          <w:color w:val="auto"/>
          <w:kern w:val="0"/>
          <w:sz w:val="21"/>
          <w:szCs w:val="21"/>
          <w:highlight w:val="none"/>
        </w:rPr>
        <w:t>卖方对</w:t>
      </w:r>
      <w:r>
        <w:rPr>
          <w:rFonts w:hint="default" w:eastAsia="方正仿宋_GB2312" w:cs="方正仿宋_GB2312" w:asciiTheme="minorAscii" w:hAnsiTheme="minorAscii"/>
          <w:caps w:val="0"/>
          <w:smallCaps w:val="0"/>
          <w:color w:val="auto"/>
          <w:kern w:val="0"/>
          <w:sz w:val="21"/>
          <w:szCs w:val="21"/>
          <w:highlight w:val="none"/>
          <w:lang w:eastAsia="zh-CN"/>
        </w:rPr>
        <w:t>质保期</w:t>
      </w:r>
      <w:r>
        <w:rPr>
          <w:rFonts w:hint="default" w:eastAsia="方正仿宋_GB2312" w:cs="方正仿宋_GB2312" w:asciiTheme="minorAscii" w:hAnsiTheme="minorAscii"/>
          <w:caps w:val="0"/>
          <w:smallCaps w:val="0"/>
          <w:color w:val="auto"/>
          <w:kern w:val="0"/>
          <w:sz w:val="21"/>
          <w:szCs w:val="21"/>
          <w:highlight w:val="none"/>
        </w:rPr>
        <w:t>内的产品质量承担全部责任</w:t>
      </w:r>
      <w:r>
        <w:rPr>
          <w:rFonts w:hint="default" w:eastAsia="方正仿宋_GB2312" w:cs="方正仿宋_GB2312" w:asciiTheme="minorAscii" w:hAnsiTheme="minorAscii"/>
          <w:caps w:val="0"/>
          <w:smallCaps w:val="0"/>
          <w:color w:val="auto"/>
          <w:kern w:val="0"/>
          <w:sz w:val="21"/>
          <w:szCs w:val="21"/>
          <w:highlight w:val="none"/>
          <w:lang w:eastAsia="zh-CN"/>
        </w:rPr>
        <w:t>：</w:t>
      </w:r>
    </w:p>
    <w:p w14:paraId="47162589">
      <w:pPr>
        <w:keepNext w:val="0"/>
        <w:keepLines w:val="0"/>
        <w:pageBreakBefore w:val="0"/>
        <w:widowControl w:val="0"/>
        <w:numPr>
          <w:ilvl w:val="0"/>
          <w:numId w:val="0"/>
        </w:numPr>
        <w:kinsoku/>
        <w:wordWrap/>
        <w:overflowPunct/>
        <w:topLinePunct w:val="0"/>
        <w:autoSpaceDE w:val="0"/>
        <w:autoSpaceDN w:val="0"/>
        <w:bidi w:val="0"/>
        <w:adjustRightInd w:val="0"/>
        <w:snapToGrid w:val="0"/>
        <w:spacing w:afterLines="0" w:line="360" w:lineRule="auto"/>
        <w:ind w:firstLine="420" w:firstLineChars="200"/>
        <w:textAlignment w:val="auto"/>
        <w:rPr>
          <w:rFonts w:hint="default" w:eastAsia="方正仿宋_GB2312" w:cs="方正仿宋_GB2312" w:asciiTheme="minorAscii" w:hAnsiTheme="minorAscii"/>
          <w:caps w:val="0"/>
          <w:smallCaps w:val="0"/>
          <w:color w:val="auto"/>
          <w:kern w:val="0"/>
          <w:sz w:val="21"/>
          <w:szCs w:val="21"/>
          <w:highlight w:val="none"/>
          <w:lang w:eastAsia="zh-CN"/>
        </w:rPr>
      </w:pPr>
      <w:r>
        <w:rPr>
          <w:rFonts w:hint="default" w:eastAsia="方正仿宋_GB2312" w:cs="方正仿宋_GB2312" w:asciiTheme="minorAscii" w:hAnsiTheme="minorAscii"/>
          <w:caps w:val="0"/>
          <w:smallCaps w:val="0"/>
          <w:color w:val="auto"/>
          <w:kern w:val="0"/>
          <w:sz w:val="21"/>
          <w:szCs w:val="21"/>
          <w:highlight w:val="none"/>
          <w:lang w:val="en-US" w:eastAsia="zh-CN"/>
        </w:rPr>
        <w:t>（1）</w:t>
      </w:r>
      <w:r>
        <w:rPr>
          <w:rFonts w:hint="default" w:eastAsia="方正仿宋_GB2312" w:cs="方正仿宋_GB2312" w:asciiTheme="minorAscii" w:hAnsiTheme="minorAscii"/>
          <w:caps w:val="0"/>
          <w:smallCaps w:val="0"/>
          <w:color w:val="auto"/>
          <w:kern w:val="0"/>
          <w:sz w:val="21"/>
          <w:szCs w:val="21"/>
          <w:highlight w:val="none"/>
          <w:lang w:eastAsia="zh-CN"/>
        </w:rPr>
        <w:t>由于使用、洗涤、保管不当造成的划伤、沾色、掉色、缩水、披裂、虫蛀、起毛起球、破损的；</w:t>
      </w:r>
    </w:p>
    <w:p w14:paraId="35D4DD82">
      <w:pPr>
        <w:keepNext w:val="0"/>
        <w:keepLines w:val="0"/>
        <w:pageBreakBefore w:val="0"/>
        <w:widowControl w:val="0"/>
        <w:numPr>
          <w:ilvl w:val="0"/>
          <w:numId w:val="0"/>
        </w:numPr>
        <w:kinsoku/>
        <w:wordWrap/>
        <w:overflowPunct/>
        <w:topLinePunct w:val="0"/>
        <w:autoSpaceDE w:val="0"/>
        <w:autoSpaceDN w:val="0"/>
        <w:bidi w:val="0"/>
        <w:adjustRightInd w:val="0"/>
        <w:snapToGrid w:val="0"/>
        <w:spacing w:afterLines="0" w:line="360" w:lineRule="auto"/>
        <w:ind w:firstLine="420" w:firstLineChars="200"/>
        <w:textAlignment w:val="auto"/>
        <w:rPr>
          <w:rFonts w:hint="default" w:eastAsia="方正仿宋_GB2312" w:cs="方正仿宋_GB2312" w:asciiTheme="minorAscii" w:hAnsiTheme="minorAscii"/>
          <w:caps w:val="0"/>
          <w:smallCaps w:val="0"/>
          <w:color w:val="auto"/>
          <w:kern w:val="0"/>
          <w:sz w:val="21"/>
          <w:szCs w:val="21"/>
          <w:highlight w:val="none"/>
          <w:lang w:eastAsia="zh-CN"/>
        </w:rPr>
      </w:pPr>
      <w:r>
        <w:rPr>
          <w:rFonts w:hint="default" w:eastAsia="方正仿宋_GB2312" w:cs="方正仿宋_GB2312" w:asciiTheme="minorAscii" w:hAnsiTheme="minorAscii"/>
          <w:caps w:val="0"/>
          <w:smallCaps w:val="0"/>
          <w:color w:val="auto"/>
          <w:kern w:val="0"/>
          <w:sz w:val="21"/>
          <w:szCs w:val="21"/>
          <w:highlight w:val="none"/>
          <w:lang w:eastAsia="zh-CN"/>
        </w:rPr>
        <w:t>（</w:t>
      </w:r>
      <w:r>
        <w:rPr>
          <w:rFonts w:hint="default" w:eastAsia="方正仿宋_GB2312" w:cs="方正仿宋_GB2312" w:asciiTheme="minorAscii" w:hAnsiTheme="minorAscii"/>
          <w:caps w:val="0"/>
          <w:smallCaps w:val="0"/>
          <w:color w:val="auto"/>
          <w:kern w:val="0"/>
          <w:sz w:val="21"/>
          <w:szCs w:val="21"/>
          <w:highlight w:val="none"/>
          <w:lang w:val="en-US" w:eastAsia="zh-CN"/>
        </w:rPr>
        <w:t>2</w:t>
      </w:r>
      <w:r>
        <w:rPr>
          <w:rFonts w:hint="default" w:eastAsia="方正仿宋_GB2312" w:cs="方正仿宋_GB2312" w:asciiTheme="minorAscii" w:hAnsiTheme="minorAscii"/>
          <w:caps w:val="0"/>
          <w:smallCaps w:val="0"/>
          <w:color w:val="auto"/>
          <w:kern w:val="0"/>
          <w:sz w:val="21"/>
          <w:szCs w:val="21"/>
          <w:highlight w:val="none"/>
          <w:lang w:eastAsia="zh-CN"/>
        </w:rPr>
        <w:t>）自行修理或拆动的。</w:t>
      </w:r>
    </w:p>
    <w:p w14:paraId="005D619C">
      <w:pPr>
        <w:keepNext w:val="0"/>
        <w:keepLines w:val="0"/>
        <w:pageBreakBefore w:val="0"/>
        <w:widowControl w:val="0"/>
        <w:tabs>
          <w:tab w:val="left" w:pos="480"/>
        </w:tabs>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（四）具有良好的外观，适合工作人员的使用。</w:t>
      </w:r>
    </w:p>
    <w:p w14:paraId="6D305DFF">
      <w:pPr>
        <w:keepNext w:val="0"/>
        <w:keepLines w:val="0"/>
        <w:pageBreakBefore w:val="0"/>
        <w:widowControl w:val="0"/>
        <w:tabs>
          <w:tab w:val="left" w:pos="480"/>
        </w:tabs>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（五）乙方提供的产品，若发生侵权而产生的一切后果，由乙方负责，甲方保留索赔</w:t>
      </w:r>
      <w:r>
        <w:rPr>
          <w:rFonts w:hint="default" w:eastAsia="方正仿宋_GB2312" w:cs="方正仿宋_GB2312" w:asciiTheme="minorAscii" w:hAnsiTheme="minorAscii"/>
          <w:caps w:val="0"/>
          <w:smallCaps w:val="0"/>
          <w:color w:val="auto"/>
          <w:sz w:val="21"/>
          <w:szCs w:val="21"/>
          <w:highlight w:val="none"/>
          <w:lang w:val="en-US" w:eastAsia="zh-CN"/>
        </w:rPr>
        <w:t>权利</w:t>
      </w:r>
      <w:r>
        <w:rPr>
          <w:rFonts w:hint="default" w:eastAsia="方正仿宋_GB2312" w:cs="方正仿宋_GB2312" w:asciiTheme="minorAscii" w:hAnsiTheme="minorAscii"/>
          <w:caps w:val="0"/>
          <w:smallCaps w:val="0"/>
          <w:color w:val="auto"/>
          <w:sz w:val="21"/>
          <w:szCs w:val="21"/>
          <w:highlight w:val="none"/>
        </w:rPr>
        <w:t>。</w:t>
      </w:r>
    </w:p>
    <w:p w14:paraId="1F42165F">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6" w:name="_Toc8649_WPSOffice_Level2"/>
      <w:r>
        <w:rPr>
          <w:rFonts w:hint="default" w:eastAsia="方正仿宋_GB2312" w:cs="方正仿宋_GB2312" w:asciiTheme="minorAscii" w:hAnsiTheme="minorAscii"/>
          <w:b/>
          <w:caps w:val="0"/>
          <w:smallCaps w:val="0"/>
          <w:color w:val="auto"/>
          <w:sz w:val="21"/>
          <w:szCs w:val="21"/>
          <w:highlight w:val="none"/>
        </w:rPr>
        <w:t>五、技术与服务</w:t>
      </w:r>
      <w:bookmarkEnd w:id="6"/>
    </w:p>
    <w:p w14:paraId="3B2D9801">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（一）服装耐久性标签上注明原料成分及洗涤说明；按GB要求标识；</w:t>
      </w:r>
    </w:p>
    <w:p w14:paraId="33D972B1">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（二）其它资料。</w:t>
      </w:r>
    </w:p>
    <w:p w14:paraId="6A5387EC">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7" w:name="_Toc19909_WPSOffice_Level2"/>
      <w:r>
        <w:rPr>
          <w:rFonts w:hint="default" w:eastAsia="方正仿宋_GB2312" w:cs="方正仿宋_GB2312" w:asciiTheme="minorAscii" w:hAnsiTheme="minorAscii"/>
          <w:b/>
          <w:caps w:val="0"/>
          <w:smallCaps w:val="0"/>
          <w:color w:val="auto"/>
          <w:sz w:val="21"/>
          <w:szCs w:val="21"/>
          <w:highlight w:val="none"/>
        </w:rPr>
        <w:t>六、验收</w:t>
      </w:r>
      <w:bookmarkEnd w:id="7"/>
    </w:p>
    <w:p w14:paraId="6C699053">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（一）货物到达甲方指定地点后，甲方根据合同要求，组织乙方（必要时进行随机抽样）进行验收，验收合格后，填写验收单作为对服装的最终认可。</w:t>
      </w:r>
    </w:p>
    <w:p w14:paraId="14154ADD">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（二）验收依据</w:t>
      </w:r>
    </w:p>
    <w:p w14:paraId="65A5FBC7">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1.</w:t>
      </w:r>
      <w:r>
        <w:rPr>
          <w:rFonts w:hint="default" w:eastAsia="方正仿宋_GB2312" w:cs="方正仿宋_GB2312" w:asciiTheme="minorAscii" w:hAnsiTheme="minorAscii"/>
          <w:caps w:val="0"/>
          <w:smallCaps w:val="0"/>
          <w:color w:val="auto"/>
          <w:sz w:val="21"/>
          <w:szCs w:val="21"/>
          <w:highlight w:val="none"/>
          <w:lang w:eastAsia="zh-CN"/>
        </w:rPr>
        <w:t>磋商文件</w:t>
      </w:r>
      <w:r>
        <w:rPr>
          <w:rFonts w:hint="default" w:eastAsia="方正仿宋_GB2312" w:cs="方正仿宋_GB2312" w:asciiTheme="minorAscii" w:hAnsiTheme="minorAscii"/>
          <w:caps w:val="0"/>
          <w:smallCaps w:val="0"/>
          <w:color w:val="auto"/>
          <w:sz w:val="21"/>
          <w:szCs w:val="21"/>
          <w:highlight w:val="none"/>
        </w:rPr>
        <w:t>、响应文件、样品</w:t>
      </w:r>
      <w:r>
        <w:rPr>
          <w:rFonts w:hint="eastAsia" w:eastAsia="方正仿宋_GB2312" w:cs="方正仿宋_GB2312" w:asciiTheme="minorAscii" w:hAnsiTheme="minorAscii"/>
          <w:caps w:val="0"/>
          <w:smallCaps w:val="0"/>
          <w:color w:val="auto"/>
          <w:sz w:val="21"/>
          <w:szCs w:val="21"/>
          <w:highlight w:val="none"/>
          <w:lang w:eastAsia="zh-CN"/>
        </w:rPr>
        <w:t>（</w:t>
      </w:r>
      <w:r>
        <w:rPr>
          <w:rFonts w:hint="eastAsia" w:eastAsia="方正仿宋_GB2312" w:cs="方正仿宋_GB2312" w:asciiTheme="minorAscii" w:hAnsiTheme="minorAscii"/>
          <w:caps w:val="0"/>
          <w:smallCaps w:val="0"/>
          <w:color w:val="auto"/>
          <w:sz w:val="21"/>
          <w:szCs w:val="21"/>
          <w:highlight w:val="none"/>
          <w:lang w:val="en-US" w:eastAsia="zh-CN"/>
        </w:rPr>
        <w:t>如有</w:t>
      </w:r>
      <w:r>
        <w:rPr>
          <w:rFonts w:hint="eastAsia" w:eastAsia="方正仿宋_GB2312" w:cs="方正仿宋_GB2312" w:asciiTheme="minorAscii" w:hAnsiTheme="minorAscii"/>
          <w:caps w:val="0"/>
          <w:smallCaps w:val="0"/>
          <w:color w:val="auto"/>
          <w:sz w:val="21"/>
          <w:szCs w:val="21"/>
          <w:highlight w:val="none"/>
          <w:lang w:eastAsia="zh-CN"/>
        </w:rPr>
        <w:t>）</w:t>
      </w:r>
      <w:r>
        <w:rPr>
          <w:rFonts w:hint="default" w:eastAsia="方正仿宋_GB2312" w:cs="方正仿宋_GB2312" w:asciiTheme="minorAscii" w:hAnsiTheme="minorAscii"/>
          <w:caps w:val="0"/>
          <w:smallCaps w:val="0"/>
          <w:color w:val="auto"/>
          <w:sz w:val="21"/>
          <w:szCs w:val="21"/>
          <w:highlight w:val="none"/>
        </w:rPr>
        <w:t>、澄清表（函）；</w:t>
      </w:r>
    </w:p>
    <w:p w14:paraId="7F51B26C">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2.合同及附件文本；</w:t>
      </w:r>
    </w:p>
    <w:p w14:paraId="4DB4C448">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eastAsia" w:eastAsia="方正仿宋_GB2312" w:cs="方正仿宋_GB2312" w:asciiTheme="minorAscii" w:hAnsiTheme="minorAscii"/>
          <w:caps w:val="0"/>
          <w:smallCaps w:val="0"/>
          <w:color w:val="auto"/>
          <w:sz w:val="21"/>
          <w:szCs w:val="21"/>
          <w:highlight w:val="none"/>
          <w:lang w:val="en-US" w:eastAsia="zh-CN"/>
        </w:rPr>
        <w:t>3</w:t>
      </w: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合</w:t>
      </w:r>
      <w:r>
        <w:rPr>
          <w:rFonts w:hint="default" w:eastAsia="方正仿宋_GB2312" w:cs="方正仿宋_GB2312" w:asciiTheme="minorAscii" w:hAnsiTheme="minorAscii"/>
          <w:caps w:val="0"/>
          <w:smallCaps w:val="0"/>
          <w:color w:val="auto"/>
          <w:sz w:val="21"/>
          <w:szCs w:val="21"/>
          <w:highlight w:val="none"/>
        </w:rPr>
        <w:t>同签订时</w:t>
      </w:r>
      <w:r>
        <w:rPr>
          <w:rFonts w:hint="eastAsia" w:eastAsia="方正仿宋_GB2312" w:cs="方正仿宋_GB2312" w:asciiTheme="minorAscii" w:hAnsiTheme="minorAscii"/>
          <w:caps w:val="0"/>
          <w:smallCaps w:val="0"/>
          <w:color w:val="auto"/>
          <w:sz w:val="21"/>
          <w:szCs w:val="21"/>
          <w:highlight w:val="none"/>
          <w:lang w:val="en-US" w:eastAsia="zh-CN"/>
        </w:rPr>
        <w:t>的</w:t>
      </w:r>
      <w:r>
        <w:rPr>
          <w:rFonts w:hint="default" w:eastAsia="方正仿宋_GB2312" w:cs="方正仿宋_GB2312" w:asciiTheme="minorAscii" w:hAnsiTheme="minorAscii"/>
          <w:caps w:val="0"/>
          <w:smallCaps w:val="0"/>
          <w:color w:val="auto"/>
          <w:sz w:val="21"/>
          <w:szCs w:val="21"/>
          <w:highlight w:val="none"/>
        </w:rPr>
        <w:t>国家及行业现行的标准和技术规范。</w:t>
      </w:r>
    </w:p>
    <w:p w14:paraId="23C29E8D">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8" w:name="_Toc27909_WPSOffice_Level2"/>
      <w:r>
        <w:rPr>
          <w:rFonts w:hint="default" w:eastAsia="方正仿宋_GB2312" w:cs="方正仿宋_GB2312" w:asciiTheme="minorAscii" w:hAnsiTheme="minorAscii"/>
          <w:b/>
          <w:caps w:val="0"/>
          <w:smallCaps w:val="0"/>
          <w:color w:val="auto"/>
          <w:sz w:val="21"/>
          <w:szCs w:val="21"/>
          <w:highlight w:val="none"/>
        </w:rPr>
        <w:t>七、交货</w:t>
      </w:r>
      <w:bookmarkEnd w:id="8"/>
      <w:bookmarkStart w:id="12" w:name="_GoBack"/>
      <w:bookmarkEnd w:id="12"/>
    </w:p>
    <w:p w14:paraId="7E45EC89">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（一）交货地点：甲方指定地点。</w:t>
      </w:r>
    </w:p>
    <w:p w14:paraId="2069E3B1">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u w:val="single"/>
          <w:lang w:val="en-US" w:eastAsia="zh-CN"/>
        </w:rPr>
      </w:pPr>
      <w:r>
        <w:rPr>
          <w:rFonts w:hint="default" w:eastAsia="方正仿宋_GB2312" w:cs="方正仿宋_GB2312" w:asciiTheme="minorAscii" w:hAnsiTheme="minorAscii"/>
          <w:caps w:val="0"/>
          <w:smallCaps w:val="0"/>
          <w:color w:val="auto"/>
          <w:sz w:val="21"/>
          <w:szCs w:val="21"/>
          <w:highlight w:val="none"/>
        </w:rPr>
        <w:t>（二）供货期：</w:t>
      </w:r>
      <w:r>
        <w:rPr>
          <w:rFonts w:hint="eastAsia" w:eastAsia="方正仿宋_GB2312" w:cs="方正仿宋_GB2312" w:asciiTheme="minorAscii" w:hAnsiTheme="minorAscii"/>
          <w:caps w:val="0"/>
          <w:smallCaps w:val="0"/>
          <w:color w:val="auto"/>
          <w:sz w:val="21"/>
          <w:szCs w:val="21"/>
          <w:highlight w:val="none"/>
          <w:u w:val="none"/>
          <w:lang w:val="en-US" w:eastAsia="zh-CN"/>
        </w:rPr>
        <w:t>自合同签订之日起5日内。</w:t>
      </w:r>
    </w:p>
    <w:p w14:paraId="02CDB9B6">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9" w:name="_Toc3355_WPSOffice_Level2"/>
      <w:r>
        <w:rPr>
          <w:rFonts w:hint="default" w:eastAsia="方正仿宋_GB2312" w:cs="方正仿宋_GB2312" w:asciiTheme="minorAscii" w:hAnsiTheme="minorAscii"/>
          <w:b/>
          <w:caps w:val="0"/>
          <w:smallCaps w:val="0"/>
          <w:color w:val="auto"/>
          <w:sz w:val="21"/>
          <w:szCs w:val="21"/>
          <w:highlight w:val="none"/>
        </w:rPr>
        <w:t>八、违约责任</w:t>
      </w:r>
      <w:bookmarkEnd w:id="9"/>
    </w:p>
    <w:p w14:paraId="0D24BF0C">
      <w:pPr>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（一）如乙方事先未征得甲方书面同意而单方面延迟交货的，每逾期一日按照合同总额的万分之五承担违约责任；乙方逾期累计15天以上的，甲方有权解除合同,并</w:t>
      </w:r>
      <w:r>
        <w:rPr>
          <w:rFonts w:hint="default" w:eastAsia="方正仿宋_GB2312" w:cs="方正仿宋_GB2312" w:asciiTheme="minorAscii" w:hAnsiTheme="minorAscii"/>
          <w:caps w:val="0"/>
          <w:smallCaps w:val="0"/>
          <w:color w:val="auto"/>
          <w:sz w:val="21"/>
          <w:szCs w:val="21"/>
          <w:highlight w:val="none"/>
          <w:lang w:val="en-US" w:eastAsia="zh-CN"/>
        </w:rPr>
        <w:t>要求乙方</w:t>
      </w:r>
      <w:r>
        <w:rPr>
          <w:rFonts w:hint="default" w:eastAsia="方正仿宋_GB2312" w:cs="方正仿宋_GB2312" w:asciiTheme="minorAscii" w:hAnsiTheme="minorAscii"/>
          <w:caps w:val="0"/>
          <w:smallCaps w:val="0"/>
          <w:color w:val="auto"/>
          <w:sz w:val="21"/>
          <w:szCs w:val="21"/>
          <w:highlight w:val="none"/>
        </w:rPr>
        <w:t>承担合同价款30%的违约金。</w:t>
      </w:r>
    </w:p>
    <w:p w14:paraId="0F2BEE1F">
      <w:pPr>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（二）乙方所供产品不符合</w:t>
      </w:r>
      <w:r>
        <w:rPr>
          <w:rFonts w:hint="default" w:eastAsia="方正仿宋_GB2312" w:cs="方正仿宋_GB2312" w:asciiTheme="minorAscii" w:hAnsiTheme="minorAscii"/>
          <w:caps w:val="0"/>
          <w:smallCaps w:val="0"/>
          <w:color w:val="auto"/>
          <w:sz w:val="21"/>
          <w:szCs w:val="21"/>
          <w:highlight w:val="none"/>
          <w:lang w:eastAsia="zh-CN"/>
        </w:rPr>
        <w:t>磋商文件</w:t>
      </w:r>
      <w:r>
        <w:rPr>
          <w:rFonts w:hint="default" w:eastAsia="方正仿宋_GB2312" w:cs="方正仿宋_GB2312" w:asciiTheme="minorAscii" w:hAnsiTheme="minorAscii"/>
          <w:caps w:val="0"/>
          <w:smallCaps w:val="0"/>
          <w:color w:val="auto"/>
          <w:sz w:val="21"/>
          <w:szCs w:val="21"/>
          <w:highlight w:val="none"/>
        </w:rPr>
        <w:t>规定或不合格的或本项目不能通过验收的，甲方有权解除合同，并要求</w:t>
      </w:r>
      <w:r>
        <w:rPr>
          <w:rFonts w:hint="default" w:eastAsia="方正仿宋_GB2312" w:cs="方正仿宋_GB2312" w:asciiTheme="minorAscii" w:hAnsiTheme="minorAscii"/>
          <w:caps w:val="0"/>
          <w:smallCaps w:val="0"/>
          <w:color w:val="auto"/>
          <w:sz w:val="21"/>
          <w:szCs w:val="21"/>
          <w:highlight w:val="none"/>
          <w:lang w:val="en-US" w:eastAsia="zh-CN"/>
        </w:rPr>
        <w:t>乙方</w:t>
      </w:r>
      <w:r>
        <w:rPr>
          <w:rFonts w:hint="default" w:eastAsia="方正仿宋_GB2312" w:cs="方正仿宋_GB2312" w:asciiTheme="minorAscii" w:hAnsiTheme="minorAscii"/>
          <w:caps w:val="0"/>
          <w:smallCaps w:val="0"/>
          <w:color w:val="auto"/>
          <w:sz w:val="21"/>
          <w:szCs w:val="21"/>
          <w:highlight w:val="none"/>
        </w:rPr>
        <w:t>承担合同价款30%的违约金。</w:t>
      </w:r>
    </w:p>
    <w:p w14:paraId="7183B934">
      <w:pPr>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（三）部分服装不合格的，甲方有权要求乙方在指定期间内免费更换，乙方拒不更换的，甲方有权自行或委托第三方购买，但产品供应费、运输费等合理费用由乙方承担。</w:t>
      </w:r>
    </w:p>
    <w:p w14:paraId="061DA1E3">
      <w:pPr>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（四）因乙方提供的产品侵害他人权利或者造成甲方损害的，乙方承担全部赔偿责任。</w:t>
      </w:r>
    </w:p>
    <w:p w14:paraId="56A36A1B">
      <w:pPr>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（五）乙方在提供服务过程中造成他人损害的，由乙方承担全部责任。</w:t>
      </w:r>
    </w:p>
    <w:p w14:paraId="6517F105">
      <w:pPr>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（六）乙方应在收到解除通知后7天内退还已收取的款项。上述约定的违约条款可合并适用，合并适用后仍不能弥补甲方损失的，甲方有权继续追偿。</w:t>
      </w:r>
    </w:p>
    <w:p w14:paraId="12CE0145">
      <w:pPr>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（七）甲方应当将供应商违约的情况以及拟采取的措施以书面形式报政府采购监管部门，根据政府采购监管部门的处理意见，甲方有权要求乙方承担违约责任。同时，政府采购监管部门有权依据《</w:t>
      </w:r>
      <w:r>
        <w:rPr>
          <w:rFonts w:hint="default" w:eastAsia="方正仿宋_GB2312" w:cs="方正仿宋_GB2312" w:asciiTheme="minorAscii" w:hAnsiTheme="minorAscii"/>
          <w:caps w:val="0"/>
          <w:smallCaps w:val="0"/>
          <w:color w:val="auto"/>
          <w:sz w:val="21"/>
          <w:szCs w:val="21"/>
          <w:highlight w:val="none"/>
          <w:lang w:eastAsia="zh-CN"/>
        </w:rPr>
        <w:t>中华人民共和国</w:t>
      </w:r>
      <w:r>
        <w:rPr>
          <w:rFonts w:hint="eastAsia" w:eastAsia="方正仿宋_GB2312" w:cs="方正仿宋_GB2312" w:asciiTheme="minorAscii" w:hAnsiTheme="minorAscii"/>
          <w:caps w:val="0"/>
          <w:smallCaps w:val="0"/>
          <w:color w:val="auto"/>
          <w:sz w:val="21"/>
          <w:szCs w:val="21"/>
          <w:highlight w:val="none"/>
          <w:lang w:eastAsia="zh-CN"/>
        </w:rPr>
        <w:t>政府采购法</w:t>
      </w:r>
      <w:r>
        <w:rPr>
          <w:rFonts w:hint="default" w:eastAsia="方正仿宋_GB2312" w:cs="方正仿宋_GB2312" w:asciiTheme="minorAscii" w:hAnsiTheme="minorAscii"/>
          <w:caps w:val="0"/>
          <w:smallCaps w:val="0"/>
          <w:color w:val="auto"/>
          <w:sz w:val="21"/>
          <w:szCs w:val="21"/>
          <w:highlight w:val="none"/>
        </w:rPr>
        <w:t>》及相关法律法规对供应商的违法行为进行相应的处罚。</w:t>
      </w:r>
    </w:p>
    <w:p w14:paraId="15F0E722">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10" w:name="_Toc15622_WPSOffice_Level2"/>
      <w:r>
        <w:rPr>
          <w:rFonts w:hint="default" w:eastAsia="方正仿宋_GB2312" w:cs="方正仿宋_GB2312" w:asciiTheme="minorAscii" w:hAnsiTheme="minorAscii"/>
          <w:b/>
          <w:caps w:val="0"/>
          <w:smallCaps w:val="0"/>
          <w:color w:val="auto"/>
          <w:sz w:val="21"/>
          <w:szCs w:val="21"/>
          <w:highlight w:val="none"/>
        </w:rPr>
        <w:t>九、合同争议解决的方式</w:t>
      </w:r>
      <w:bookmarkEnd w:id="10"/>
    </w:p>
    <w:p w14:paraId="4B92B5A6">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本合同在履行过程中发生的争议，由甲、乙双方当事人协商解决，协商不成的按下列 第</w:t>
      </w:r>
      <w:r>
        <w:rPr>
          <w:rFonts w:hint="default" w:eastAsia="方正仿宋_GB2312" w:cs="方正仿宋_GB2312" w:asciiTheme="minorAscii" w:hAnsiTheme="minorAscii"/>
          <w:caps w:val="0"/>
          <w:smallCaps w:val="0"/>
          <w:color w:val="auto"/>
          <w:sz w:val="21"/>
          <w:szCs w:val="21"/>
          <w:highlight w:val="none"/>
          <w:u w:val="single"/>
        </w:rPr>
        <w:t>（</w:t>
      </w:r>
      <w:r>
        <w:rPr>
          <w:rFonts w:hint="default" w:eastAsia="方正仿宋_GB2312" w:cs="方正仿宋_GB2312" w:asciiTheme="minorAscii" w:hAnsiTheme="minorAscii"/>
          <w:caps w:val="0"/>
          <w:smallCaps w:val="0"/>
          <w:color w:val="auto"/>
          <w:sz w:val="21"/>
          <w:szCs w:val="21"/>
          <w:highlight w:val="none"/>
          <w:u w:val="single"/>
          <w:lang w:val="en-US" w:eastAsia="zh-CN"/>
        </w:rPr>
        <w:t>一</w:t>
      </w:r>
      <w:r>
        <w:rPr>
          <w:rFonts w:hint="default" w:eastAsia="方正仿宋_GB2312" w:cs="方正仿宋_GB2312" w:asciiTheme="minorAscii" w:hAnsiTheme="minorAscii"/>
          <w:caps w:val="0"/>
          <w:smallCaps w:val="0"/>
          <w:color w:val="auto"/>
          <w:sz w:val="21"/>
          <w:szCs w:val="21"/>
          <w:highlight w:val="none"/>
          <w:u w:val="single"/>
        </w:rPr>
        <w:t>）</w:t>
      </w:r>
      <w:r>
        <w:rPr>
          <w:rFonts w:hint="default" w:eastAsia="方正仿宋_GB2312" w:cs="方正仿宋_GB2312" w:asciiTheme="minorAscii" w:hAnsiTheme="minorAscii"/>
          <w:caps w:val="0"/>
          <w:smallCaps w:val="0"/>
          <w:color w:val="auto"/>
          <w:sz w:val="21"/>
          <w:szCs w:val="21"/>
          <w:highlight w:val="none"/>
        </w:rPr>
        <w:t>种方式解决：</w:t>
      </w:r>
    </w:p>
    <w:p w14:paraId="422DF5A1">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（一）提交仲裁委员会仲裁；</w:t>
      </w:r>
    </w:p>
    <w:p w14:paraId="2D73501F">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（二）依法向甲方所在地人民法院起诉。</w:t>
      </w:r>
    </w:p>
    <w:p w14:paraId="7FFFF3EE">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2"/>
        <w:textAlignment w:val="auto"/>
        <w:rPr>
          <w:rFonts w:hint="default" w:eastAsia="方正仿宋_GB2312" w:cs="方正仿宋_GB2312" w:asciiTheme="minorAscii" w:hAnsiTheme="minorAscii"/>
          <w:b/>
          <w:caps w:val="0"/>
          <w:smallCaps w:val="0"/>
          <w:color w:val="auto"/>
          <w:sz w:val="21"/>
          <w:szCs w:val="21"/>
          <w:highlight w:val="none"/>
        </w:rPr>
      </w:pPr>
      <w:bookmarkStart w:id="11" w:name="_Toc8114_WPSOffice_Level2"/>
      <w:r>
        <w:rPr>
          <w:rFonts w:hint="default" w:eastAsia="方正仿宋_GB2312" w:cs="方正仿宋_GB2312" w:asciiTheme="minorAscii" w:hAnsiTheme="minorAscii"/>
          <w:b/>
          <w:caps w:val="0"/>
          <w:smallCaps w:val="0"/>
          <w:color w:val="auto"/>
          <w:sz w:val="21"/>
          <w:szCs w:val="21"/>
          <w:highlight w:val="none"/>
        </w:rPr>
        <w:t>十、合同生效</w:t>
      </w:r>
      <w:bookmarkEnd w:id="11"/>
    </w:p>
    <w:p w14:paraId="61C2E4AE">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一</w:t>
      </w:r>
      <w:r>
        <w:rPr>
          <w:rFonts w:hint="default" w:eastAsia="方正仿宋_GB2312" w:cs="方正仿宋_GB2312" w:asciiTheme="minorAscii" w:hAnsiTheme="minorAscii"/>
          <w:caps w:val="0"/>
          <w:smallCaps w:val="0"/>
          <w:color w:val="auto"/>
          <w:sz w:val="21"/>
          <w:szCs w:val="21"/>
          <w:highlight w:val="none"/>
        </w:rPr>
        <w:t>）本合同须经甲、乙双方的法定代表人（授权代理人）在合同书上签字并加盖本单位公章后正式生效。</w:t>
      </w:r>
    </w:p>
    <w:p w14:paraId="46B3979C">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二</w:t>
      </w:r>
      <w:r>
        <w:rPr>
          <w:rFonts w:hint="default" w:eastAsia="方正仿宋_GB2312" w:cs="方正仿宋_GB2312" w:asciiTheme="minorAscii" w:hAnsiTheme="minorAscii"/>
          <w:caps w:val="0"/>
          <w:smallCaps w:val="0"/>
          <w:color w:val="auto"/>
          <w:sz w:val="21"/>
          <w:szCs w:val="21"/>
          <w:highlight w:val="none"/>
        </w:rPr>
        <w:t>）合同生效后，甲、乙双方须严格执行本合同条款的规定，全面履行合同，违者按《中华人民共和国</w:t>
      </w:r>
      <w:r>
        <w:rPr>
          <w:rFonts w:hint="default" w:eastAsia="方正仿宋_GB2312" w:cs="方正仿宋_GB2312" w:asciiTheme="minorAscii" w:hAnsiTheme="minorAscii"/>
          <w:caps w:val="0"/>
          <w:smallCaps w:val="0"/>
          <w:color w:val="auto"/>
          <w:sz w:val="21"/>
          <w:szCs w:val="21"/>
          <w:highlight w:val="none"/>
          <w:lang w:val="en-US" w:eastAsia="zh-CN"/>
        </w:rPr>
        <w:t>民法典</w:t>
      </w:r>
      <w:r>
        <w:rPr>
          <w:rFonts w:hint="default" w:eastAsia="方正仿宋_GB2312" w:cs="方正仿宋_GB2312" w:asciiTheme="minorAscii" w:hAnsiTheme="minorAscii"/>
          <w:caps w:val="0"/>
          <w:smallCaps w:val="0"/>
          <w:color w:val="auto"/>
          <w:sz w:val="21"/>
          <w:szCs w:val="21"/>
          <w:highlight w:val="none"/>
        </w:rPr>
        <w:t>》的有关规定承担相应责任。</w:t>
      </w:r>
    </w:p>
    <w:p w14:paraId="0D1B131B">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三</w:t>
      </w:r>
      <w:r>
        <w:rPr>
          <w:rFonts w:hint="default" w:eastAsia="方正仿宋_GB2312" w:cs="方正仿宋_GB2312" w:asciiTheme="minorAscii" w:hAnsiTheme="minorAscii"/>
          <w:caps w:val="0"/>
          <w:smallCaps w:val="0"/>
          <w:color w:val="auto"/>
          <w:sz w:val="21"/>
          <w:szCs w:val="21"/>
          <w:highlight w:val="none"/>
        </w:rPr>
        <w:t>）本合同一式</w:t>
      </w:r>
      <w:r>
        <w:rPr>
          <w:rFonts w:hint="default" w:eastAsia="方正仿宋_GB2312" w:cs="方正仿宋_GB2312" w:asciiTheme="minorAscii" w:hAnsiTheme="minorAscii"/>
          <w:caps w:val="0"/>
          <w:smallCaps w:val="0"/>
          <w:color w:val="auto"/>
          <w:sz w:val="21"/>
          <w:szCs w:val="21"/>
          <w:highlight w:val="none"/>
          <w:u w:val="single"/>
        </w:rPr>
        <w:t xml:space="preserve">   </w:t>
      </w:r>
      <w:r>
        <w:rPr>
          <w:rFonts w:hint="default" w:eastAsia="方正仿宋_GB2312" w:cs="方正仿宋_GB2312" w:asciiTheme="minorAscii" w:hAnsiTheme="minorAscii"/>
          <w:caps w:val="0"/>
          <w:smallCaps w:val="0"/>
          <w:color w:val="auto"/>
          <w:sz w:val="21"/>
          <w:szCs w:val="21"/>
          <w:highlight w:val="none"/>
        </w:rPr>
        <w:t>份，甲乙双方各执</w:t>
      </w:r>
      <w:r>
        <w:rPr>
          <w:rFonts w:hint="default" w:eastAsia="方正仿宋_GB2312" w:cs="方正仿宋_GB2312" w:asciiTheme="minorAscii" w:hAnsiTheme="minorAscii"/>
          <w:caps w:val="0"/>
          <w:smallCaps w:val="0"/>
          <w:color w:val="auto"/>
          <w:sz w:val="21"/>
          <w:szCs w:val="21"/>
          <w:highlight w:val="none"/>
          <w:u w:val="single"/>
        </w:rPr>
        <w:t xml:space="preserve">    </w:t>
      </w:r>
      <w:r>
        <w:rPr>
          <w:rFonts w:hint="default" w:eastAsia="方正仿宋_GB2312" w:cs="方正仿宋_GB2312" w:asciiTheme="minorAscii" w:hAnsiTheme="minorAscii"/>
          <w:caps w:val="0"/>
          <w:smallCaps w:val="0"/>
          <w:color w:val="auto"/>
          <w:sz w:val="21"/>
          <w:szCs w:val="21"/>
          <w:highlight w:val="none"/>
        </w:rPr>
        <w:t>份。</w:t>
      </w:r>
    </w:p>
    <w:tbl>
      <w:tblPr>
        <w:tblStyle w:val="10"/>
        <w:tblpPr w:leftFromText="180" w:rightFromText="180" w:vertAnchor="text" w:horzAnchor="page" w:tblpX="1779" w:tblpY="1132"/>
        <w:tblOverlap w:val="never"/>
        <w:tblW w:w="48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5"/>
        <w:gridCol w:w="4293"/>
      </w:tblGrid>
      <w:tr w14:paraId="426F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6BFCF4F3">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甲方（买方）：</w:t>
            </w:r>
          </w:p>
        </w:tc>
        <w:tc>
          <w:tcPr>
            <w:tcW w:w="2420" w:type="pct"/>
            <w:noWrap/>
            <w:vAlign w:val="center"/>
          </w:tcPr>
          <w:p w14:paraId="27A335B6">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乙方（卖方）：</w:t>
            </w:r>
          </w:p>
        </w:tc>
      </w:tr>
      <w:tr w14:paraId="4307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546CF579">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地　址：</w:t>
            </w:r>
          </w:p>
        </w:tc>
        <w:tc>
          <w:tcPr>
            <w:tcW w:w="2420" w:type="pct"/>
            <w:noWrap/>
            <w:vAlign w:val="center"/>
          </w:tcPr>
          <w:p w14:paraId="64150675">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地　址：</w:t>
            </w:r>
          </w:p>
        </w:tc>
      </w:tr>
      <w:tr w14:paraId="25F9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7DDE588A">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lang w:val="en-US" w:eastAsia="zh-CN"/>
              </w:rPr>
              <w:t>授权</w:t>
            </w:r>
            <w:r>
              <w:rPr>
                <w:rFonts w:hint="default" w:eastAsia="方正仿宋_GB2312" w:cs="方正仿宋_GB2312" w:asciiTheme="minorAscii" w:hAnsiTheme="minorAscii"/>
                <w:caps w:val="0"/>
                <w:smallCaps w:val="0"/>
                <w:color w:val="auto"/>
                <w:sz w:val="21"/>
                <w:szCs w:val="21"/>
                <w:highlight w:val="none"/>
              </w:rPr>
              <w:t>代理人：　</w:t>
            </w:r>
          </w:p>
        </w:tc>
        <w:tc>
          <w:tcPr>
            <w:tcW w:w="2420" w:type="pct"/>
            <w:noWrap/>
            <w:vAlign w:val="center"/>
          </w:tcPr>
          <w:p w14:paraId="07E0C305">
            <w:pPr>
              <w:tabs>
                <w:tab w:val="left" w:pos="5355"/>
              </w:tabs>
              <w:spacing w:line="500" w:lineRule="exact"/>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lang w:val="en-US" w:eastAsia="zh-CN"/>
              </w:rPr>
              <w:t>授权</w:t>
            </w:r>
            <w:r>
              <w:rPr>
                <w:rFonts w:hint="default" w:eastAsia="方正仿宋_GB2312" w:cs="方正仿宋_GB2312" w:asciiTheme="minorAscii" w:hAnsiTheme="minorAscii"/>
                <w:caps w:val="0"/>
                <w:smallCaps w:val="0"/>
                <w:color w:val="auto"/>
                <w:sz w:val="21"/>
                <w:szCs w:val="21"/>
                <w:highlight w:val="none"/>
              </w:rPr>
              <w:t>代理人</w:t>
            </w:r>
          </w:p>
        </w:tc>
      </w:tr>
      <w:tr w14:paraId="029B2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158531A8">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联系电话：</w:t>
            </w:r>
          </w:p>
        </w:tc>
        <w:tc>
          <w:tcPr>
            <w:tcW w:w="2420" w:type="pct"/>
            <w:noWrap/>
            <w:vAlign w:val="center"/>
          </w:tcPr>
          <w:p w14:paraId="3CC7E3C9">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联系电话：</w:t>
            </w:r>
          </w:p>
        </w:tc>
      </w:tr>
      <w:tr w14:paraId="797C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12DB59D9">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开户行：</w:t>
            </w:r>
          </w:p>
        </w:tc>
        <w:tc>
          <w:tcPr>
            <w:tcW w:w="2420" w:type="pct"/>
            <w:noWrap/>
            <w:vAlign w:val="center"/>
          </w:tcPr>
          <w:p w14:paraId="5343C8FF">
            <w:pPr>
              <w:tabs>
                <w:tab w:val="left" w:pos="5355"/>
              </w:tabs>
              <w:spacing w:line="500" w:lineRule="exact"/>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开户行：</w:t>
            </w:r>
          </w:p>
        </w:tc>
      </w:tr>
      <w:tr w14:paraId="39783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7147FFF2">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账号：</w:t>
            </w:r>
          </w:p>
        </w:tc>
        <w:tc>
          <w:tcPr>
            <w:tcW w:w="2420" w:type="pct"/>
            <w:noWrap/>
            <w:vAlign w:val="center"/>
          </w:tcPr>
          <w:p w14:paraId="21FCCF3D">
            <w:pPr>
              <w:tabs>
                <w:tab w:val="left" w:pos="5355"/>
              </w:tabs>
              <w:spacing w:line="500" w:lineRule="exact"/>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账号：</w:t>
            </w:r>
          </w:p>
        </w:tc>
      </w:tr>
      <w:tr w14:paraId="00AE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579" w:type="pct"/>
            <w:noWrap/>
            <w:vAlign w:val="center"/>
          </w:tcPr>
          <w:p w14:paraId="69E7DEDD">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日期：</w:t>
            </w:r>
            <w:r>
              <w:rPr>
                <w:rFonts w:hint="eastAsia" w:eastAsia="方正仿宋_GB2312" w:cs="方正仿宋_GB2312" w:asciiTheme="minorAscii" w:hAnsiTheme="minorAscii"/>
                <w:caps w:val="0"/>
                <w:smallCaps w:val="0"/>
                <w:color w:val="auto"/>
                <w:sz w:val="21"/>
                <w:szCs w:val="21"/>
                <w:highlight w:val="none"/>
                <w:lang w:val="en-US" w:eastAsia="zh-CN"/>
              </w:rPr>
              <w:t xml:space="preserve">    </w:t>
            </w:r>
            <w:r>
              <w:rPr>
                <w:rFonts w:hint="default" w:eastAsia="方正仿宋_GB2312" w:cs="方正仿宋_GB2312" w:asciiTheme="minorAscii" w:hAnsiTheme="minorAscii"/>
                <w:caps w:val="0"/>
                <w:smallCaps w:val="0"/>
                <w:color w:val="auto"/>
                <w:sz w:val="21"/>
                <w:szCs w:val="21"/>
                <w:highlight w:val="none"/>
              </w:rPr>
              <w:t>年  月   日</w:t>
            </w:r>
          </w:p>
        </w:tc>
        <w:tc>
          <w:tcPr>
            <w:tcW w:w="2420" w:type="pct"/>
            <w:noWrap/>
            <w:vAlign w:val="center"/>
          </w:tcPr>
          <w:p w14:paraId="2537B9CD">
            <w:pPr>
              <w:spacing w:line="348" w:lineRule="auto"/>
              <w:rPr>
                <w:rFonts w:hint="default" w:eastAsia="方正仿宋_GB2312" w:cs="方正仿宋_GB2312" w:asciiTheme="minorAscii" w:hAnsiTheme="minorAscii"/>
                <w:caps w:val="0"/>
                <w:smallCaps w:val="0"/>
                <w:color w:val="auto"/>
                <w:sz w:val="21"/>
                <w:szCs w:val="21"/>
                <w:highlight w:val="none"/>
              </w:rPr>
            </w:pPr>
            <w:r>
              <w:rPr>
                <w:rFonts w:hint="default" w:eastAsia="方正仿宋_GB2312" w:cs="方正仿宋_GB2312" w:asciiTheme="minorAscii" w:hAnsiTheme="minorAscii"/>
                <w:caps w:val="0"/>
                <w:smallCaps w:val="0"/>
                <w:color w:val="auto"/>
                <w:sz w:val="21"/>
                <w:szCs w:val="21"/>
                <w:highlight w:val="none"/>
              </w:rPr>
              <w:t xml:space="preserve">日期： </w:t>
            </w:r>
            <w:r>
              <w:rPr>
                <w:rFonts w:hint="eastAsia" w:eastAsia="方正仿宋_GB2312" w:cs="方正仿宋_GB2312" w:asciiTheme="minorAscii" w:hAnsiTheme="minorAscii"/>
                <w:caps w:val="0"/>
                <w:smallCaps w:val="0"/>
                <w:color w:val="auto"/>
                <w:sz w:val="21"/>
                <w:szCs w:val="21"/>
                <w:highlight w:val="none"/>
                <w:lang w:val="en-US" w:eastAsia="zh-CN"/>
              </w:rPr>
              <w:t xml:space="preserve">  </w:t>
            </w:r>
            <w:r>
              <w:rPr>
                <w:rFonts w:hint="default" w:eastAsia="方正仿宋_GB2312" w:cs="方正仿宋_GB2312" w:asciiTheme="minorAscii" w:hAnsiTheme="minorAscii"/>
                <w:caps w:val="0"/>
                <w:smallCaps w:val="0"/>
                <w:color w:val="auto"/>
                <w:sz w:val="21"/>
                <w:szCs w:val="21"/>
                <w:highlight w:val="none"/>
              </w:rPr>
              <w:t>年  月  日</w:t>
            </w:r>
          </w:p>
        </w:tc>
      </w:tr>
    </w:tbl>
    <w:p w14:paraId="79EF1FCF">
      <w:pPr>
        <w:keepNext w:val="0"/>
        <w:keepLines w:val="0"/>
        <w:pageBreakBefore w:val="0"/>
        <w:widowControl w:val="0"/>
        <w:kinsoku/>
        <w:wordWrap/>
        <w:overflowPunct/>
        <w:topLinePunct w:val="0"/>
        <w:autoSpaceDE w:val="0"/>
        <w:autoSpaceDN w:val="0"/>
        <w:bidi w:val="0"/>
        <w:adjustRightInd w:val="0"/>
        <w:spacing w:beforeLines="0" w:afterLines="0" w:line="360" w:lineRule="auto"/>
        <w:ind w:firstLine="480"/>
        <w:textAlignment w:val="auto"/>
        <w:rPr>
          <w:color w:val="auto"/>
        </w:rPr>
      </w:pPr>
      <w:r>
        <w:rPr>
          <w:rFonts w:hint="default" w:eastAsia="方正仿宋_GB2312" w:cs="方正仿宋_GB2312" w:asciiTheme="minorAscii" w:hAnsiTheme="minorAscii"/>
          <w:caps w:val="0"/>
          <w:smallCaps w:val="0"/>
          <w:color w:val="auto"/>
          <w:sz w:val="21"/>
          <w:szCs w:val="21"/>
          <w:highlight w:val="none"/>
        </w:rPr>
        <w:t>（</w:t>
      </w:r>
      <w:r>
        <w:rPr>
          <w:rFonts w:hint="default" w:eastAsia="方正仿宋_GB2312" w:cs="方正仿宋_GB2312" w:asciiTheme="minorAscii" w:hAnsiTheme="minorAscii"/>
          <w:caps w:val="0"/>
          <w:smallCaps w:val="0"/>
          <w:color w:val="auto"/>
          <w:sz w:val="21"/>
          <w:szCs w:val="21"/>
          <w:highlight w:val="none"/>
          <w:lang w:val="en-US" w:eastAsia="zh-CN"/>
        </w:rPr>
        <w:t>四</w:t>
      </w:r>
      <w:r>
        <w:rPr>
          <w:rFonts w:hint="default" w:eastAsia="方正仿宋_GB2312" w:cs="方正仿宋_GB2312" w:asciiTheme="minorAscii" w:hAnsiTheme="minorAscii"/>
          <w:caps w:val="0"/>
          <w:smallCaps w:val="0"/>
          <w:color w:val="auto"/>
          <w:sz w:val="21"/>
          <w:szCs w:val="21"/>
          <w:highlight w:val="none"/>
        </w:rPr>
        <w:t>）本合同如有未尽事宜，甲、乙双方协商解决。</w:t>
      </w:r>
    </w:p>
    <w:sectPr>
      <w:pgSz w:w="11906" w:h="16838"/>
      <w:pgMar w:top="1440" w:right="12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E4ED377-EC19-4432-9798-4A98B16A8EC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49256E79-3D74-4AB7-A904-722E21998D5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27DF7"/>
    <w:rsid w:val="05FD1BBE"/>
    <w:rsid w:val="06AC0A0C"/>
    <w:rsid w:val="0A9E342B"/>
    <w:rsid w:val="0EC73F5E"/>
    <w:rsid w:val="0FA314C4"/>
    <w:rsid w:val="100C66D5"/>
    <w:rsid w:val="122A05F8"/>
    <w:rsid w:val="17395C7D"/>
    <w:rsid w:val="18EE36B9"/>
    <w:rsid w:val="1E731794"/>
    <w:rsid w:val="204F475A"/>
    <w:rsid w:val="234B47B7"/>
    <w:rsid w:val="240D341D"/>
    <w:rsid w:val="24422E26"/>
    <w:rsid w:val="26E7587D"/>
    <w:rsid w:val="29DF3391"/>
    <w:rsid w:val="2B780E96"/>
    <w:rsid w:val="2D627DC4"/>
    <w:rsid w:val="2EA62314"/>
    <w:rsid w:val="304C1EA1"/>
    <w:rsid w:val="30DB2D00"/>
    <w:rsid w:val="31F05F32"/>
    <w:rsid w:val="3465383C"/>
    <w:rsid w:val="38E15968"/>
    <w:rsid w:val="3CB75A27"/>
    <w:rsid w:val="3D643E0C"/>
    <w:rsid w:val="3D6E74D6"/>
    <w:rsid w:val="400914FF"/>
    <w:rsid w:val="40CC25C5"/>
    <w:rsid w:val="4541667C"/>
    <w:rsid w:val="49787CEA"/>
    <w:rsid w:val="4AFE4EC2"/>
    <w:rsid w:val="4D7B446F"/>
    <w:rsid w:val="54897A6D"/>
    <w:rsid w:val="54FC5FD2"/>
    <w:rsid w:val="5B6B56EA"/>
    <w:rsid w:val="5D5B6D2D"/>
    <w:rsid w:val="5DB91FC8"/>
    <w:rsid w:val="5E041700"/>
    <w:rsid w:val="60E0460C"/>
    <w:rsid w:val="61915623"/>
    <w:rsid w:val="623C0084"/>
    <w:rsid w:val="634C5649"/>
    <w:rsid w:val="65705DC1"/>
    <w:rsid w:val="678332EB"/>
    <w:rsid w:val="69507602"/>
    <w:rsid w:val="6FAC02E5"/>
    <w:rsid w:val="710250A6"/>
    <w:rsid w:val="710A048B"/>
    <w:rsid w:val="711F04E9"/>
    <w:rsid w:val="73F45085"/>
    <w:rsid w:val="780C7A6F"/>
    <w:rsid w:val="7B65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1"/>
    <w:basedOn w:val="1"/>
    <w:next w:val="1"/>
    <w:link w:val="12"/>
    <w:qFormat/>
    <w:uiPriority w:val="0"/>
    <w:pPr>
      <w:keepNext/>
      <w:spacing w:after="100" w:line="240" w:lineRule="auto"/>
      <w:ind w:firstLine="0" w:firstLineChars="0"/>
      <w:jc w:val="center"/>
      <w:outlineLvl w:val="0"/>
    </w:pPr>
    <w:rPr>
      <w:b/>
      <w:bCs/>
      <w:kern w:val="0"/>
      <w:sz w:val="44"/>
      <w:szCs w:val="44"/>
    </w:rPr>
  </w:style>
  <w:style w:type="paragraph" w:styleId="4">
    <w:name w:val="heading 2"/>
    <w:basedOn w:val="1"/>
    <w:next w:val="1"/>
    <w:link w:val="13"/>
    <w:semiHidden/>
    <w:unhideWhenUsed/>
    <w:qFormat/>
    <w:uiPriority w:val="0"/>
    <w:pPr>
      <w:keepNext/>
      <w:spacing w:line="240" w:lineRule="auto"/>
      <w:ind w:leftChars="200" w:firstLine="0" w:firstLineChars="0"/>
      <w:jc w:val="left"/>
      <w:outlineLvl w:val="1"/>
    </w:pPr>
    <w:rPr>
      <w:b/>
      <w:bCs/>
      <w:kern w:val="0"/>
      <w:sz w:val="32"/>
      <w:szCs w:val="32"/>
    </w:rPr>
  </w:style>
  <w:style w:type="paragraph" w:styleId="5">
    <w:name w:val="heading 3"/>
    <w:basedOn w:val="1"/>
    <w:next w:val="1"/>
    <w:link w:val="14"/>
    <w:semiHidden/>
    <w:unhideWhenUsed/>
    <w:qFormat/>
    <w:uiPriority w:val="0"/>
    <w:pPr>
      <w:keepNext/>
      <w:spacing w:line="240" w:lineRule="auto"/>
      <w:ind w:leftChars="200" w:firstLine="0" w:firstLineChars="0"/>
      <w:outlineLvl w:val="2"/>
    </w:pPr>
    <w:rPr>
      <w:b/>
      <w:bCs/>
      <w:kern w:val="0"/>
    </w:rPr>
  </w:style>
  <w:style w:type="paragraph" w:styleId="6">
    <w:name w:val="heading 4"/>
    <w:basedOn w:val="1"/>
    <w:next w:val="1"/>
    <w:link w:val="15"/>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Tahoma" w:hAnsi="Tahoma"/>
    </w:rPr>
  </w:style>
  <w:style w:type="paragraph" w:styleId="7">
    <w:name w:val="Body Text Indent"/>
    <w:basedOn w:val="1"/>
    <w:qFormat/>
    <w:uiPriority w:val="0"/>
    <w:pPr>
      <w:spacing w:after="120" w:afterLines="0" w:afterAutospacing="0"/>
      <w:ind w:left="420" w:leftChars="200"/>
    </w:pPr>
  </w:style>
  <w:style w:type="paragraph" w:styleId="8">
    <w:name w:val="List 2"/>
    <w:basedOn w:val="1"/>
    <w:qFormat/>
    <w:uiPriority w:val="0"/>
    <w:pPr>
      <w:ind w:left="100" w:leftChars="200" w:hanging="200" w:hangingChars="200"/>
    </w:pPr>
  </w:style>
  <w:style w:type="paragraph" w:styleId="9">
    <w:name w:val="Body Text First Indent 2"/>
    <w:basedOn w:val="7"/>
    <w:qFormat/>
    <w:uiPriority w:val="0"/>
    <w:pPr>
      <w:ind w:firstLine="420" w:firstLineChars="200"/>
    </w:pPr>
  </w:style>
  <w:style w:type="character" w:customStyle="1" w:styleId="12">
    <w:name w:val="标题 1 Char"/>
    <w:link w:val="3"/>
    <w:qFormat/>
    <w:uiPriority w:val="0"/>
    <w:rPr>
      <w:rFonts w:ascii="仿宋" w:hAnsi="仿宋" w:eastAsia="仿宋" w:cs="仿宋"/>
      <w:b/>
      <w:bCs/>
      <w:kern w:val="0"/>
      <w:sz w:val="44"/>
      <w:szCs w:val="44"/>
    </w:rPr>
  </w:style>
  <w:style w:type="character" w:customStyle="1" w:styleId="13">
    <w:name w:val="标题 2 Char"/>
    <w:link w:val="4"/>
    <w:qFormat/>
    <w:uiPriority w:val="0"/>
    <w:rPr>
      <w:rFonts w:ascii="仿宋" w:hAnsi="仿宋" w:eastAsia="宋体" w:cs="宋体"/>
      <w:b/>
      <w:bCs/>
      <w:kern w:val="0"/>
      <w:sz w:val="32"/>
      <w:szCs w:val="32"/>
    </w:rPr>
  </w:style>
  <w:style w:type="character" w:customStyle="1" w:styleId="14">
    <w:name w:val="标题 3 Char"/>
    <w:link w:val="5"/>
    <w:qFormat/>
    <w:uiPriority w:val="0"/>
    <w:rPr>
      <w:rFonts w:ascii="宋体" w:hAnsi="宋体" w:eastAsia="宋体"/>
      <w:b/>
      <w:bCs/>
      <w:kern w:val="0"/>
      <w:sz w:val="28"/>
    </w:rPr>
  </w:style>
  <w:style w:type="character" w:customStyle="1" w:styleId="15">
    <w:name w:val="标题 4 Char"/>
    <w:link w:val="6"/>
    <w:qFormat/>
    <w:uiPriority w:val="0"/>
    <w:rPr>
      <w:rFonts w:ascii="宋体" w:hAnsi="宋体" w:eastAsia="宋体"/>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1782</Words>
  <Characters>1799</Characters>
  <Lines>0</Lines>
  <Paragraphs>0</Paragraphs>
  <TotalTime>1</TotalTime>
  <ScaleCrop>false</ScaleCrop>
  <LinksUpToDate>false</LinksUpToDate>
  <CharactersWithSpaces>1962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2020-06-03T06:51:00Z</dcterms:created>
  <dc:creator>hp</dc:creator>
  <cp:lastModifiedBy>朱娟</cp:lastModifiedBy>
  <dcterms:modified xsi:type="dcterms:W3CDTF">2026-06-25T08:28:27Z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eyJoZGlkIjoiNTRiN2YxNjhiMWY2MjU3ZTk1NTcyNzUwOWE2ZjIyNTQiLCJ1c2VySWQiOiIyMDIwODMyODIifQ==</vt:lpwstr>
  </property>
  <property fmtid="{D5CDD505-2E9C-101B-9397-08002B2CF9AE}" pid="4" name="ICV">
    <vt:lpwstr>24C83EEADF094EF3B87C3812E2DB0861_13</vt:lpwstr>
  </property>
</Properties>
</file>