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版本号：HXCT-CS-F-26(007)20260507001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后勤保障运行综合服务采购项目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HXCT-CS-F-26(007)</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后勤保障运行综合服务采购项目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HXCT-CS-F-26(007)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后勤保障运行综合服务采购项目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提供医院锅炉、制氧系统、中央空调、水电、污水处理等后勤系统运行维护服务，保障全院动力与后勤设施正常运行。服务期限3年(1+1+1)</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采购包1（后勤保障运行综合服务采购项目包一）：属于专门面向中小企业采购。</w:t>
      </w:r>
    </w:p>
    <w:p>
      <w:pPr>
        <w:pStyle w:val="null3"/>
      </w:pPr>
      <w:r>
        <w:rPr>
          <w:rFonts w:ascii="仿宋_GB2312" w:hAnsi="仿宋_GB2312" w:cs="仿宋_GB2312" w:eastAsia="仿宋_GB2312"/>
        </w:rPr>
        <w:t>采购包2（后勤保障运行综合服务采购项目包二）：属于专门面向中小企业采购。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p>
      <w:pPr>
        <w:pStyle w:val="null3"/>
      </w:pPr>
      <w:r>
        <w:rPr>
          <w:rFonts w:ascii="仿宋_GB2312" w:hAnsi="仿宋_GB2312" w:cs="仿宋_GB2312" w:eastAsia="仿宋_GB2312"/>
        </w:rPr>
        <w:t>3、税收缴纳证明：提供近开标前一年内至今已缴纳的任意一个月的完税证明（任意税种）。依法免税的单位应提供相关证明材料；</w:t>
      </w:r>
    </w:p>
    <w:p>
      <w:pPr>
        <w:pStyle w:val="null3"/>
      </w:pPr>
      <w:r>
        <w:rPr>
          <w:rFonts w:ascii="仿宋_GB2312" w:hAnsi="仿宋_GB2312" w:cs="仿宋_GB2312" w:eastAsia="仿宋_GB2312"/>
        </w:rPr>
        <w:t>4、社会保障资金缴纳证明：提供开标前一年内至今已缴纳的任意一个月的社保缴纳证明。依法不需要缴纳社会保障资金的单位应提供相关证明材料；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5、书面声明：参加政府采购活动前3年内，在经营活动中没有重大违法记录的承诺；</w:t>
      </w:r>
    </w:p>
    <w:p>
      <w:pPr>
        <w:pStyle w:val="null3"/>
      </w:pPr>
      <w:r>
        <w:rPr>
          <w:rFonts w:ascii="仿宋_GB2312" w:hAnsi="仿宋_GB2312" w:cs="仿宋_GB2312" w:eastAsia="仿宋_GB2312"/>
        </w:rPr>
        <w:t>6、书面声明：履行合同所必需的设备和专业技术能力的承诺；</w:t>
      </w:r>
    </w:p>
    <w:p>
      <w:pPr>
        <w:pStyle w:val="null3"/>
      </w:pPr>
      <w:r>
        <w:rPr>
          <w:rFonts w:ascii="仿宋_GB2312" w:hAnsi="仿宋_GB2312" w:cs="仿宋_GB2312" w:eastAsia="仿宋_GB2312"/>
        </w:rPr>
        <w:t>7、信誉截图：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p>
      <w:pPr>
        <w:pStyle w:val="null3"/>
      </w:pPr>
      <w:r>
        <w:rPr>
          <w:rFonts w:ascii="仿宋_GB2312" w:hAnsi="仿宋_GB2312" w:cs="仿宋_GB2312" w:eastAsia="仿宋_GB2312"/>
        </w:rPr>
        <w:t>8、供应商代表证明文件：供应商提供法定代表人授权书（附法定代表人及代理人身份证正反两面）及代理人身份证原件。法定代表人直接参加只须提交其法人身份证原件及复印件加盖公章；</w:t>
      </w:r>
    </w:p>
    <w:p>
      <w:pPr>
        <w:pStyle w:val="null3"/>
      </w:pPr>
      <w:r>
        <w:rPr>
          <w:rFonts w:ascii="仿宋_GB2312" w:hAnsi="仿宋_GB2312" w:cs="仿宋_GB2312" w:eastAsia="仿宋_GB2312"/>
        </w:rPr>
        <w:t>9、本项目不接受联合体：本项目不接受联合体磋商，供应商须提供《非联合体磋商声明》；</w:t>
      </w:r>
    </w:p>
    <w:p>
      <w:pPr>
        <w:pStyle w:val="null3"/>
      </w:pPr>
      <w:r>
        <w:rPr>
          <w:rFonts w:ascii="仿宋_GB2312" w:hAnsi="仿宋_GB2312" w:cs="仿宋_GB2312" w:eastAsia="仿宋_GB2312"/>
        </w:rPr>
        <w:t>10、磋商保证金：供应商提供磋商保证金缴纳凭证。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证明文件：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供应商2024年度或2025年度经审计的财务会计报告（包括审计报告、资产负债表、利润表、现金流里表、所有者权益变动表及其附注，成立时间至提交投标文件截止时间不足一年的可提供成立后任意时段的资产负债表），或其开标前三个月内基本存款账户开户银行出具的资信证明及基本存款帐户开户证明；</w:t>
      </w:r>
    </w:p>
    <w:p>
      <w:pPr>
        <w:pStyle w:val="null3"/>
      </w:pPr>
      <w:r>
        <w:rPr>
          <w:rFonts w:ascii="仿宋_GB2312" w:hAnsi="仿宋_GB2312" w:cs="仿宋_GB2312" w:eastAsia="仿宋_GB2312"/>
        </w:rPr>
        <w:t>3、税收缴纳证明：提供近开标前一年内至今已缴纳的任意一个月的完税证明（任意税种）。依法免税的单位应提供相关证明材料。</w:t>
      </w:r>
    </w:p>
    <w:p>
      <w:pPr>
        <w:pStyle w:val="null3"/>
      </w:pPr>
      <w:r>
        <w:rPr>
          <w:rFonts w:ascii="仿宋_GB2312" w:hAnsi="仿宋_GB2312" w:cs="仿宋_GB2312" w:eastAsia="仿宋_GB2312"/>
        </w:rPr>
        <w:t>4、社会保障资金缴纳证明：提供开标前一年内至今已缴纳的任意一个月的社保缴纳证明。依法不需要缴纳社会保障资金的单位应提供相关证明材料：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5、书面声明：参加政府采购活动前3年内，在经营活动中没有重大违法记录的承诺：</w:t>
      </w:r>
    </w:p>
    <w:p>
      <w:pPr>
        <w:pStyle w:val="null3"/>
      </w:pPr>
      <w:r>
        <w:rPr>
          <w:rFonts w:ascii="仿宋_GB2312" w:hAnsi="仿宋_GB2312" w:cs="仿宋_GB2312" w:eastAsia="仿宋_GB2312"/>
        </w:rPr>
        <w:t>6、书面声明：参加政府采购活动前3年内，在经营活动中没有重大违法记录的承诺：</w:t>
      </w:r>
    </w:p>
    <w:p>
      <w:pPr>
        <w:pStyle w:val="null3"/>
      </w:pPr>
      <w:r>
        <w:rPr>
          <w:rFonts w:ascii="仿宋_GB2312" w:hAnsi="仿宋_GB2312" w:cs="仿宋_GB2312" w:eastAsia="仿宋_GB2312"/>
        </w:rPr>
        <w:t>7、信誉截图：供应商不得在“信用中国-中国执行信息公开网”网站被列为失信被执行人；不得在“信用中国”网站被列为重大税收违法失信主体：不得在“信用中国信誉截图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p>
      <w:pPr>
        <w:pStyle w:val="null3"/>
      </w:pPr>
      <w:r>
        <w:rPr>
          <w:rFonts w:ascii="仿宋_GB2312" w:hAnsi="仿宋_GB2312" w:cs="仿宋_GB2312" w:eastAsia="仿宋_GB2312"/>
        </w:rPr>
        <w:t>8、供应商代表证明文件：供应商提供法定代表人授权书（附法定代表人及代理人身份证正反两面）及代理人身份证原件。法定代表人直接参加只须提交其法人身份证原件及复印件加盖公章；</w:t>
      </w:r>
    </w:p>
    <w:p>
      <w:pPr>
        <w:pStyle w:val="null3"/>
      </w:pPr>
      <w:r>
        <w:rPr>
          <w:rFonts w:ascii="仿宋_GB2312" w:hAnsi="仿宋_GB2312" w:cs="仿宋_GB2312" w:eastAsia="仿宋_GB2312"/>
        </w:rPr>
        <w:t>9、本项目不接受联合体：本项目不接受联合体磋商，供应商须提供《非联合体磋商声明》；</w:t>
      </w:r>
    </w:p>
    <w:p>
      <w:pPr>
        <w:pStyle w:val="null3"/>
      </w:pPr>
      <w:r>
        <w:rPr>
          <w:rFonts w:ascii="仿宋_GB2312" w:hAnsi="仿宋_GB2312" w:cs="仿宋_GB2312" w:eastAsia="仿宋_GB2312"/>
        </w:rPr>
        <w:t>10、磋商保证金：供应商提供磋商保证金缴纳凭证。</w:t>
      </w:r>
    </w:p>
    <w:p>
      <w:pPr>
        <w:pStyle w:val="null3"/>
      </w:pPr>
      <w:r>
        <w:rPr>
          <w:rFonts w:ascii="仿宋_GB2312" w:hAnsi="仿宋_GB2312" w:cs="仿宋_GB2312" w:eastAsia="仿宋_GB2312"/>
        </w:rPr>
        <w:t>11、资质要求：供应商应具备环境类检验检测资质（CMA）</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133 1914 1685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陕西省商洛市商州区同城置业写字楼9楼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程素娥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173 8255 6229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采购包1：1,248,720.00元</w:t>
            </w:r>
          </w:p>
          <w:p>
            <w:pPr>
              <w:pStyle w:val="null3"/>
            </w:pPr>
            <w:r>
              <w:rPr>
                <w:rFonts w:ascii="仿宋_GB2312" w:hAnsi="仿宋_GB2312" w:cs="仿宋_GB2312" w:eastAsia="仿宋_GB2312"/>
              </w:rPr>
              <w:t>采购包2：350,400.00元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开户名称：华夏城投项目管理有限公司商洛咨询分公司</w:t>
            </w:r>
          </w:p>
          <w:p>
            <w:pPr>
              <w:pStyle w:val="null3"/>
            </w:pPr>
            <w:r>
              <w:rPr>
                <w:rFonts w:ascii="仿宋_GB2312" w:hAnsi="仿宋_GB2312" w:cs="仿宋_GB2312" w:eastAsia="仿宋_GB2312"/>
              </w:rPr>
              <w:t>开户银行：中国工商银行股份有限公司商洛行政广场支行</w:t>
            </w:r>
          </w:p>
          <w:p>
            <w:pPr>
              <w:pStyle w:val="null3"/>
            </w:pPr>
            <w:r>
              <w:rPr>
                <w:rFonts w:ascii="仿宋_GB2312" w:hAnsi="仿宋_GB2312" w:cs="仿宋_GB2312" w:eastAsia="仿宋_GB2312"/>
              </w:rPr>
              <w:t>银行账号：2608070409200081977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招标代理服务收费管理暂行办法》的通知(计价格(2002)1980号)、《国家发展改革委关于降低部分建设项目收费标准规范收费行为等有关问题的通知》(发改价格[2011]534号)规定的收费标准收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联系人：程素娥</w:t>
      </w:r>
    </w:p>
    <w:p>
      <w:pPr>
        <w:pStyle w:val="null3"/>
      </w:pPr>
      <w:r>
        <w:rPr>
          <w:rFonts w:ascii="仿宋_GB2312" w:hAnsi="仿宋_GB2312" w:cs="仿宋_GB2312" w:eastAsia="仿宋_GB2312"/>
        </w:rPr>
        <w:t>联系电话：173 8255 6229</w:t>
      </w:r>
    </w:p>
    <w:p>
      <w:pPr>
        <w:pStyle w:val="null3"/>
      </w:pPr>
      <w:r>
        <w:rPr>
          <w:rFonts w:ascii="仿宋_GB2312" w:hAnsi="仿宋_GB2312" w:cs="仿宋_GB2312" w:eastAsia="仿宋_GB2312"/>
        </w:rPr>
        <w:t>地址：陕西省商洛市商州区同城置业写字楼9楼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提供医院锅炉、制氧系统、中央空调、水电、污水处理等后勤系统运行维护服务，保障全院动力与后勤设施正常运行。服务期限3年（1+1+1）。</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1,248,720.00</w:t>
      </w:r>
    </w:p>
    <w:p>
      <w:pPr>
        <w:pStyle w:val="null3"/>
      </w:pPr>
      <w:r>
        <w:rPr>
          <w:rFonts w:ascii="仿宋_GB2312" w:hAnsi="仿宋_GB2312" w:cs="仿宋_GB2312" w:eastAsia="仿宋_GB2312"/>
        </w:rPr>
        <w:t>采购包最高限价（元）: 1,248,720.00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锅炉运行 水电维修 新风系统和空调运行维护 制氧 汇流排 二氧化碳正负压运行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1,248,720.00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350,400.00</w:t>
      </w:r>
    </w:p>
    <w:p>
      <w:pPr>
        <w:pStyle w:val="null3"/>
      </w:pPr>
      <w:r>
        <w:rPr>
          <w:rFonts w:ascii="仿宋_GB2312" w:hAnsi="仿宋_GB2312" w:cs="仿宋_GB2312" w:eastAsia="仿宋_GB2312"/>
        </w:rPr>
        <w:t>采购包最高限价（元）: 350,400.00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污水处理系统运维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350,400.00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标的名称：锅炉运行 水电维修 新风系统和空调运行维护 制氧 汇流排 二氧化碳正负压运行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1. 锅炉系统24小时运行、巡检、维护、保养。</w:t>
            </w:r>
            <w:r>
              <w:br/>
            </w:r>
            <w:r>
              <w:rPr>
                <w:rFonts w:ascii="仿宋_GB2312" w:hAnsi="仿宋_GB2312" w:cs="仿宋_GB2312" w:eastAsia="仿宋_GB2312"/>
              </w:rPr>
              <w:t xml:space="preserve"> 2.制氧、汇流排、二氧化碳、正负压系统运行管理。</w:t>
            </w:r>
            <w:r>
              <w:br/>
            </w:r>
            <w:r>
              <w:rPr>
                <w:rFonts w:ascii="仿宋_GB2312" w:hAnsi="仿宋_GB2312" w:cs="仿宋_GB2312" w:eastAsia="仿宋_GB2312"/>
              </w:rPr>
              <w:t xml:space="preserve"> 3.中央空调、新风系统运行、巡检、故障处置。</w:t>
            </w:r>
            <w:r>
              <w:br/>
            </w:r>
            <w:r>
              <w:rPr>
                <w:rFonts w:ascii="仿宋_GB2312" w:hAnsi="仿宋_GB2312" w:cs="仿宋_GB2312" w:eastAsia="仿宋_GB2312"/>
              </w:rPr>
              <w:t xml:space="preserve"> 4.全院水电设施巡检、维修、应急抢修。</w:t>
            </w:r>
            <w:r>
              <w:br/>
            </w:r>
            <w:r>
              <w:rPr>
                <w:rFonts w:ascii="仿宋_GB2312" w:hAnsi="仿宋_GB2312" w:cs="仿宋_GB2312" w:eastAsia="仿宋_GB2312"/>
              </w:rPr>
              <w:t xml:space="preserve"> 二、人员配置</w:t>
            </w:r>
            <w:r>
              <w:br/>
            </w:r>
            <w:r>
              <w:rPr>
                <w:rFonts w:ascii="仿宋_GB2312" w:hAnsi="仿宋_GB2312" w:cs="仿宋_GB2312" w:eastAsia="仿宋_GB2312"/>
              </w:rPr>
              <w:t xml:space="preserve"> 1.综合运维人员25人：锅炉运行4人、水电工13人、中央空调/新风4人、制氧及气体系统4人。</w:t>
            </w:r>
            <w:r>
              <w:br/>
            </w:r>
            <w:r>
              <w:rPr>
                <w:rFonts w:ascii="仿宋_GB2312" w:hAnsi="仿宋_GB2312" w:cs="仿宋_GB2312" w:eastAsia="仿宋_GB2312"/>
              </w:rPr>
              <w:t xml:space="preserve"> 三、服务要求</w:t>
            </w:r>
            <w:r>
              <w:br/>
            </w:r>
            <w:r>
              <w:rPr>
                <w:rFonts w:ascii="仿宋_GB2312" w:hAnsi="仿宋_GB2312" w:cs="仿宋_GB2312" w:eastAsia="仿宋_GB2312"/>
              </w:rPr>
              <w:t xml:space="preserve"> 1.所有操作人员持证上岗，培训合格，24小时值班值守。</w:t>
            </w:r>
            <w:r>
              <w:br/>
            </w:r>
            <w:r>
              <w:rPr>
                <w:rFonts w:ascii="仿宋_GB2312" w:hAnsi="仿宋_GB2312" w:cs="仿宋_GB2312" w:eastAsia="仿宋_GB2312"/>
              </w:rPr>
              <w:t xml:space="preserve"> 2.设备运行稳定，故障及时处置，保障医疗业务不间断。</w:t>
            </w:r>
          </w:p>
          <w:p>
            <w:pPr>
              <w:pStyle w:val="null3"/>
            </w:pPr>
            <w:r>
              <w:rPr>
                <w:rFonts w:ascii="仿宋_GB2312" w:hAnsi="仿宋_GB2312" w:cs="仿宋_GB2312" w:eastAsia="仿宋_GB2312"/>
              </w:rPr>
              <w:t>四、服务期限</w:t>
            </w:r>
          </w:p>
          <w:p>
            <w:pPr>
              <w:pStyle w:val="null3"/>
            </w:pPr>
            <w:r>
              <w:rPr>
                <w:rFonts w:ascii="仿宋_GB2312" w:hAnsi="仿宋_GB2312" w:cs="仿宋_GB2312" w:eastAsia="仿宋_GB2312"/>
              </w:rPr>
              <w:t>1、服务期限：3年（1+1+1） ，本项目实行一年一考核、一年一续签模式，每年度考核合格且甲乙双方协商一致后方可续签下一年度合同；项目整体最长服务期限累计不超过三年。</w:t>
            </w:r>
          </w:p>
          <w:p>
            <w:pPr>
              <w:pStyle w:val="null3"/>
            </w:pPr>
            <w:r>
              <w:rPr>
                <w:rFonts w:ascii="仿宋_GB2312" w:hAnsi="仿宋_GB2312" w:cs="仿宋_GB2312" w:eastAsia="仿宋_GB2312"/>
              </w:rPr>
              <w:t>五、款项结算</w:t>
            </w:r>
            <w:r>
              <w:br/>
            </w:r>
            <w:r>
              <w:rPr>
                <w:rFonts w:ascii="仿宋_GB2312" w:hAnsi="仿宋_GB2312" w:cs="仿宋_GB2312" w:eastAsia="仿宋_GB2312"/>
              </w:rPr>
              <w:t xml:space="preserve"> 服务费将按照服务商中标价格进行月度结算，供应商需首先开具与采购人名称相符的等额正规增值税发票，采购人则根据考核情况，在收到发票后的15个工作日内支付上月的服务费用。本次招标所涵盖的服务费用包括工作人员劳务支出、社会保险、劳保福利、人身意外保险费、住宿费、税费、管理费用等。服务商应进行充分报价，采购方不接受中标服务商因报价遗漏而提出的任何费用追加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标的名称：污水处理系统运维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1. 污水处理系统专业运行、药剂添加、设备维护、达标排放、合账管理。</w:t>
            </w:r>
            <w:r>
              <w:br/>
            </w:r>
            <w:r>
              <w:rPr>
                <w:rFonts w:ascii="仿宋_GB2312" w:hAnsi="仿宋_GB2312" w:cs="仿宋_GB2312" w:eastAsia="仿宋_GB2312"/>
              </w:rPr>
              <w:t xml:space="preserve"> 2.完成医院交办的其他后勤运维保障工作。</w:t>
            </w:r>
            <w:r>
              <w:br/>
            </w:r>
            <w:r>
              <w:rPr>
                <w:rFonts w:ascii="仿宋_GB2312" w:hAnsi="仿宋_GB2312" w:cs="仿宋_GB2312" w:eastAsia="仿宋_GB2312"/>
              </w:rPr>
              <w:t xml:space="preserve"> 二、人员配置</w:t>
            </w:r>
            <w:r>
              <w:br/>
            </w:r>
            <w:r>
              <w:rPr>
                <w:rFonts w:ascii="仿宋_GB2312" w:hAnsi="仿宋_GB2312" w:cs="仿宋_GB2312" w:eastAsia="仿宋_GB2312"/>
              </w:rPr>
              <w:t xml:space="preserve"> 1.污水处理专职人员4人，持相关岗位合格证书。</w:t>
            </w:r>
            <w:r>
              <w:br/>
            </w:r>
            <w:r>
              <w:rPr>
                <w:rFonts w:ascii="仿宋_GB2312" w:hAnsi="仿宋_GB2312" w:cs="仿宋_GB2312" w:eastAsia="仿宋_GB2312"/>
              </w:rPr>
              <w:t xml:space="preserve"> 三、服务要求</w:t>
            </w:r>
            <w:r>
              <w:br/>
            </w:r>
            <w:r>
              <w:rPr>
                <w:rFonts w:ascii="仿宋_GB2312" w:hAnsi="仿宋_GB2312" w:cs="仿宋_GB2312" w:eastAsia="仿宋_GB2312"/>
              </w:rPr>
              <w:t xml:space="preserve"> 1.所有操作人员持证上岗，培训合格，24小时值班值守。</w:t>
            </w:r>
            <w:r>
              <w:br/>
            </w:r>
            <w:r>
              <w:rPr>
                <w:rFonts w:ascii="仿宋_GB2312" w:hAnsi="仿宋_GB2312" w:cs="仿宋_GB2312" w:eastAsia="仿宋_GB2312"/>
              </w:rPr>
              <w:t xml:space="preserve"> 2.设备运行稳定，故障及时处置，保障医疗业务不间断。</w:t>
            </w:r>
          </w:p>
          <w:p>
            <w:pPr>
              <w:pStyle w:val="null3"/>
            </w:pPr>
            <w:r>
              <w:rPr>
                <w:rFonts w:ascii="仿宋_GB2312" w:hAnsi="仿宋_GB2312" w:cs="仿宋_GB2312" w:eastAsia="仿宋_GB2312"/>
              </w:rPr>
              <w:t>3.污水处理达标排放，规范台账，符合环保与院感要求。</w:t>
            </w:r>
          </w:p>
          <w:p>
            <w:pPr>
              <w:pStyle w:val="null3"/>
            </w:pPr>
            <w:r>
              <w:rPr>
                <w:rFonts w:ascii="仿宋_GB2312" w:hAnsi="仿宋_GB2312" w:cs="仿宋_GB2312" w:eastAsia="仿宋_GB2312"/>
              </w:rPr>
              <w:t>四、服务期限</w:t>
            </w:r>
          </w:p>
          <w:p>
            <w:pPr>
              <w:pStyle w:val="null3"/>
            </w:pPr>
            <w:r>
              <w:rPr>
                <w:rFonts w:ascii="仿宋_GB2312" w:hAnsi="仿宋_GB2312" w:cs="仿宋_GB2312" w:eastAsia="仿宋_GB2312"/>
              </w:rPr>
              <w:t>1、服务期限：3年（1+1+1） ，本项目实行一年一考核、一年一续签模式，每年度考核合格且甲乙双方协商一致后方可续签下一年度合同；项目整体最长服务期限累计不超过三年。</w:t>
            </w:r>
          </w:p>
          <w:p>
            <w:pPr>
              <w:pStyle w:val="null3"/>
            </w:pPr>
            <w:r>
              <w:rPr>
                <w:rFonts w:ascii="仿宋_GB2312" w:hAnsi="仿宋_GB2312" w:cs="仿宋_GB2312" w:eastAsia="仿宋_GB2312"/>
              </w:rPr>
              <w:t>五、款项结算</w:t>
            </w:r>
          </w:p>
          <w:p>
            <w:pPr>
              <w:pStyle w:val="null3"/>
            </w:pPr>
            <w:r>
              <w:rPr>
                <w:rFonts w:ascii="仿宋_GB2312" w:hAnsi="仿宋_GB2312" w:cs="仿宋_GB2312" w:eastAsia="仿宋_GB2312"/>
              </w:rPr>
              <w:t>服务费将按照服务商中标价格进行月度结算，供应商需首先开具与采购人名称相符的等额正规增值税发票，采购人则根据考核情况，在收到发票后的15个工作日内支付上月的服务费用。本次招标所涵盖的服务费用包括工作人员劳务支出、社会保险、劳保福利、人身意外保险费、住宿费、税费、管理费用等。服务商应进行充分报价，采购方不接受中标服务商因报价遗漏而提出的任何费用追加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按照采购文件要求，配备足够的工作人员。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按照采购文件要求，配备足够的工作人员。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三年，本项目实行一年一考核、一年一续签模式，每年度考核合格且甲乙双方协商一致后方可续签下一年度合同；项目整体最长服务期限累计不超过三年。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三年，本项目实行一年一考核、一年一续签模式，每年度考核合格且甲乙双方协商一致后方可续签下一年度合同；项目整体最长服务期限累计不超过三年。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中标人按月提交合格发票及履约报告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严格按照采购文件及合同约定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提供近开标前一年内至今已缴纳的任意一个月的完税证明（任意税种）。依法免税的单位应提供相关证明材料；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提供开标前一年内至今已缴纳的任意一个月的社保缴纳证明。依法不需要缴纳社会保障资金的单位应提供相关证明材料；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供应商提供法定代表人授权书（附法定代表人及代理人身份证正反两面）及代理人身份证原件。法定代表人直接参加只须提交其法人身份证原件及复印件加盖公章；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本项目不接受联合体磋商，供应商须提供《非联合体磋商声明》；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审计报告、资产负债表、利润表、现金流里表、所有者权益变动表及其附注，成立时间至提交投标文件截止时间不足一年的可提供成立后任意时段的资产负债表），或其开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提供近开标前一年内至今已缴纳的任意一个月的完税证明（任意税种）。依法免税的单位应提供相关证明材料。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提供开标前一年内至今已缴纳的任意一个月的社保缴纳证明。依法不需要缴纳社会保障资金的单位应提供相关证明材料：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在“信用中国-中国执行信息公开网”网站被列为失信被执行人；不得在“信用中国”网站被列为重大税收违法失信主体：不得在“信用中国信誉截图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供应商提供法定代表人授权书（附法定代表人及代理人身份证正反两面）及代理人身份证原件。法定代表人直接参加只须提交其法人身份证原件及复印件加盖公章；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本项目不接受联合体磋商，供应商须提供《非联合体磋商声明》；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供应商应具备环境类检验检测资质（CMA）</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针对本项目服务内容表述详细，并列出服务总体设想、计划安排和重点关键问题，包括但不限于对本项目的总体认识、特点分析、管理服务目标、实施和组织措施、合理化建议、创新性举措等；根据总体方案的完善性、可实施性综合评审。 方案完整、合理、具有针对性且可行性强：20分； 方案较完整、可行性强：14分； 方案一般、具有一定可行性：7分；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 拟派往本项目负责人具备专科及以上学历得2分，中专或以下学历不得分； 具备物业项目管理经理证书得2分，未提供不得分； 以上未提供不得分； 注：（项目负责人应为本单位正式员工，需提供劳动合同或社保证明资料；上述所提供证明材料真实有效，提供虚假证明材料，供应商自行承担相应后果）； 2.其他服务人员： 本项目特种作业操作人员需要提供相应从业资格证书，每提供1个电工作业证得1分，满分3分；每提供1个高处作业证得1分，满分3分；每提供1个锅炉作业证得1分，满分3分；以上未提供不得分。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提供2023年1月1日起至今类似项目业绩，每提供1项类似项目业绩得4分，共12分； 注： 以合同签订时间并提供清晰的合同扫描件为准；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针对本项目应急处理突发事件的具体措施</w:t>
            </w:r>
          </w:p>
        </w:tc>
        <w:tc>
          <w:tcPr>
            <w:tcW w:type="dxa" w:w="2492"/>
          </w:tcPr>
          <w:p>
            <w:pPr>
              <w:pStyle w:val="null3"/>
            </w:pPr>
            <w:r>
              <w:rPr>
                <w:rFonts w:ascii="仿宋_GB2312" w:hAnsi="仿宋_GB2312" w:cs="仿宋_GB2312" w:eastAsia="仿宋_GB2312"/>
              </w:rPr>
              <w:t>供应商根据本项目技术要求制定应急预案。对于可能的突发事件应急、突发事故处理、临时性或专项活动的后勤保障以及各类劳动争议处理等，制定措施全面、合理有效、不可预见的特殊事件纠纷的处理，如：伤亡、工资口径不对应、不平衡；未按时发放工资，缴纳社保等操作性强的应急预案。能够提供对应预案的，包括但不限于在项目实施当地具有分支机构并配备有稳定应急队伍的，根据措施的合理性、完整性横向比较； 方案完整、可行性强：12分； 方案较完整、可行性强：8分； 方案一般、具有一定可行性：3分；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响应文件提供的售后服务包括但不限于：服务体系、服务方式、故障处理机制、响应时间、服务保障等；结合本项目各供应商具体实际情况及对本项目的理解，供应商单位根据自身情况进行分析及制作方案； 根据投标人对本项目的后续服务方案、保障、承诺等进行综合评审: 售后方案中服务范围清晰、服务方式明确，响应及时，服务承诺保证措施内容详细完整且具有针对性，完全符合项目实际需求及项目情况得10分； 售后方案中服务范围清晰、服务方式明确，响应及时，服务承诺保证措施内容较详细完整且具有针对性，较符合项目实际需求及项目情况，具备一定可行性的得7分； 售后方案一般，可行性差的得3分。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针对本项目提出质量保证措施方案 质量保证措施科学、合理、完善可行，有针对性、根据实际需求保证服务时间和质量得10分； 质量保证措施较为完善可行，能满足实际需求得7分； 质量保证措施一般，基本能保证服务的时间和质量得3分；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提供有效的质量管理体系认证证书、环境管理体系认证证书、职业健康安全管理体系认证证书每提供一个得2分，满分6分。未提供不得分。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提供针对本项目拟定的工作流程管理制度，包括但不限于人员管理制度、人员培训制度、岗位职责制度、保密制度、廉洁敬业制度等。根据制度的科学合理性、完整性、可操作性，横向比较。 制度完整，可操作性强：7分； 制度较完整，可操作性强：5分； 制度一般，具有一定可操作性：3分； 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满足磋商文件要求且最后报价最低的合格供应商的价格为磋商基准价，其价格分为满分。其他供应商的报价得分统一按照下列公式计算： 磋商总报价得分=（磋商基准价÷最后磋商报价）×10%×100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提供2023年1月1日起至今类似项目业绩，每提供1项类似项目业绩得4分，共12分； 注： 以合同签订时间并提供清晰的合同扫描件为准；未提供不得分。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提供有效的质量管理体系认证证书、环境管理体系认证证书、职业健康安全管理体系认证证书每提供一个得2分，满分6分。未提供不得分。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拟投入本项目的人员配置及责任制度，阐述人员配备投入情况，提供具体成员名单，包括姓名、年龄、学历、岗位职责、工作经验等，根据其组织管理机构科学合理、完善性，团队人员构成专业性强、经验丰富等方面进行评审。 人员专业配备齐全、责任制度清晰、职责划分明确：12分； 人员专业配备较齐全、职责划分较明确：7分： 人员专业配备不够齐全、职责划分不够明确：4分； 注：需附上述项目人员证书原件扫描件，不按照要求提供证明材料不得分。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应急预案：供应商提供针对本项目的应急预案，应急预案应根据污水处理的工艺进行详细描述。 包括但不限于：因客观原因造成的污水进水量超出设计水量、不可抗拒的自然灾害导致污水处理站超负荷运行、水质水量异常时投加的各类药剂等。 1.预案科学、合理可行、经济实用、可靠性高，完全满足项目需求：10分 2.预案较为合理，可靠性一般,能满足项目基本要求：7分 3.预案简单，满足项目部分要求：3分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供应商提供针对本项目的安全保证措施，根据污水处理运行实际情况，充分考虑运行风险，制定合理可行的质量保障措施： 措施得当、科学合理、完整、可行性强、完全满足服务需求：15分； 措施较为得当、合理、完整、可行、基本满足服务需求：10分； 措施简单，满足项目部分要求：4分；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供应商提供针对本项目的详细实施方案，方案满足磋商要求及采购人实际需求。 方案包括但不限于：项目整体运行实施计划及制度、操作规程，风险防范、安全管理、设备设施保养、维修、药剂使用、水质达标等、员工招募、培训、上岗、培养教育、日常管理，员工的薪酬待遇、考核评价，劳保用品、服务工具、工作服装的配备方案。 方案合理可行、经济实用、可靠性高，完全符合或优于采购人要求：25； 方案较合理，可靠性一般,能满足采购人基本要求：16分； 方案简单，满足采购人部分要求：8分；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响应文件提供的售后服务包括但不限于：服务体系、服务方式、故障处理机制、响应时间、服务保障等；结合本项目各供应商具体实际情况及对本项目的理解，供应商单位根据自身情况进行分析及制作方案； 根据投标人对本项目的后续服务方案、保障、承诺等进行综合评审: 售后方案中服务范围清晰、服务方式明确，响应及时，服务承诺保证措施内容详细完整且具有针对性，完全符合项目实际需求及项目情况：10分； 售后方案中服务范围清晰、服务方式明确，响应及时，服务承诺保证措施内容较详细完整且具有针对性，较符合项目实际需求及项目情况，具备一定可行性：7分； 售后方案一般，可行性差；3分；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满足磋商文件要求且最后报价最低的合格供应商的价格为磋商基准价，其价格分为满分。其他供应商的报价得分统一按照下列公式计算： 磋商总报价得分=（磋商基准价÷最后磋商报价）×10%×100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