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版本号：ZMZB2026HKXY-18720260629001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光固化3D打印机采购项目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ZMZB2026HKXY-187</w:t>
      </w:r>
      <w:r>
        <w:br/>
      </w:r>
      <w:r>
        <w:br/>
      </w:r>
      <w:r>
        <w:br/>
      </w:r>
    </w:p>
    <w:p>
      <w:pPr>
        <w:pStyle w:val="null3"/>
        <w:jc w:val="center"/>
        <w:outlineLvl w:val="2"/>
      </w:pPr>
      <w:r>
        <w:rPr>
          <w:rFonts w:ascii="仿宋_GB2312" w:hAnsi="仿宋_GB2312" w:cs="仿宋_GB2312" w:eastAsia="仿宋_GB2312"/>
          <w:sz w:val="28"/>
          <w:b/>
        </w:rPr>
        <w:t>西安航空学院</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西安航空学院</w:t>
      </w:r>
      <w:r>
        <w:rPr>
          <w:rFonts w:ascii="仿宋_GB2312" w:hAnsi="仿宋_GB2312" w:cs="仿宋_GB2312" w:eastAsia="仿宋_GB2312"/>
        </w:rPr>
        <w:t>委托，拟对</w:t>
      </w:r>
      <w:r>
        <w:rPr>
          <w:rFonts w:ascii="仿宋_GB2312" w:hAnsi="仿宋_GB2312" w:cs="仿宋_GB2312" w:eastAsia="仿宋_GB2312"/>
        </w:rPr>
        <w:t>光固化3D打印机采购项目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ZMZB2026HKXY-187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光固化3D打印机采购项目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光固化3D打印机采购项目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采购包1（光固化3D打印机采购项目）：属于专门面向中小企业采购。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必须上传注册会计师行业统一监管平台并申请赋码，成立时间至提交投标文件截止时间不足一年的可提供成立后任意时段的资产负债表），或其开标前六个月内银行出具的资信证明，或财政部门认可的政府采购专业担保机构出具的投标担保函。注：财务状况中供应商提供的财务审计报告必须上传注册会计师行业统一监管平台并申请赋码，否则作无效投标处理</w:t>
      </w:r>
    </w:p>
    <w:p>
      <w:pPr>
        <w:pStyle w:val="null3"/>
      </w:pPr>
      <w:r>
        <w:rPr>
          <w:rFonts w:ascii="仿宋_GB2312" w:hAnsi="仿宋_GB2312" w:cs="仿宋_GB2312" w:eastAsia="仿宋_GB2312"/>
        </w:rPr>
        <w:t>3、税收缴纳证明：提供2025年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西安航空学院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西安市莲湖区西二环 259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029-81672802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 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杨帆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177 7896 6062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采购包1保证金金额：7,600.00元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说明：供应商成交后凭成交通知书向采购人缴纳成交金额的5%作为履约保证金，待合同履约完毕后无息退还。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文件为依据计代理服务费（不足6000按6000计取），由中标/成交单位一次性支付给代理机构。供应商将招标代理服务费计入投标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西安航空学院</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西安航空学院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西安航空学院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 7896 6062</w:t>
      </w:r>
    </w:p>
    <w:p>
      <w:pPr>
        <w:pStyle w:val="null3"/>
      </w:pPr>
      <w:r>
        <w:rPr>
          <w:rFonts w:ascii="仿宋_GB2312" w:hAnsi="仿宋_GB2312" w:cs="仿宋_GB2312" w:eastAsia="仿宋_GB2312"/>
        </w:rPr>
        <w:t>地址：西安市雁塔区科技路 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光固化</w:t>
      </w:r>
      <w:r>
        <w:rPr>
          <w:rFonts w:ascii="仿宋_GB2312" w:hAnsi="仿宋_GB2312" w:cs="仿宋_GB2312" w:eastAsia="仿宋_GB2312"/>
        </w:rPr>
        <w:t>3D打印机采购项目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380,000.00</w:t>
      </w:r>
    </w:p>
    <w:p>
      <w:pPr>
        <w:pStyle w:val="null3"/>
      </w:pPr>
      <w:r>
        <w:rPr>
          <w:rFonts w:ascii="仿宋_GB2312" w:hAnsi="仿宋_GB2312" w:cs="仿宋_GB2312" w:eastAsia="仿宋_GB2312"/>
        </w:rPr>
        <w:t>采购包最高限价（元）: 380,000.00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光固化3D打印机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380,000.00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标的名称：光固化3D打印机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陶瓷精密结构成型系统</w:t>
            </w:r>
            <w:r>
              <w:rPr>
                <w:rFonts w:ascii="仿宋_GB2312" w:hAnsi="仿宋_GB2312" w:cs="仿宋_GB2312" w:eastAsia="仿宋_GB2312"/>
                <w:sz w:val="20"/>
              </w:rPr>
              <w:t xml:space="preserve">   </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1成型主机</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1.1成型尺寸≥80x50x170mm</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1.2成型精度≤35μm</w:t>
            </w:r>
          </w:p>
          <w:p>
            <w:pPr>
              <w:pStyle w:val="null3"/>
              <w:jc w:val="both"/>
            </w:pPr>
            <w:r>
              <w:rPr>
                <w:rFonts w:ascii="仿宋_GB2312" w:hAnsi="仿宋_GB2312" w:cs="仿宋_GB2312" w:eastAsia="仿宋_GB2312"/>
                <w:sz w:val="20"/>
              </w:rPr>
              <w:t>1.3曝光照度不均匀性≤3%</w:t>
            </w:r>
          </w:p>
          <w:p>
            <w:pPr>
              <w:pStyle w:val="null3"/>
              <w:jc w:val="both"/>
            </w:pPr>
            <w:r>
              <w:rPr>
                <w:rFonts w:ascii="仿宋_GB2312" w:hAnsi="仿宋_GB2312" w:cs="仿宋_GB2312" w:eastAsia="仿宋_GB2312"/>
                <w:sz w:val="20"/>
              </w:rPr>
              <w:t>▲1.4成型重复定位精度≤3μm</w:t>
            </w:r>
            <w:r>
              <w:rPr>
                <w:rFonts w:ascii="仿宋_GB2312" w:hAnsi="仿宋_GB2312" w:cs="仿宋_GB2312" w:eastAsia="仿宋_GB2312"/>
                <w:sz w:val="20"/>
              </w:rPr>
              <w:t>(Z轴配亚微米级光栅系统)</w:t>
            </w:r>
          </w:p>
          <w:p>
            <w:pPr>
              <w:pStyle w:val="null3"/>
              <w:jc w:val="both"/>
            </w:pPr>
            <w:r>
              <w:rPr>
                <w:rFonts w:ascii="仿宋_GB2312" w:hAnsi="仿宋_GB2312" w:cs="仿宋_GB2312" w:eastAsia="仿宋_GB2312"/>
                <w:sz w:val="20"/>
              </w:rPr>
              <w:t>1.5成型层厚：最小可达10μm</w:t>
            </w:r>
          </w:p>
          <w:p>
            <w:pPr>
              <w:pStyle w:val="null3"/>
              <w:jc w:val="both"/>
            </w:pPr>
            <w:r>
              <w:rPr>
                <w:rFonts w:ascii="仿宋_GB2312" w:hAnsi="仿宋_GB2312" w:cs="仿宋_GB2312" w:eastAsia="仿宋_GB2312"/>
                <w:sz w:val="20"/>
              </w:rPr>
              <w:t>1.6成型方式：单面曝光</w:t>
            </w:r>
          </w:p>
          <w:p>
            <w:pPr>
              <w:pStyle w:val="null3"/>
              <w:jc w:val="both"/>
            </w:pPr>
            <w:r>
              <w:rPr>
                <w:rFonts w:ascii="仿宋_GB2312" w:hAnsi="仿宋_GB2312" w:cs="仿宋_GB2312" w:eastAsia="仿宋_GB2312"/>
                <w:sz w:val="20"/>
              </w:rPr>
              <w:t>1.7成型主机尺寸小于900x800x1100mm</w:t>
            </w:r>
          </w:p>
          <w:p>
            <w:pPr>
              <w:pStyle w:val="null3"/>
              <w:jc w:val="both"/>
            </w:pPr>
            <w:r>
              <w:rPr>
                <w:rFonts w:ascii="仿宋_GB2312" w:hAnsi="仿宋_GB2312" w:cs="仿宋_GB2312" w:eastAsia="仿宋_GB2312"/>
                <w:sz w:val="20"/>
              </w:rPr>
              <w:t>2材料适应性</w:t>
            </w:r>
          </w:p>
          <w:p>
            <w:pPr>
              <w:pStyle w:val="null3"/>
              <w:jc w:val="both"/>
            </w:pPr>
            <w:r>
              <w:rPr>
                <w:rFonts w:ascii="仿宋_GB2312" w:hAnsi="仿宋_GB2312" w:cs="仿宋_GB2312" w:eastAsia="仿宋_GB2312"/>
                <w:sz w:val="20"/>
              </w:rPr>
              <w:t>2.1最小启动打印浆料≤20ml;</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0"/>
              </w:rPr>
              <w:t>2.2可打印固含量≥55vol%的氧化铝浆料;</w:t>
            </w:r>
          </w:p>
          <w:p>
            <w:pPr>
              <w:pStyle w:val="null3"/>
              <w:jc w:val="both"/>
            </w:pPr>
            <w:r>
              <w:rPr>
                <w:rFonts w:ascii="仿宋_GB2312" w:hAnsi="仿宋_GB2312" w:cs="仿宋_GB2312" w:eastAsia="仿宋_GB2312"/>
                <w:sz w:val="20"/>
              </w:rPr>
              <w:t>3光学系统</w:t>
            </w:r>
          </w:p>
          <w:p>
            <w:pPr>
              <w:pStyle w:val="null3"/>
              <w:jc w:val="both"/>
            </w:pPr>
            <w:r>
              <w:rPr>
                <w:rFonts w:ascii="仿宋_GB2312" w:hAnsi="仿宋_GB2312" w:cs="仿宋_GB2312" w:eastAsia="仿宋_GB2312"/>
                <w:sz w:val="20"/>
              </w:rPr>
              <w:t>3.1DLP像素分辨率≥2560*1600；</w:t>
            </w:r>
          </w:p>
          <w:p>
            <w:pPr>
              <w:pStyle w:val="null3"/>
              <w:jc w:val="both"/>
            </w:pPr>
            <w:r>
              <w:rPr>
                <w:rFonts w:ascii="仿宋_GB2312" w:hAnsi="仿宋_GB2312" w:cs="仿宋_GB2312" w:eastAsia="仿宋_GB2312"/>
                <w:sz w:val="20"/>
              </w:rPr>
              <w:t>3.2冷却方式：风冷或者水冷；</w:t>
            </w:r>
          </w:p>
          <w:p>
            <w:pPr>
              <w:pStyle w:val="null3"/>
              <w:jc w:val="both"/>
            </w:pPr>
            <w:r>
              <w:rPr>
                <w:rFonts w:ascii="仿宋_GB2312" w:hAnsi="仿宋_GB2312" w:cs="仿宋_GB2312" w:eastAsia="仿宋_GB2312"/>
                <w:sz w:val="20"/>
              </w:rPr>
              <w:t>3.3光功率密度：≥80mW/cm²；</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3.4UV紫外光工作波长为405纳米；</w:t>
            </w:r>
          </w:p>
          <w:p>
            <w:pPr>
              <w:pStyle w:val="null3"/>
              <w:jc w:val="both"/>
            </w:pPr>
            <w:r>
              <w:rPr>
                <w:rFonts w:ascii="仿宋_GB2312" w:hAnsi="仿宋_GB2312" w:cs="仿宋_GB2312" w:eastAsia="仿宋_GB2312"/>
                <w:sz w:val="20"/>
              </w:rPr>
              <w:t>4控制软件</w:t>
            </w:r>
          </w:p>
          <w:p>
            <w:pPr>
              <w:pStyle w:val="null3"/>
              <w:jc w:val="both"/>
            </w:pPr>
            <w:r>
              <w:rPr>
                <w:rFonts w:ascii="仿宋_GB2312" w:hAnsi="仿宋_GB2312" w:cs="仿宋_GB2312" w:eastAsia="仿宋_GB2312"/>
                <w:sz w:val="20"/>
              </w:rPr>
              <w:t>4.1设备搭载自主研发控制软件，具备开源参数调控体系，支持用户根据不同成型需求，对曝光量、曝光时间等核心工艺参数进行深度定制化设置。</w:t>
            </w:r>
          </w:p>
          <w:p>
            <w:pPr>
              <w:pStyle w:val="null3"/>
              <w:jc w:val="both"/>
            </w:pPr>
            <w:r>
              <w:rPr>
                <w:rFonts w:ascii="仿宋_GB2312" w:hAnsi="仿宋_GB2312" w:cs="仿宋_GB2312" w:eastAsia="仿宋_GB2312"/>
                <w:sz w:val="20"/>
              </w:rPr>
              <w:t>4.2适配光敏树脂材料与复杂结构件成型场景。软件集成智能工艺数据库、自动成型规划。</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4.3具有断电续打功能。</w:t>
            </w:r>
          </w:p>
          <w:p>
            <w:pPr>
              <w:pStyle w:val="null3"/>
              <w:jc w:val="both"/>
            </w:pPr>
            <w:r>
              <w:rPr>
                <w:rFonts w:ascii="仿宋_GB2312" w:hAnsi="仿宋_GB2312" w:cs="仿宋_GB2312" w:eastAsia="仿宋_GB2312"/>
                <w:sz w:val="20"/>
              </w:rPr>
              <w:t>5分层软件</w:t>
            </w:r>
          </w:p>
          <w:p>
            <w:pPr>
              <w:pStyle w:val="null3"/>
              <w:jc w:val="both"/>
            </w:pPr>
            <w:r>
              <w:rPr>
                <w:rFonts w:ascii="仿宋_GB2312" w:hAnsi="仿宋_GB2312" w:cs="仿宋_GB2312" w:eastAsia="仿宋_GB2312"/>
                <w:sz w:val="20"/>
              </w:rPr>
              <w:t>5.1设备搭载自主研发层切/分层软件，支持STL文件/IGS文件/自定义序列化文件；</w:t>
            </w:r>
          </w:p>
          <w:p>
            <w:pPr>
              <w:pStyle w:val="null3"/>
              <w:jc w:val="both"/>
            </w:pPr>
            <w:r>
              <w:rPr>
                <w:rFonts w:ascii="仿宋_GB2312" w:hAnsi="仿宋_GB2312" w:cs="仿宋_GB2312" w:eastAsia="仿宋_GB2312"/>
                <w:sz w:val="20"/>
              </w:rPr>
              <w:t>5.2打印过程数据在线处理，自动布局，等层厚、自动/手动变层厚层切；</w:t>
            </w:r>
          </w:p>
          <w:p>
            <w:pPr>
              <w:pStyle w:val="null3"/>
              <w:jc w:val="both"/>
            </w:pPr>
            <w:r>
              <w:rPr>
                <w:rFonts w:ascii="仿宋_GB2312" w:hAnsi="仿宋_GB2312" w:cs="仿宋_GB2312" w:eastAsia="仿宋_GB2312"/>
                <w:sz w:val="20"/>
              </w:rPr>
              <w:t>5.3层切预览，容错切片。</w:t>
            </w:r>
          </w:p>
          <w:p>
            <w:pPr>
              <w:pStyle w:val="null3"/>
              <w:jc w:val="both"/>
            </w:pPr>
            <w:r>
              <w:rPr>
                <w:rFonts w:ascii="仿宋_GB2312" w:hAnsi="仿宋_GB2312" w:cs="仿宋_GB2312" w:eastAsia="仿宋_GB2312"/>
                <w:sz w:val="20"/>
              </w:rPr>
              <w:t>5.4模型材料属性、功能属性定义，模型信息自动保存技术。</w:t>
            </w:r>
          </w:p>
          <w:p>
            <w:pPr>
              <w:pStyle w:val="null3"/>
              <w:jc w:val="both"/>
            </w:pPr>
            <w:r>
              <w:rPr>
                <w:rFonts w:ascii="仿宋_GB2312" w:hAnsi="仿宋_GB2312" w:cs="仿宋_GB2312" w:eastAsia="仿宋_GB2312"/>
                <w:sz w:val="20"/>
              </w:rPr>
              <w:t>5.5打印工作全程可控，打印过程中任意样件删除，自主点阵模型设计，智能在线监测，可远程监视。</w:t>
            </w:r>
          </w:p>
          <w:p>
            <w:pPr>
              <w:pStyle w:val="null3"/>
              <w:jc w:val="both"/>
            </w:pPr>
            <w:r>
              <w:rPr>
                <w:rFonts w:ascii="仿宋_GB2312" w:hAnsi="仿宋_GB2312" w:cs="仿宋_GB2312" w:eastAsia="仿宋_GB2312"/>
                <w:sz w:val="20"/>
              </w:rPr>
              <w:t>6操作系统：≥6核12线程，频率≥2.5GHz，二级缓存≥7.5 MB，内存≥16G DDR4，正版操作系统，硬盘≥512GSSD，显卡≥6G，显示器：（≥22英寸）、键鼠，WIFI双网口。</w:t>
            </w:r>
          </w:p>
          <w:p>
            <w:pPr>
              <w:pStyle w:val="null3"/>
              <w:jc w:val="both"/>
            </w:pPr>
            <w:r>
              <w:rPr>
                <w:rFonts w:ascii="仿宋_GB2312" w:hAnsi="仿宋_GB2312" w:cs="仿宋_GB2312" w:eastAsia="仿宋_GB2312"/>
                <w:sz w:val="20"/>
              </w:rPr>
              <w:t>7、工作环境</w:t>
            </w:r>
          </w:p>
          <w:p>
            <w:pPr>
              <w:pStyle w:val="null3"/>
              <w:jc w:val="both"/>
            </w:pPr>
            <w:r>
              <w:rPr>
                <w:rFonts w:ascii="仿宋_GB2312" w:hAnsi="仿宋_GB2312" w:cs="仿宋_GB2312" w:eastAsia="仿宋_GB2312"/>
                <w:sz w:val="20"/>
              </w:rPr>
              <w:t>7.1工作环境温度：常温。</w:t>
            </w:r>
          </w:p>
          <w:p>
            <w:pPr>
              <w:pStyle w:val="null3"/>
              <w:jc w:val="both"/>
            </w:pPr>
            <w:r>
              <w:rPr>
                <w:rFonts w:ascii="仿宋_GB2312" w:hAnsi="仿宋_GB2312" w:cs="仿宋_GB2312" w:eastAsia="仿宋_GB2312"/>
                <w:sz w:val="20"/>
              </w:rPr>
              <w:t>7.2工作压力：常压。</w:t>
            </w:r>
          </w:p>
          <w:p>
            <w:pPr>
              <w:pStyle w:val="null3"/>
              <w:jc w:val="both"/>
            </w:pPr>
            <w:r>
              <w:rPr>
                <w:rFonts w:ascii="仿宋_GB2312" w:hAnsi="仿宋_GB2312" w:cs="仿宋_GB2312" w:eastAsia="仿宋_GB2312"/>
                <w:sz w:val="20"/>
              </w:rPr>
              <w:t>7.3电源：单相200-240V ，50 Hz。</w:t>
            </w:r>
          </w:p>
          <w:p>
            <w:pPr>
              <w:pStyle w:val="null3"/>
              <w:jc w:val="both"/>
            </w:pPr>
            <w:r>
              <w:rPr>
                <w:rFonts w:ascii="仿宋_GB2312" w:hAnsi="仿宋_GB2312" w:cs="仿宋_GB2312" w:eastAsia="仿宋_GB2312"/>
                <w:sz w:val="20"/>
              </w:rPr>
              <w:t>7.4仪器运行的持久性：仪器可连续正常运行。</w:t>
            </w:r>
          </w:p>
          <w:p>
            <w:pPr>
              <w:pStyle w:val="null3"/>
              <w:jc w:val="both"/>
            </w:pPr>
            <w:r>
              <w:rPr>
                <w:rFonts w:ascii="仿宋_GB2312" w:hAnsi="仿宋_GB2312" w:cs="仿宋_GB2312" w:eastAsia="仿宋_GB2312"/>
                <w:sz w:val="20"/>
              </w:rPr>
              <w:t>7.5工作条件及安全性要求符合中国及国际有关标准或规定。</w:t>
            </w:r>
          </w:p>
          <w:p>
            <w:pPr>
              <w:pStyle w:val="null3"/>
              <w:jc w:val="both"/>
            </w:pPr>
            <w:r>
              <w:rPr>
                <w:rFonts w:ascii="仿宋_GB2312" w:hAnsi="仿宋_GB2312" w:cs="仿宋_GB2312" w:eastAsia="仿宋_GB2312"/>
                <w:sz w:val="20"/>
              </w:rPr>
              <w:t>8、备件</w:t>
            </w:r>
          </w:p>
          <w:p>
            <w:pPr>
              <w:pStyle w:val="null3"/>
            </w:pPr>
            <w:r>
              <w:rPr>
                <w:rFonts w:ascii="仿宋_GB2312" w:hAnsi="仿宋_GB2312" w:cs="仿宋_GB2312" w:eastAsia="仿宋_GB2312"/>
                <w:sz w:val="20"/>
              </w:rPr>
              <w:t>刮刀</w:t>
            </w:r>
            <w:r>
              <w:rPr>
                <w:rFonts w:ascii="仿宋_GB2312" w:hAnsi="仿宋_GB2312" w:cs="仿宋_GB2312" w:eastAsia="仿宋_GB2312"/>
                <w:sz w:val="20"/>
              </w:rPr>
              <w:t>1套，UV高透离型膜一套。</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rPr>
              <w:t>安装要求：设备所需场地，建议不小于</w:t>
            </w:r>
            <w:r>
              <w:rPr>
                <w:rFonts w:ascii="仿宋_GB2312" w:hAnsi="仿宋_GB2312" w:cs="仿宋_GB2312" w:eastAsia="仿宋_GB2312"/>
                <w:sz w:val="20"/>
              </w:rPr>
              <w:t>5平米，平整桌面（承重不小于200kg）。工作环境：18-25℃。</w:t>
            </w:r>
          </w:p>
          <w:p>
            <w:pPr>
              <w:pStyle w:val="null3"/>
            </w:pPr>
            <w:r>
              <w:rPr>
                <w:rFonts w:ascii="仿宋_GB2312" w:hAnsi="仿宋_GB2312" w:cs="仿宋_GB2312" w:eastAsia="仿宋_GB2312"/>
                <w:sz w:val="20"/>
              </w:rPr>
              <w:t>电气要求：</w:t>
            </w:r>
            <w:r>
              <w:rPr>
                <w:rFonts w:ascii="仿宋_GB2312" w:hAnsi="仿宋_GB2312" w:cs="仿宋_GB2312" w:eastAsia="仿宋_GB2312"/>
                <w:sz w:val="20"/>
              </w:rPr>
              <w:t xml:space="preserve">220V 50HZ 10A 两相  </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0"/>
              </w:rPr>
              <w:t>★和</w:t>
            </w:r>
            <w:r>
              <w:rPr>
                <w:rFonts w:ascii="仿宋_GB2312" w:hAnsi="仿宋_GB2312" w:cs="仿宋_GB2312" w:eastAsia="仿宋_GB2312"/>
                <w:sz w:val="20"/>
              </w:rPr>
              <w:t>▲参数必须提供证明材料，证明材料为产品彩页、官网（功能）截图、检测报告、生产厂家盖章的技术白皮书其中任意一个(技术参数与性能指标中对证明材料有要求的以要求的为准)，未提供或提供的证明材料低于文件规定的相应技术参数时视为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合同签订后35天交货安装调试完成。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西安航空学院阎良校区4号实验楼4204</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项目验收合格后，凭供应商开具的全额增值税专用发票，30日内一次性付清合同款项，如供应商向学校提供银行、保险公司等金融机构出具的预付款保函或其他担保措施，学校可向供应商支付合同总价的40%作为预付款；待所有货物到达指定地点、安装调试完成，学校验收合格后，凭供应商开具的全额增值税专用发票，30日内付清剩余合同款项，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1.验收分预验收和学校最终验收两个阶段，以最终验收为准。 2.货物到货后，甲、乙双方共同开箱验收。在检查货物原产地、型号、规格、配置符合合同要求后，由乙方负责安装调试、甲方项目单位负责技术指标验收（乙方协助），验收以国内行业标准或投标文件、合同文本货物供货配置清单中描述的有关技术要求为准。 3.甲方项目单位预验收合格后提出终验收申请，学校相关部门根据项目单位预验收结果，组织有关专家进行最终验收。 4.履约验收：派工程师现场安装、调试，确保设备正常使用并满足所有技术参数要求，并对使用者进行系统操作培训。</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整体质保期：1年，自验收完成之后起算。质保期外，设备终身维修；售后服务响应时间（质保期内）：即时响应（包括电话响应）；电话响应无法解决48小时内到达现场。修复时间24小时内解决；如在24小时内无法修复，则提供部件冗余服务或采取应急措施，提供相同产品或不低于故障产品规格档次的备用产品供采购人使用，以确保货物的正常使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人、成交供应商双方必须遵守本合同并执行合同中的各项规定，保证本合同的正常履行。2、如因成交供应商工作人员在履行职务过程中的的疏忽、失职、过错等故意或者过失原因给采购人方造成损失或侵害，包括但不限于采购人方本身的财产损失、由此而导致的采购人方对任何第三方的法律责任等，成交供应商对此均应承担全部的赔偿责任。3、因本项目涉及教学正常运行开展，影响广泛重大，若未能按照合同签订要求如期履约，则全额扣除履约保证金，对学校造成的其他损失由成交方承担。4、供应商在项目实施过程中所引起的任何人身损害、对第三方侵害、经济和劳动纠纷全部由供应商负责。</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1.核心产品：光固化3D打印机。2.供应商在国内设有备件库，保证能为用户提供充足备品备件。 3.供应商在国内必须设有设备培训，免费为用户提供设备的基本原理、操作、日常维护及基础设备理论课程。4.供应商提供为用户提供免费的电话咨询及技术服务。 5.纸质文件递交：中标（成交）结果发布后，中标供应商在2个工作日内向采购代理机构提供一正一副（和上传文件保持一致的）纸质投标（响应）文件用于备案及档案保存。 6.投标保证金以电子保函形式递交需在开标前给shanxizhuoming_zb@163.com发一份扫描件。 7.合同价款包括全套货物抵达用户现场，安装验收直至投入使用期间的所需费用。报价包含但不限于人工费、辅材费、税费、安装调试费、培训费、安装期间必须的场地调整费等产生的一切费用。合同总价一次性包死，不受市场价格变化因素的影响。除本合同总金额外，采购人不再支付任何其他费用。8.供应商投标保证金缴纳完成后请致电代理机构财务部门确认投标保证金到账情况，电话：88225322 。</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必须上传注册会计师行业统一监管平台并申请赋码，成立时间至提交投标文件截止时间不足一年的可提供成立后任意时段的资产负债表），或其开标前六个月内银行出具的资信证明，或财政部门认可的政府采购专业担保机构出具的投标担保函。注：财务状况中供应商提供的财务审计报告必须上传注册会计师行业统一监管平台并申请赋码，否则作无效投标处理</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投标报价未超过采购预算（包含单套设备预算）或最高限价(合格)，投标报价超过采购预算（包含单套设备预算）或最高限价(不合格)</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交货时间(期)满足招标文件要求 (合格)，交货时间(期)不满足招标文件要求(不合格)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质保期满足招标文件要求(合格)， 质保期不满足招标文件要求(不合格)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支付约定满足招标文件要求(合格)， 支付约定不满足招标文件要求(不合格)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投标文件的签署、盖章满足招标文件 要求(合格)，投标文件的签署、盖 章不满足招标文件要求(不合格)</w:t>
            </w:r>
          </w:p>
        </w:tc>
        <w:tc>
          <w:tcPr>
            <w:tcW w:type="dxa" w:w="1661"/>
          </w:tcPr>
          <w:p>
            <w:pPr>
              <w:pStyle w:val="null3"/>
            </w:pPr>
            <w:r>
              <w:rPr>
                <w:rFonts w:ascii="仿宋_GB2312" w:hAnsi="仿宋_GB2312" w:cs="仿宋_GB2312" w:eastAsia="仿宋_GB2312"/>
              </w:rPr>
              <w:t>开标一览表 分项报价表.docx 供应商资格要求.docx 投标函 商务应答表 标的清单 投标文件封面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投标有效期满足招标文件要求(合 格)，投标文件无投标有效期或有效期不满足招标文件要 求(不合格)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标的数量满足招标文件要求(合 格)，标的数量出现漏项或与招标文件要求不符(不合格)</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不存在法律、法规和招标文件规定的其他无效 情形(合格)，存在法律、法规和招标文件规定的其他无 效情形(不合格)</w:t>
            </w:r>
          </w:p>
        </w:tc>
        <w:tc>
          <w:tcPr>
            <w:tcW w:type="dxa" w:w="1661"/>
          </w:tcPr>
          <w:p>
            <w:pPr>
              <w:pStyle w:val="null3"/>
            </w:pPr>
            <w:r>
              <w:rPr>
                <w:rFonts w:ascii="仿宋_GB2312" w:hAnsi="仿宋_GB2312" w:cs="仿宋_GB2312" w:eastAsia="仿宋_GB2312"/>
              </w:rPr>
              <w:t>投标函 商务应答表 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供应商提供所投产品的技术偏离表，经评审专家审定得分。基本分（47分）：完全符合、响应招标文件要求，没有负偏离计47分，★项为实质性要求，不满足按无效文件处理；“▲”参数每负偏离一项扣5分，未带标识参数每负偏离一项扣1.83分，扣完为止。 备注：★和▲参数必须提供证明材料，证明材料为产品彩页、官网（功能）截图、检测报告、生产厂家盖章的技术白皮书其中任意一个(技术参数与性能指标中对证明材料有要求的以要求的为准)，未提供或提供的证明材料低于文件规定的相应技术参数时视为负偏离。</w:t>
            </w:r>
          </w:p>
        </w:tc>
        <w:tc>
          <w:tcPr>
            <w:tcW w:type="dxa" w:w="831"/>
          </w:tcPr>
          <w:p>
            <w:pPr>
              <w:pStyle w:val="null3"/>
              <w:jc w:val="right"/>
            </w:pPr>
            <w:r>
              <w:rPr>
                <w:rFonts w:ascii="仿宋_GB2312" w:hAnsi="仿宋_GB2312" w:cs="仿宋_GB2312" w:eastAsia="仿宋_GB2312"/>
              </w:rPr>
              <w:t>47.0000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实施方案，①总体实施方案；②计划进度安排；③项目团队配备；④项目实施过程中质量保证；⑤安装调试方案；⑥项目验收方案；完整提供上述6项内容的得6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内容包含①整体配置具有合理性、一致性、兼容性②产品品牌、型号、产地明确，备品配件供应有保障③产品性能、使用寿命及效果④质量保证措施。完整提供上述4项内容的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②培训内容；③培训计划安排；④人员安排；完整提供上述4项内容的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提供供应商2023年1月1日至今类似项目合同（以合同签订日期为准），每提供1个得1分，最高得4分。备注：响应文件中提供合同复印件。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质量保证期限及质量保证的范围承诺；②生产厂商售后服务承诺；③售后服务保障措施及售后人员配置安排计划；④故障处理响应时间。完整提供上述4项内容的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供应商投标产品中每有一项为节能产品或环境标志产品经国家认证的得1分。(以经国家通定的认证机构出具的、处于有效期内的节能产品、环境标志产品认证证书为准。）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 准价／投标报价)×报价分值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