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版本号：ZYZX2026-00620260515002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雁塔区政务服务中心印刷制作采购项目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ZYZX2026-006</w:t>
      </w:r>
      <w:r>
        <w:br/>
      </w:r>
      <w:r>
        <w:br/>
      </w:r>
      <w:r>
        <w:br/>
      </w:r>
    </w:p>
    <w:p>
      <w:pPr>
        <w:pStyle w:val="null3"/>
        <w:jc w:val="center"/>
        <w:outlineLvl w:val="2"/>
      </w:pPr>
      <w:r>
        <w:rPr>
          <w:rFonts w:ascii="仿宋_GB2312" w:hAnsi="仿宋_GB2312" w:cs="仿宋_GB2312" w:eastAsia="仿宋_GB2312"/>
          <w:sz w:val="28"/>
          <w:b/>
        </w:rPr>
        <w:t>西安市雁塔区行政审批服务局</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西安市雁塔区行政审批服务局</w:t>
      </w:r>
      <w:r>
        <w:rPr>
          <w:rFonts w:ascii="仿宋_GB2312" w:hAnsi="仿宋_GB2312" w:cs="仿宋_GB2312" w:eastAsia="仿宋_GB2312"/>
        </w:rPr>
        <w:t>委托，拟对</w:t>
      </w:r>
      <w:r>
        <w:rPr>
          <w:rFonts w:ascii="仿宋_GB2312" w:hAnsi="仿宋_GB2312" w:cs="仿宋_GB2312" w:eastAsia="仿宋_GB2312"/>
        </w:rPr>
        <w:t>雁塔区政务服务中心印刷制作采购项目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雁塔区政务服务中心印刷制作采购项目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本项目拟采购雁塔区政务服务中心印刷制作一项，具体详见磋商文件。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采购包1（西安市雁塔区行政审批服务局雁塔区政务服务中心印刷制作采购项目）：属于专门面向中小企业采购。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7、资质证书：供应商需提供有效的《印刷经营许可证》，供应商需在项目电子化交易系统中按要求上传相应证明文件并进行电子签章</w:t>
      </w:r>
    </w:p>
    <w:p>
      <w:pPr>
        <w:pStyle w:val="null3"/>
      </w:pPr>
      <w:r>
        <w:rPr>
          <w:rFonts w:ascii="仿宋_GB2312" w:hAnsi="仿宋_GB2312" w:cs="仿宋_GB2312" w:eastAsia="仿宋_GB2312"/>
        </w:rPr>
        <w:t>8、其他要求：单位负责人为同一人或者存在直接控股、管理关系的不同供应商不得参加同一合同项下的政府采购活动；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9、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西安市雁塔区电子正街南段与双桥一巷十字西南角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029-81160013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张传玉、张凯、王浩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费用管理暂行办法&gt;的通知》（计价格【2002】1980号）、《国家发展改革关于进一步放开建设项目专业服务价格的通知》（发改价格[2015]299号）的相关规定，招标代理服务费按照固定金额人民币伍仟元整（￥5000.00元）收取。2、成交单位在领取成交通知书之前，须向代理机构支付招标代理服务费。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西安市雁塔区行政审批服务局</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联系人：张传玉、张凯、王浩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地址：西安市雁塔区电子正街云锦紫豪商务中心13层06室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本项目拟采购雁塔区政务服务中心印刷制作一项，具体详见磋商文件。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印刷设计制作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标的名称：印刷设计制作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一、采购内容与明细</w:t>
            </w:r>
          </w:p>
          <w:tbl>
            <w:tblPr>
              <w:tblInd w:type="dxa" w:w="90"/>
              <w:tblBorders>
                <w:top w:val="none" w:color="000000" w:sz="4"/>
                <w:left w:val="none" w:color="000000" w:sz="4"/>
                <w:bottom w:val="none" w:color="000000" w:sz="4"/>
                <w:right w:val="none" w:color="000000" w:sz="4"/>
                <w:insideH w:val="none"/>
                <w:insideV w:val="none"/>
              </w:tblBorders>
            </w:tblPr>
            <w:tblGrid>
              <w:gridCol w:w="226"/>
              <w:gridCol w:w="669"/>
              <w:gridCol w:w="986"/>
              <w:gridCol w:w="339"/>
              <w:gridCol w:w="321"/>
            </w:tblGrid>
            <w:tr>
              <w:tc>
                <w:tcPr>
                  <w:tcW w:type="dxa" w:w="2541"/>
                  <w:gridSpan w:val="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印刷制作部分</w:t>
                  </w:r>
                </w:p>
              </w:tc>
            </w:tr>
            <w:tr>
              <w:tc>
                <w:tcPr>
                  <w:tcW w:type="dxa" w:w="22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序号</w:t>
                  </w:r>
                </w:p>
              </w:tc>
              <w:tc>
                <w:tcPr>
                  <w:tcW w:type="dxa" w:w="6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项目</w:t>
                  </w:r>
                </w:p>
              </w:tc>
              <w:tc>
                <w:tcPr>
                  <w:tcW w:type="dxa" w:w="9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规格</w:t>
                  </w:r>
                </w:p>
              </w:tc>
              <w:tc>
                <w:tcPr>
                  <w:tcW w:type="dxa" w:w="33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数量</w:t>
                  </w:r>
                </w:p>
              </w:tc>
              <w:tc>
                <w:tcPr>
                  <w:tcW w:type="dxa" w:w="3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单位</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纸杯</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九盎司</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40000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手提袋</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300克白卡纸</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培训手册</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封面</w:t>
                  </w:r>
                  <w:r>
                    <w:rPr>
                      <w:rFonts w:ascii="仿宋_GB2312" w:hAnsi="仿宋_GB2312" w:cs="仿宋_GB2312" w:eastAsia="仿宋_GB2312"/>
                      <w:sz w:val="21"/>
                      <w:color w:val="000000"/>
                    </w:rPr>
                    <w:t>250克铜版纸，内文80克双胶</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本</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“一件事一次办”</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210*285mm 250铜版纸 中间压痕 各100份</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份</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特种设备使用登记证</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特种纸印刷</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特种设备使用标志</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200克铜版纸</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手提袋</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无纺布覆彩膜，热转印</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医疗许可证副本</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防伪水印，锁线装订</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高危许可证（正本）</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A3铜版纸纸专色印</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高危许可证（副本）</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A4铜版纸纸专色印</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卫生许可证</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特种纸打印</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卫生许可证（副本）</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特种纸锁线</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大信封</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信封纸</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小信封</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信封纸</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《食品经营许可证》现场核查表</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封面</w:t>
                  </w:r>
                  <w:r>
                    <w:rPr>
                      <w:rFonts w:ascii="仿宋_GB2312" w:hAnsi="仿宋_GB2312" w:cs="仿宋_GB2312" w:eastAsia="仿宋_GB2312"/>
                      <w:sz w:val="21"/>
                      <w:color w:val="000000"/>
                    </w:rPr>
                    <w:t>200克铜版纸，内文80克双胶纸</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本</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食品经营许可现场核查记录</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210*285mm，复写纸</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本</w:t>
                  </w:r>
                </w:p>
              </w:tc>
            </w:tr>
            <w:tr>
              <w:tc>
                <w:tcPr>
                  <w:tcW w:type="dxa" w:w="2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卫生经营许可证</w:t>
                  </w:r>
                </w:p>
              </w:tc>
              <w:tc>
                <w:tcPr>
                  <w:tcW w:type="dxa" w:w="9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皮面烫金</w:t>
                  </w:r>
                </w:p>
              </w:tc>
              <w:tc>
                <w:tcPr>
                  <w:tcW w:type="dxa" w:w="3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2000</w:t>
                  </w:r>
                </w:p>
              </w:tc>
              <w:tc>
                <w:tcPr>
                  <w:tcW w:type="dxa" w:w="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个</w:t>
                  </w:r>
                </w:p>
              </w:tc>
            </w:tr>
            <w:tr>
              <w:tc>
                <w:tcPr>
                  <w:tcW w:type="dxa" w:w="2541"/>
                  <w:gridSpan w:val="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（二）</w:t>
                  </w:r>
                  <w:r>
                    <w:rPr>
                      <w:rFonts w:ascii="仿宋_GB2312" w:hAnsi="仿宋_GB2312" w:cs="仿宋_GB2312" w:eastAsia="仿宋_GB2312"/>
                      <w:sz w:val="21"/>
                      <w:color w:val="000000"/>
                    </w:rPr>
                    <w:t>设计制作部分</w:t>
                  </w:r>
                </w:p>
              </w:tc>
            </w:tr>
            <w:tr>
              <w:tc>
                <w:tcPr>
                  <w:tcW w:type="dxa" w:w="22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6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其他设计制作项目</w:t>
                  </w:r>
                </w:p>
              </w:tc>
              <w:tc>
                <w:tcPr>
                  <w:tcW w:type="dxa" w:w="1646"/>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按照实际要求设计制作（包括但不限于</w:t>
                  </w:r>
                  <w:r>
                    <w:rPr>
                      <w:rFonts w:ascii="仿宋_GB2312" w:hAnsi="仿宋_GB2312" w:cs="仿宋_GB2312" w:eastAsia="仿宋_GB2312"/>
                      <w:sz w:val="21"/>
                    </w:rPr>
                    <w:t>宣传海报架</w:t>
                  </w:r>
                  <w:r>
                    <w:rPr>
                      <w:rFonts w:ascii="仿宋_GB2312" w:hAnsi="仿宋_GB2312" w:cs="仿宋_GB2312" w:eastAsia="仿宋_GB2312"/>
                      <w:sz w:val="21"/>
                    </w:rPr>
                    <w:t>、</w:t>
                  </w:r>
                  <w:r>
                    <w:rPr>
                      <w:rFonts w:ascii="仿宋_GB2312" w:hAnsi="仿宋_GB2312" w:cs="仿宋_GB2312" w:eastAsia="仿宋_GB2312"/>
                      <w:sz w:val="21"/>
                    </w:rPr>
                    <w:t>上墙宣传栏</w:t>
                  </w:r>
                  <w:r>
                    <w:rPr>
                      <w:rFonts w:ascii="仿宋_GB2312" w:hAnsi="仿宋_GB2312" w:cs="仿宋_GB2312" w:eastAsia="仿宋_GB2312"/>
                      <w:sz w:val="21"/>
                    </w:rPr>
                    <w:t>、</w:t>
                  </w:r>
                  <w:r>
                    <w:rPr>
                      <w:rFonts w:ascii="仿宋_GB2312" w:hAnsi="仿宋_GB2312" w:cs="仿宋_GB2312" w:eastAsia="仿宋_GB2312"/>
                      <w:sz w:val="21"/>
                    </w:rPr>
                    <w:t>落地报刊栏</w:t>
                  </w:r>
                  <w:r>
                    <w:rPr>
                      <w:rFonts w:ascii="仿宋_GB2312" w:hAnsi="仿宋_GB2312" w:cs="仿宋_GB2312" w:eastAsia="仿宋_GB2312"/>
                      <w:sz w:val="21"/>
                    </w:rPr>
                    <w:t>、</w:t>
                  </w:r>
                  <w:r>
                    <w:rPr>
                      <w:rFonts w:ascii="仿宋_GB2312" w:hAnsi="仿宋_GB2312" w:cs="仿宋_GB2312" w:eastAsia="仿宋_GB2312"/>
                      <w:sz w:val="21"/>
                    </w:rPr>
                    <w:t>易拉宝</w:t>
                  </w:r>
                  <w:r>
                    <w:rPr>
                      <w:rFonts w:ascii="仿宋_GB2312" w:hAnsi="仿宋_GB2312" w:cs="仿宋_GB2312" w:eastAsia="仿宋_GB2312"/>
                      <w:sz w:val="21"/>
                    </w:rPr>
                    <w:t>、</w:t>
                  </w:r>
                  <w:r>
                    <w:rPr>
                      <w:rFonts w:ascii="仿宋_GB2312" w:hAnsi="仿宋_GB2312" w:cs="仿宋_GB2312" w:eastAsia="仿宋_GB2312"/>
                      <w:sz w:val="21"/>
                    </w:rPr>
                    <w:t>X展架</w:t>
                  </w:r>
                  <w:r>
                    <w:rPr>
                      <w:rFonts w:ascii="仿宋_GB2312" w:hAnsi="仿宋_GB2312" w:cs="仿宋_GB2312" w:eastAsia="仿宋_GB2312"/>
                      <w:sz w:val="21"/>
                    </w:rPr>
                    <w:t>、</w:t>
                  </w:r>
                  <w:r>
                    <w:rPr>
                      <w:rFonts w:ascii="仿宋_GB2312" w:hAnsi="仿宋_GB2312" w:cs="仿宋_GB2312" w:eastAsia="仿宋_GB2312"/>
                      <w:sz w:val="21"/>
                    </w:rPr>
                    <w:t>宣传立屏架</w:t>
                  </w:r>
                  <w:r>
                    <w:rPr>
                      <w:rFonts w:ascii="仿宋_GB2312" w:hAnsi="仿宋_GB2312" w:cs="仿宋_GB2312" w:eastAsia="仿宋_GB2312"/>
                      <w:sz w:val="21"/>
                    </w:rPr>
                    <w:t>、</w:t>
                  </w:r>
                  <w:r>
                    <w:rPr>
                      <w:rFonts w:ascii="仿宋_GB2312" w:hAnsi="仿宋_GB2312" w:cs="仿宋_GB2312" w:eastAsia="仿宋_GB2312"/>
                      <w:sz w:val="21"/>
                    </w:rPr>
                    <w:t>双夹制度牌</w:t>
                  </w:r>
                  <w:r>
                    <w:rPr>
                      <w:rFonts w:ascii="仿宋_GB2312" w:hAnsi="仿宋_GB2312" w:cs="仿宋_GB2312" w:eastAsia="仿宋_GB2312"/>
                      <w:sz w:val="21"/>
                    </w:rPr>
                    <w:t>、</w:t>
                  </w:r>
                  <w:r>
                    <w:rPr>
                      <w:rFonts w:ascii="仿宋_GB2312" w:hAnsi="仿宋_GB2312" w:cs="仿宋_GB2312" w:eastAsia="仿宋_GB2312"/>
                      <w:sz w:val="21"/>
                    </w:rPr>
                    <w:t>制度牌</w:t>
                  </w:r>
                  <w:r>
                    <w:rPr>
                      <w:rFonts w:ascii="仿宋_GB2312" w:hAnsi="仿宋_GB2312" w:cs="仿宋_GB2312" w:eastAsia="仿宋_GB2312"/>
                      <w:sz w:val="21"/>
                    </w:rPr>
                    <w:t>、</w:t>
                  </w:r>
                  <w:r>
                    <w:rPr>
                      <w:rFonts w:ascii="仿宋_GB2312" w:hAnsi="仿宋_GB2312" w:cs="仿宋_GB2312" w:eastAsia="仿宋_GB2312"/>
                      <w:sz w:val="21"/>
                    </w:rPr>
                    <w:t>形象墙</w:t>
                  </w:r>
                  <w:r>
                    <w:rPr>
                      <w:rFonts w:ascii="仿宋_GB2312" w:hAnsi="仿宋_GB2312" w:cs="仿宋_GB2312" w:eastAsia="仿宋_GB2312"/>
                      <w:sz w:val="21"/>
                    </w:rPr>
                    <w:t>、</w:t>
                  </w:r>
                  <w:r>
                    <w:rPr>
                      <w:rFonts w:ascii="仿宋_GB2312" w:hAnsi="仿宋_GB2312" w:cs="仿宋_GB2312" w:eastAsia="仿宋_GB2312"/>
                      <w:sz w:val="21"/>
                    </w:rPr>
                    <w:t>水晶字</w:t>
                  </w:r>
                  <w:r>
                    <w:rPr>
                      <w:rFonts w:ascii="仿宋_GB2312" w:hAnsi="仿宋_GB2312" w:cs="仿宋_GB2312" w:eastAsia="仿宋_GB2312"/>
                      <w:sz w:val="21"/>
                    </w:rPr>
                    <w:t>、</w:t>
                  </w:r>
                  <w:r>
                    <w:rPr>
                      <w:rFonts w:ascii="仿宋_GB2312" w:hAnsi="仿宋_GB2312" w:cs="仿宋_GB2312" w:eastAsia="仿宋_GB2312"/>
                      <w:sz w:val="21"/>
                    </w:rPr>
                    <w:t>科室门牌</w:t>
                  </w:r>
                  <w:r>
                    <w:rPr>
                      <w:rFonts w:ascii="仿宋_GB2312" w:hAnsi="仿宋_GB2312" w:cs="仿宋_GB2312" w:eastAsia="仿宋_GB2312"/>
                      <w:sz w:val="21"/>
                    </w:rPr>
                    <w:t>、</w:t>
                  </w:r>
                  <w:r>
                    <w:rPr>
                      <w:rFonts w:ascii="仿宋_GB2312" w:hAnsi="仿宋_GB2312" w:cs="仿宋_GB2312" w:eastAsia="仿宋_GB2312"/>
                      <w:sz w:val="21"/>
                    </w:rPr>
                    <w:t>桌牌</w:t>
                  </w:r>
                  <w:r>
                    <w:rPr>
                      <w:rFonts w:ascii="仿宋_GB2312" w:hAnsi="仿宋_GB2312" w:cs="仿宋_GB2312" w:eastAsia="仿宋_GB2312"/>
                      <w:sz w:val="21"/>
                      <w:color w:val="000000"/>
                    </w:rPr>
                    <w:t>）</w:t>
                  </w:r>
                </w:p>
              </w:tc>
            </w:tr>
          </w:tbl>
          <w:p>
            <w:pPr>
              <w:pStyle w:val="null3"/>
              <w:jc w:val="both"/>
            </w:pPr>
            <w:r>
              <w:rPr>
                <w:rFonts w:ascii="仿宋_GB2312" w:hAnsi="仿宋_GB2312" w:cs="仿宋_GB2312" w:eastAsia="仿宋_GB2312"/>
              </w:rPr>
              <w:t>注：其他设计制作项目为采购人在日常工作中需要的印刷设计服务，据过往经验，此部分预估费用约陆万元整，各供应商在报价时应充分考虑此部分内容。</w:t>
            </w:r>
          </w:p>
          <w:p>
            <w:pPr>
              <w:pStyle w:val="null3"/>
              <w:jc w:val="both"/>
            </w:pPr>
            <w:r>
              <w:rPr>
                <w:rFonts w:ascii="仿宋_GB2312" w:hAnsi="仿宋_GB2312" w:cs="仿宋_GB2312" w:eastAsia="仿宋_GB2312"/>
                <w:sz w:val="21"/>
              </w:rPr>
              <w:t>二、服务期限：自合同签订后</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三、服务地点：采购人指定地点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符合国家相关标准规定，具体以签订合同为准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 合同签订后，甲方根据产品验收情况和绩效评价结果每季度据实结算一次，经双方核对无误后，由乙方开具发票，甲方经审核后予以银行转账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 合同签订后，甲方根据产品验收情况和绩效评价结果每季度据实结算一次，经双方核对无误后，由乙方开具发票，甲方经审核后予以银行转账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 合同签订后，甲方根据产品验收情况和绩效评价结果每季度据实结算一次，经双方核对无误后，由乙方开具发票，甲方经审核后予以银行转账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 合同签订后，甲方根据产品验收情况和绩效评价结果每季度据实结算一次，经双方核对无误后，由乙方开具发票，甲方经审核后予以银行转账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违约责任：（一）按《中华人民共和国民法典》中的相关条款执行。 （二）未按合同要求提供服务或服务质量不能满足本次采购要求，甲方会同监督机构有权终止合同和对乙方违约行为进行追究，同时按《中华人民共和国政府采购法》的相关规定进行相应的处罚。 合同争议的解决：本合同在履行过程中发生的争议，由甲、乙双方当事人协商解决，协商不成的按下列第 （二）种方式解决：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工业。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本项目成交供应商须在领取成交通知书时，提供纸质版响应文件壹份，纸质版响应文件需与系统签章版响应文件保持一致。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5、本项目专门面向中小企业采购（残疾人福利性单位、监狱企业视同小型、微型企业）。6、由于系统原因，本项目付款方式、确定供应商及签订合同分别按以下执行：（1）付款方式：合同签订后，甲方根据产品验收情况和绩效评价结果每季度据实结算一次，经双方核对无误后，由乙方开具发票，甲方经审核后予以银行转账。（2）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3）采购人应在成交通知书发出之日起25天内与成交供应商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供应商需提供有效的《印刷经营许可证》，供应商需在项目电子化交易系统中按要求上传相应证明文件并进行电子签章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方案响应部分.docx 相关资格证明资料.docx 磋商第一次报价表及报价明细表.docx 标的清单 承诺书.docx 报价表 响应函 身份证明文件.docx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自合同签订后1年</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方案响应部分.docx 相关资格证明资料.docx 磋商第一次报价表及报价明细表.docx 标的清单 承诺书.docx 报价表 响应函 身份证明文件.docx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提出针对本项目的总体服务方案，总体服务方案包括：①主要原材料选料方案（包含名称、选用品牌、规格型号等）；②针对本项目整体的服务流程；③进度计划安排；④配送方案；⑤其他设计制作项目的服务方案（内容不限于与采购人沟通设计方案、调整设计方案等内容） 二、评审标准 1、完整性：方案必须全面，对评审内容中的各项要求有详细描述； 2、可实施性：切合本项目实际情况，提出步骤清晰、合理的方案； 3、针对性：方案能够紧扣项目实际情况，内容科学合理。 三、赋分标准（满分30分） ①主要原材料选料方案（包含名称、选用品牌、规格型号等）：每完全满足一个评审标准得2分，满分6分； ②针对本项目整体的服务流程：每完全满足一个评审标准得2分，满分6分； ③进度计划安排：每完全满足一个评审标准得2分，满分6分； ④配送方案：每完全满足一个评审标准得2分，满分6分； ⑤其他设计制作项目的服务方案（内容不限于与采购人沟通设计方案、调整设计方案等内容）：每完全满足一个评审标准得2分，满分6分；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供应商针对本项目提出质量保证措施，内容包含①印刷品质量保证措施；②其他设计制作项目质量保证措施（内容不限于货物质量、设计方案质量）；③进度计划保证措施。 二、评审标准 1、完整性：方案须全面，对评审内容中的各项要求有详细描述及说明 2、可实施性：切合本项目实际情况，实施步骤清晰、合理 3、针对性：方案能够紧扣项目实际情况，内容科学合理 三、赋分标准（满分24分） ①印刷品质量保证措施：每完全满足一项评审标准得3分，满分9分； ②其他设计制作项目质量保证措施（内容不限于货物质量、设计方案质量）：每完全满足一项评审标准得3分，满分9分； ③进度计划保证措施：每完全满足一项评审标准得2分，满分6分；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根据供应商拟投入本项目的人员进行评审，评审内容包括①人员数量及岗位分工；②人员管理制度 二、评审标准 1、完整性：方案须全面，对评审内容中的各项要求有详细描述及说明 2、可实施性：切合本项目实际情况，实施步骤清晰、合理 3、针对性：方案能够紧扣项目实际情况，内容科学合理 三、赋分标准（满分12分） ①人员数量及岗位分工：每完全满足一项评审标准得2分，满分6分； ②人员管理制度：每完全满足一项评审标准得2分，满分6分；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拟投入本项目设备</w:t>
            </w:r>
          </w:p>
        </w:tc>
        <w:tc>
          <w:tcPr>
            <w:tcW w:type="dxa" w:w="2492"/>
          </w:tcPr>
          <w:p>
            <w:pPr>
              <w:pStyle w:val="null3"/>
            </w:pPr>
            <w:r>
              <w:rPr>
                <w:rFonts w:ascii="仿宋_GB2312" w:hAnsi="仿宋_GB2312" w:cs="仿宋_GB2312" w:eastAsia="仿宋_GB2312"/>
              </w:rPr>
              <w:t>一、评审内容 根据供应商拟投入本项目的设备进行评审，评审内容包括①设备数量及种类；②设备操作的便利性与先进性 二、评审标准 1、完整性：方案须全面，对评审内容中的各项要求有详细描述及说明 2、针对性：方案能够紧扣项目实际情况，内容科学合理 三、赋分标准（满分8分） ①设备数量及种类：每完全满足一项评审标准得2分，满分4分； ②设备操作的便利性与先进性：每完全满足一项评审标准得2分，满分4分；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供应商针对本项目提供应急预案，评审内容包括①应急配送方案；②应急印刷设计制作方案； 二、评审标准 1、完整性：方案须全面，对评审内容中的各项要求有详细描述及说明 2、可实施性：切合本项目实际情况，实施步骤清晰、合理 3、针对性：方案能够紧扣项目实际情况，内容科学合理 三、赋分标准（满分6分） ①应急配送方案：每完全满足一项评审标准得1分，满分3分； ②应急印刷设计制作方案：每完全满足一项评审标准得1分，满分3分；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提供2023年5月1日至今类似项目业绩，业绩以合同或中标通知书为佐证材料，每份计2分，满分10分。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详见附件：磋商第一次报价表及报价明细表.docx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详见附件：相关资格证明资料.docx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