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版本号：HJ202603520260707002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咸阳市城市基础设施生命线安全工程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HJ2026035</w:t>
      </w:r>
      <w:r>
        <w:br/>
      </w:r>
      <w:r>
        <w:br/>
      </w:r>
      <w:r>
        <w:br/>
      </w:r>
    </w:p>
    <w:p>
      <w:pPr>
        <w:pStyle w:val="null3"/>
        <w:jc w:val="center"/>
        <w:outlineLvl w:val="2"/>
      </w:pPr>
      <w:r>
        <w:rPr>
          <w:rFonts w:ascii="仿宋_GB2312" w:hAnsi="仿宋_GB2312" w:cs="仿宋_GB2312" w:eastAsia="仿宋_GB2312"/>
          <w:sz w:val="28"/>
          <w:b/>
        </w:rPr>
        <w:t>咸阳市住房和城乡建设局</w:t>
      </w:r>
    </w:p>
    <w:p>
      <w:pPr>
        <w:pStyle w:val="null3"/>
        <w:jc w:val="center"/>
        <w:outlineLvl w:val="2"/>
      </w:pPr>
      <w:r>
        <w:rPr>
          <w:rFonts w:ascii="仿宋_GB2312" w:hAnsi="仿宋_GB2312" w:cs="仿宋_GB2312" w:eastAsia="仿宋_GB2312"/>
          <w:sz w:val="28"/>
          <w:b/>
        </w:rPr>
        <w:t>陕西豪俊项目管理有限公司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陕西豪俊项目管理有限公司</w:t>
      </w:r>
      <w:r>
        <w:rPr>
          <w:rFonts w:ascii="仿宋_GB2312" w:hAnsi="仿宋_GB2312" w:cs="仿宋_GB2312" w:eastAsia="仿宋_GB2312"/>
        </w:rPr>
        <w:t>（以下简称“代理机构”）受</w:t>
      </w:r>
      <w:r>
        <w:rPr>
          <w:rFonts w:ascii="仿宋_GB2312" w:hAnsi="仿宋_GB2312" w:cs="仿宋_GB2312" w:eastAsia="仿宋_GB2312"/>
        </w:rPr>
        <w:t>咸阳市住房和城乡建设局</w:t>
      </w:r>
      <w:r>
        <w:rPr>
          <w:rFonts w:ascii="仿宋_GB2312" w:hAnsi="仿宋_GB2312" w:cs="仿宋_GB2312" w:eastAsia="仿宋_GB2312"/>
        </w:rPr>
        <w:t>委托，拟对</w:t>
      </w:r>
      <w:r>
        <w:rPr>
          <w:rFonts w:ascii="仿宋_GB2312" w:hAnsi="仿宋_GB2312" w:cs="仿宋_GB2312" w:eastAsia="仿宋_GB2312"/>
        </w:rPr>
        <w:t>咸阳市城市基础设施生命线安全工程</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HJ2026035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咸阳市城市基础设施生命线安全工程</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咸阳市城市基础设施生命线安全工程一标段:包括综合安全应用、燃气安全专项应用、排水安全专项应用、桥梁安全专项应用、供水安全专项应用、供热安全专项应用、地下管网监管专项应用、数据资源建设、应用支撑软件（物联感知系统、视频综合系统、城市三维数字孪生系统、统一运维平台）、成品软件系统集成实施等内容;咸阳市城市基础设施生命线安全工程二标段：包括燃气前端监测感知设备（可燃气体智能监测仪）、排水前端监测感知设备（液位计、流量计、水位计、雨量计、摄像机等）、桥梁前端监测感知设备（静力水准仪、应变计、索力应变计、倾角计、加速度计、温度计）、排水专项数据普查等内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提供合法有效的营业执照/事业单位法人证书/专业服务机构执业许可证/民办非企业单位登记证书等相关证明，自然人参与的提供其身份证明，并在人员、设备、资金等方面具备相应的能力；(提供营业执照等主体资格证明文件复印件，加盖供应商公章）</w:t>
      </w:r>
    </w:p>
    <w:p>
      <w:pPr>
        <w:pStyle w:val="null3"/>
      </w:pPr>
      <w:r>
        <w:rPr>
          <w:rFonts w:ascii="仿宋_GB2312" w:hAnsi="仿宋_GB2312" w:cs="仿宋_GB2312" w:eastAsia="仿宋_GB2312"/>
        </w:rPr>
        <w:t>2、财务状况报告：提供2024年度或2025年度的财务审计报告（至少包括资产负债表和利润表，成立时间至提交响应文件截止时间不足一年的可提供成立后任意时段的资产负债表），或其基本存款账户开户银行出具的开标日期前六个月内资信证明及基本存款账户开户许可证（基本存款账户信息）</w:t>
      </w:r>
    </w:p>
    <w:p>
      <w:pPr>
        <w:pStyle w:val="null3"/>
      </w:pPr>
      <w:r>
        <w:rPr>
          <w:rFonts w:ascii="仿宋_GB2312" w:hAnsi="仿宋_GB2312" w:cs="仿宋_GB2312" w:eastAsia="仿宋_GB2312"/>
        </w:rPr>
        <w:t>3、税收缴纳证明：供应商须提供2025年1月至今已缴存的至少一个月的纳税证明或完税证明（任意税种），依法免税的单位应提供相关证明材料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4、社会保障资金缴纳证明：供应商须提供2025年1月至今已缴存的至少一个月的社会保障资金缴存单据或社保机构开具的社会保险参保缴费情况证明，依法不需要缴纳社会保障资金的单位应提供相关证明材料。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5、具有履行合同所必需的设备和专业技术能力的承诺：供应商须提供具有履行合同所必需的设备和专业技术能力的承诺；（提供承诺书，加盖供应商公章）</w:t>
      </w:r>
    </w:p>
    <w:p>
      <w:pPr>
        <w:pStyle w:val="null3"/>
      </w:pPr>
      <w:r>
        <w:rPr>
          <w:rFonts w:ascii="仿宋_GB2312" w:hAnsi="仿宋_GB2312" w:cs="仿宋_GB2312" w:eastAsia="仿宋_GB2312"/>
        </w:rPr>
        <w:t>6、书面声明：出具参加政府采购活动前三年内，在经营活动中没有重大违法记录的书面声明；（提供书面声明，加盖供应商公章）</w:t>
      </w:r>
    </w:p>
    <w:p>
      <w:pPr>
        <w:pStyle w:val="null3"/>
      </w:pPr>
      <w:r>
        <w:rPr>
          <w:rFonts w:ascii="仿宋_GB2312" w:hAnsi="仿宋_GB2312" w:cs="仿宋_GB2312" w:eastAsia="仿宋_GB2312"/>
        </w:rPr>
        <w:t>7、供应商代表身份证明文件：法定代表人授权书（附法定代表人、被授权人身份证复印件）及被授权人身份证（法定代表人直接参加投标，须提供法定代表人身份证明及身份证原件）</w:t>
      </w:r>
    </w:p>
    <w:p>
      <w:pPr>
        <w:pStyle w:val="null3"/>
      </w:pPr>
      <w:r>
        <w:rPr>
          <w:rFonts w:ascii="仿宋_GB2312" w:hAnsi="仿宋_GB2312" w:cs="仿宋_GB2312" w:eastAsia="仿宋_GB2312"/>
        </w:rPr>
        <w:t>8、项目负责人资格要求：拟派项目负责人需具备相关专业中级及以上职称或相关资格证书</w:t>
      </w:r>
    </w:p>
    <w:p>
      <w:pPr>
        <w:pStyle w:val="null3"/>
      </w:pPr>
      <w:r>
        <w:rPr>
          <w:rFonts w:ascii="仿宋_GB2312" w:hAnsi="仿宋_GB2312" w:cs="仿宋_GB2312" w:eastAsia="仿宋_GB2312"/>
        </w:rPr>
        <w:t>9、信誉要求：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说明：不强制要求供应商提供查询截图，由采购人或采购代理机构以投标截止日当日网上查询结果作为评审依据）。</w:t>
      </w:r>
    </w:p>
    <w:p>
      <w:pPr>
        <w:pStyle w:val="null3"/>
      </w:pPr>
      <w:r>
        <w:rPr>
          <w:rFonts w:ascii="仿宋_GB2312" w:hAnsi="仿宋_GB2312" w:cs="仿宋_GB2312" w:eastAsia="仿宋_GB2312"/>
        </w:rPr>
        <w:t>10、企业关系关联承诺书：单位负责人为同一人或者存在直接控股、管理关系的供应商，不得参加同一合同下的政府采购活动。 为本项目提供过项目管理、监理、检测等服务的供应商，不得再参加本项目采购活动。（提供“供应商企业关系关联承诺书”，式样见投标文件格式）。</w:t>
      </w:r>
    </w:p>
    <w:p>
      <w:pPr>
        <w:pStyle w:val="null3"/>
      </w:pPr>
      <w:r>
        <w:rPr>
          <w:rFonts w:ascii="仿宋_GB2312" w:hAnsi="仿宋_GB2312" w:cs="仿宋_GB2312" w:eastAsia="仿宋_GB2312"/>
        </w:rPr>
        <w:t>11、非联合体声明函：本项目不接受联合体投标，不允许分包,供应商需保证资质文件的真实、合法、有效；（提供“非联合体声明”，式样见投标文件格式）。</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具有独立承担民事责任能力的法人、其他组织或自然人，提供合法有效的营业执照/事业单位法人证书/专业服务机构执业许可证/民办非企业单位登记证书等相关证明，自然人参与的提供其身份证明，并在人员、设备、资金等方面具备相应的能力；(提供营业执照等主体资格证明文件复印件，加盖供应商公章）</w:t>
      </w:r>
    </w:p>
    <w:p>
      <w:pPr>
        <w:pStyle w:val="null3"/>
      </w:pPr>
      <w:r>
        <w:rPr>
          <w:rFonts w:ascii="仿宋_GB2312" w:hAnsi="仿宋_GB2312" w:cs="仿宋_GB2312" w:eastAsia="仿宋_GB2312"/>
        </w:rPr>
        <w:t>2、财务状况报告：提供2024年度或2025年度的财务审计报告（至少包括资产负债表和利润表，成立时间至提交响应文件截止时间不足一年的可提供成立后任意时段的资产负债表），或其基本存款账户开户银行出具的开标日期前六个月内资信证明及基本存款账户开户许可证（基本存款账户信息）</w:t>
      </w:r>
    </w:p>
    <w:p>
      <w:pPr>
        <w:pStyle w:val="null3"/>
      </w:pPr>
      <w:r>
        <w:rPr>
          <w:rFonts w:ascii="仿宋_GB2312" w:hAnsi="仿宋_GB2312" w:cs="仿宋_GB2312" w:eastAsia="仿宋_GB2312"/>
        </w:rPr>
        <w:t>3、税收缴纳证明：供应商须提供2025年1月至今已缴存的至少一个月的纳税证明或完税证明（任意税种），依法免税的单位应提供相关证明材料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4、社会保障资金缴纳证明：供应商须提供2025年1月至今已缴存的至少一个月的社会保障资金缴存单据或社保机构开具的社会保险参保缴费情况证明，依法不需要缴纳社会保障资金的单位应提供相关证明材料。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5、具有履行合同所必需的设备和专业技术能力的承诺：供应商须提供具有履行合同所必需的设备和专业技术能力的承诺；（提供承诺书，加盖供应商公章）</w:t>
      </w:r>
    </w:p>
    <w:p>
      <w:pPr>
        <w:pStyle w:val="null3"/>
      </w:pPr>
      <w:r>
        <w:rPr>
          <w:rFonts w:ascii="仿宋_GB2312" w:hAnsi="仿宋_GB2312" w:cs="仿宋_GB2312" w:eastAsia="仿宋_GB2312"/>
        </w:rPr>
        <w:t>6、书面声明：出具参加政府采购活动前三年内，在经营活动中没有重大违法记录的书面声明；（提供书面声明，加盖供应商公章）</w:t>
      </w:r>
    </w:p>
    <w:p>
      <w:pPr>
        <w:pStyle w:val="null3"/>
      </w:pPr>
      <w:r>
        <w:rPr>
          <w:rFonts w:ascii="仿宋_GB2312" w:hAnsi="仿宋_GB2312" w:cs="仿宋_GB2312" w:eastAsia="仿宋_GB2312"/>
        </w:rPr>
        <w:t>7、供应商代表身份证明文件：法定代表人授权书（附法定代表人、被授权人身份证复印件）及被授权人身份证（法定代表人直接参加投标，须提供法定代表人身份证明及身份证原件）</w:t>
      </w:r>
    </w:p>
    <w:p>
      <w:pPr>
        <w:pStyle w:val="null3"/>
      </w:pPr>
      <w:r>
        <w:rPr>
          <w:rFonts w:ascii="仿宋_GB2312" w:hAnsi="仿宋_GB2312" w:cs="仿宋_GB2312" w:eastAsia="仿宋_GB2312"/>
        </w:rPr>
        <w:t>8、项目负责人资格要求：拟派项目负责人需具备相关专业中级及以上职称或相关资格证书</w:t>
      </w:r>
    </w:p>
    <w:p>
      <w:pPr>
        <w:pStyle w:val="null3"/>
      </w:pPr>
      <w:r>
        <w:rPr>
          <w:rFonts w:ascii="仿宋_GB2312" w:hAnsi="仿宋_GB2312" w:cs="仿宋_GB2312" w:eastAsia="仿宋_GB2312"/>
        </w:rPr>
        <w:t>9、信誉要求：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说明：不强制要求供应商提供查询截图，由采购人或采购代理机构以投标截止日当日网上查询结果作为评审依据）。</w:t>
      </w:r>
    </w:p>
    <w:p>
      <w:pPr>
        <w:pStyle w:val="null3"/>
      </w:pPr>
      <w:r>
        <w:rPr>
          <w:rFonts w:ascii="仿宋_GB2312" w:hAnsi="仿宋_GB2312" w:cs="仿宋_GB2312" w:eastAsia="仿宋_GB2312"/>
        </w:rPr>
        <w:t>10、企业关系关联承诺书：单位负责人为同一人或者存在直接控股、管理关系的供应商，不得参加同一合同下的政府采购活动。 为本项目提供过项目管理、监理、检测等服务的供应商，不得再参加本项目采购活动。（提供“供应商企业关系关联承诺书”，式样见投标文件格式）。</w:t>
      </w:r>
    </w:p>
    <w:p>
      <w:pPr>
        <w:pStyle w:val="null3"/>
      </w:pPr>
      <w:r>
        <w:rPr>
          <w:rFonts w:ascii="仿宋_GB2312" w:hAnsi="仿宋_GB2312" w:cs="仿宋_GB2312" w:eastAsia="仿宋_GB2312"/>
        </w:rPr>
        <w:t>11、非联合体声明函：本项目不接受联合体投标，不允许分包,供应商需保证资质文件的真实、合法、有效；（提供“非联合体声明”，式样见投标文件格式）。</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咸阳市住房和城乡建设局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咸阳市渭阳西路64号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咸阳市住房和城乡建设局经办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029-33572718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陕西豪俊项目管理有限公司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陕西省咸阳市秦都区世纪大道韩非路铁投佳苑4号楼501室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孙梦寒</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15291819286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咸阳市财政局政府采购管理科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赵书龙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33213484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采购包1：16,292,314.40元</w:t>
            </w:r>
          </w:p>
          <w:p>
            <w:pPr>
              <w:pStyle w:val="null3"/>
            </w:pPr>
            <w:r>
              <w:rPr>
                <w:rFonts w:ascii="仿宋_GB2312" w:hAnsi="仿宋_GB2312" w:cs="仿宋_GB2312" w:eastAsia="仿宋_GB2312"/>
              </w:rPr>
              <w:t>采购包2：16,163,686.00元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国家计委关于印发&lt;招标代理服务收费管理暂行办法&gt;的通知》（计价格〔2002〕1980号）和发改价格〔2011〕534号文中规定的标准下浮23.8%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咸阳市住房和城乡建设局</w:t>
      </w:r>
      <w:r>
        <w:rPr>
          <w:rFonts w:ascii="仿宋_GB2312" w:hAnsi="仿宋_GB2312" w:cs="仿宋_GB2312" w:eastAsia="仿宋_GB2312"/>
        </w:rPr>
        <w:t>和</w:t>
      </w:r>
      <w:r>
        <w:rPr>
          <w:rFonts w:ascii="仿宋_GB2312" w:hAnsi="仿宋_GB2312" w:cs="仿宋_GB2312" w:eastAsia="仿宋_GB2312"/>
        </w:rPr>
        <w:t>陕西豪俊项目管理有限公司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咸阳市住房和城乡建设局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陕西豪俊项目管理有限公司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咸阳市住房和城乡建设局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陕西豪俊项目管理有限公司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生命线工程涉及城市安全、应急数据、管网信息、敏感监测数据，属于公共安全资源。项目成果为财政资金出资形成，知识产权归采购人所有，有利于数据安全管控、后续升级改造、系统兼容对接、避免权属纠纷、保障公共安全，符合政府采购资产管理要求。 处理方式：1、本次采购项目形成的全部成果、软件著作权、数据成果、系统代码、监测报告、设计方案、定制开发内容等知识产权，全部归采购人所有。2、成交供应商仅享有署名权，不得擅自使用、转让、许可第三方使用。3、供应商应保证提供的成果不侵犯第三方知识产权，否则承担全部法律及赔偿责任。</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符合国家相关验收标准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符合国家相关验收标准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陕西豪俊项目管理有限公司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陕西豪俊项目管理有限公司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陕西豪俊项目管理有限公司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联系人：孙梦寒</w:t>
      </w:r>
    </w:p>
    <w:p>
      <w:pPr>
        <w:pStyle w:val="null3"/>
      </w:pPr>
      <w:r>
        <w:rPr>
          <w:rFonts w:ascii="仿宋_GB2312" w:hAnsi="仿宋_GB2312" w:cs="仿宋_GB2312" w:eastAsia="仿宋_GB2312"/>
        </w:rPr>
        <w:t>联系电话：15291819286</w:t>
      </w:r>
    </w:p>
    <w:p>
      <w:pPr>
        <w:pStyle w:val="null3"/>
      </w:pPr>
      <w:r>
        <w:rPr>
          <w:rFonts w:ascii="仿宋_GB2312" w:hAnsi="仿宋_GB2312" w:cs="仿宋_GB2312" w:eastAsia="仿宋_GB2312"/>
        </w:rPr>
        <w:t>地址：咸阳市秦都区世纪大道韩非路铁投佳苑4号楼501室</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咸阳市城市基础设施生命线安全工程一标段：包括综合安全应用、燃气安全专项应用、排水安全专项应用、桥梁安全专项应用、供水安全专项应用、供热安全专项应用、地下管网监管专项应用、数据资源建设、应用支撑软件（物联感知系统、视频综合系统、城市三维数字孪生系统、统一运维平台）、成品软件系统集成实施等内容；咸阳市城市基础设施生命线安全工程二标段：包括燃气前端监测感知设备（可燃气体智能监测仪）、排水前端监测感知设备（液位计、流量计、水位计、雨量计、摄像机等）、桥梁前端监测感知设备（静力水准仪、应变计、索力应变计、倾角计、加速度计、温度计）、排水专项数据普查等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16,292,314.40</w:t>
      </w:r>
    </w:p>
    <w:p>
      <w:pPr>
        <w:pStyle w:val="null3"/>
      </w:pPr>
      <w:r>
        <w:rPr>
          <w:rFonts w:ascii="仿宋_GB2312" w:hAnsi="仿宋_GB2312" w:cs="仿宋_GB2312" w:eastAsia="仿宋_GB2312"/>
        </w:rPr>
        <w:t>采购包最高限价（元）: 16,292,314.40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咸阳市城市基础设施生命线安全工程一标段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16,292,314.40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16,163,686.00</w:t>
      </w:r>
    </w:p>
    <w:p>
      <w:pPr>
        <w:pStyle w:val="null3"/>
      </w:pPr>
      <w:r>
        <w:rPr>
          <w:rFonts w:ascii="仿宋_GB2312" w:hAnsi="仿宋_GB2312" w:cs="仿宋_GB2312" w:eastAsia="仿宋_GB2312"/>
        </w:rPr>
        <w:t>采购包最高限价（元）: 16,163,686.00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咸阳市城市基础设施生命线安全工程二标段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16,163,686.00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标的名称：咸阳市城市基础设施生命线安全工程一标段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32"/>
                <w:b/>
                <w:color w:val="000000"/>
              </w:rPr>
              <w:t>第三章</w:t>
            </w:r>
            <w:r>
              <w:rPr>
                <w:rFonts w:ascii="仿宋_GB2312" w:hAnsi="仿宋_GB2312" w:cs="仿宋_GB2312" w:eastAsia="仿宋_GB2312"/>
                <w:sz w:val="32"/>
                <w:b/>
                <w:color w:val="000000"/>
              </w:rPr>
              <w:t xml:space="preserve">  </w:t>
            </w:r>
            <w:r>
              <w:rPr>
                <w:rFonts w:ascii="仿宋_GB2312" w:hAnsi="仿宋_GB2312" w:cs="仿宋_GB2312" w:eastAsia="仿宋_GB2312"/>
                <w:sz w:val="32"/>
                <w:b/>
                <w:color w:val="000000"/>
              </w:rPr>
              <w:t>采购内容及要求</w:t>
            </w:r>
          </w:p>
          <w:p>
            <w:pPr>
              <w:pStyle w:val="null3"/>
              <w:jc w:val="both"/>
            </w:pPr>
            <w:r>
              <w:rPr>
                <w:rFonts w:ascii="仿宋_GB2312" w:hAnsi="仿宋_GB2312" w:cs="仿宋_GB2312" w:eastAsia="仿宋_GB2312"/>
                <w:sz w:val="28"/>
                <w:b/>
              </w:rPr>
              <w:t>一、建设目标</w:t>
            </w:r>
          </w:p>
          <w:p>
            <w:pPr>
              <w:pStyle w:val="null3"/>
              <w:ind w:firstLine="420"/>
              <w:jc w:val="both"/>
            </w:pPr>
            <w:r>
              <w:rPr>
                <w:rFonts w:ascii="仿宋_GB2312" w:hAnsi="仿宋_GB2312" w:cs="仿宋_GB2312" w:eastAsia="仿宋_GB2312"/>
                <w:sz w:val="24"/>
              </w:rPr>
              <w:t>贯彻落实《中共中央办公厅国务院办公厅关于推进城市安全发展的意见》、住房城乡建设部《关于推进城市基础设施生命线安全工程的指导意见》（建督〔</w:t>
            </w:r>
            <w:r>
              <w:rPr>
                <w:rFonts w:ascii="仿宋_GB2312" w:hAnsi="仿宋_GB2312" w:cs="仿宋_GB2312" w:eastAsia="仿宋_GB2312"/>
                <w:sz w:val="24"/>
              </w:rPr>
              <w:t>2023〕63号）、陕西省住建厅《关于加快推进城市基础设施生命线安全工程建设的通知》（陕建市发〔2023〕1006号）等文件要求，深入落实总书记重要批示精神，以促进各地提高城市基础设施安全运行的信息化、智能化水平为指向，建设咸阳市城市基础设施生命线安全工程，增强对咸阳市城市生命线安全运行工作的监督、指导和评价能力，推动全市城市生命线安全运行创新管理理念、手段和模式，不断提升城市生命线安全运行监测水平，提升全市城市安全韧性和综合承载能力，满足人民群众日益增长的美好生活需要。健全公共安全体系，提升城市安全韧性，保障人民生命财产安全，全面提高城市安全保障水平。</w:t>
            </w:r>
          </w:p>
          <w:p>
            <w:pPr>
              <w:pStyle w:val="null3"/>
              <w:ind w:firstLine="420"/>
              <w:jc w:val="both"/>
            </w:pPr>
            <w:r>
              <w:rPr>
                <w:rFonts w:ascii="仿宋_GB2312" w:hAnsi="仿宋_GB2312" w:cs="仿宋_GB2312" w:eastAsia="仿宋_GB2312"/>
                <w:sz w:val="24"/>
              </w:rPr>
              <w:t>当前，我国城市基础设施安全运行形势严峻复杂，各类风险易发多发，迫切需要采取有力有效措施，提高城市安全韧性。城市生命线工程，是指运用现代信息技术，对城市燃气、桥梁、隧道、供水、排水、热力、管廊等城市基础设施运行状况进行实时监测、动态预警、精准溯源、协同处置，及早发现和管控风险隐患，有效防范事故发生，保障城市基础设施生命线安全运行的系统性工程。</w:t>
            </w:r>
          </w:p>
          <w:p>
            <w:pPr>
              <w:pStyle w:val="null3"/>
              <w:jc w:val="both"/>
            </w:pPr>
            <w:r>
              <w:rPr>
                <w:rFonts w:ascii="仿宋_GB2312" w:hAnsi="仿宋_GB2312" w:cs="仿宋_GB2312" w:eastAsia="仿宋_GB2312"/>
                <w:sz w:val="28"/>
                <w:b/>
              </w:rPr>
              <w:t>二、建设内容</w:t>
            </w:r>
          </w:p>
          <w:p>
            <w:pPr>
              <w:pStyle w:val="null3"/>
              <w:ind w:firstLine="420"/>
              <w:jc w:val="both"/>
            </w:pPr>
            <w:r>
              <w:rPr>
                <w:rFonts w:ascii="仿宋_GB2312" w:hAnsi="仿宋_GB2312" w:cs="仿宋_GB2312" w:eastAsia="仿宋_GB2312"/>
                <w:sz w:val="24"/>
              </w:rPr>
              <w:t>城市基础设施生命线安全工程是以公共安全科技为核心，以物联网、云计算、大数据等信息技术为支撑，对城市燃气、供水、排水、桥梁、隧道、综合管廊等城市基础设施的安全运行状态搭建监测物联网，建立监测运营体系，形成常态化监测、动态化预警、精准化溯源、协同化处置等核心能力，科学预防燃气爆炸、桥梁坍塌、城市内涝、管网泄漏及路面塌陷等城市基础设施生命线重大安全风险。</w:t>
            </w:r>
          </w:p>
          <w:p>
            <w:pPr>
              <w:pStyle w:val="null3"/>
              <w:ind w:firstLine="420"/>
              <w:jc w:val="both"/>
            </w:pPr>
            <w:r>
              <w:rPr>
                <w:rFonts w:ascii="仿宋_GB2312" w:hAnsi="仿宋_GB2312" w:cs="仿宋_GB2312" w:eastAsia="仿宋_GB2312"/>
                <w:sz w:val="24"/>
              </w:rPr>
              <w:t>根据城市基础设施生命线安全风险评估结果，对监测领域的风险源、风险事件及其原因和潜在后果进行归类，并结合区域地质灾害、水文、气象等实际情况，重点关注地下空间开发强度高的区域，并据此明确物联智能感知网监测方案。城市生命线工程物联智能感知网的建设应根据监测对象的安全需求，通过风险评估和现场勘察进行确定。监测感知设备位置和数量应根据监测对象的类型和特点及监测方法的要求综合确定，突出重点部位，注重经济性和实用性；应满足反映监测指标变化规律和分析监测对象安全运行状态的要求；监测点位选择应便于监测设备安装和维护；监测系统监测精度、时间和传输频率等技术指标的确定应符合国家现行有关标准的相应规定，并满足对监测对象安全运行状态分析的要求。</w:t>
            </w:r>
          </w:p>
          <w:p>
            <w:pPr>
              <w:pStyle w:val="null3"/>
              <w:ind w:firstLine="420"/>
              <w:jc w:val="both"/>
            </w:pPr>
            <w:r>
              <w:rPr>
                <w:rFonts w:ascii="仿宋_GB2312" w:hAnsi="仿宋_GB2312" w:cs="仿宋_GB2312" w:eastAsia="仿宋_GB2312"/>
                <w:sz w:val="24"/>
              </w:rPr>
              <w:t>遵照《中共中央办公厅</w:t>
            </w:r>
            <w:r>
              <w:rPr>
                <w:rFonts w:ascii="仿宋_GB2312" w:hAnsi="仿宋_GB2312" w:cs="仿宋_GB2312" w:eastAsia="仿宋_GB2312"/>
                <w:sz w:val="24"/>
              </w:rPr>
              <w:t>国务院办公厅关于推进新型城市基础设施建设打造韧性城市的意见》、住房城乡建设部《关于推进城市基础设施生命线安全工程的指导意见》（建督〔</w:t>
            </w:r>
            <w:r>
              <w:rPr>
                <w:rFonts w:ascii="仿宋_GB2312" w:hAnsi="仿宋_GB2312" w:cs="仿宋_GB2312" w:eastAsia="仿宋_GB2312"/>
                <w:sz w:val="24"/>
              </w:rPr>
              <w:t>2023〕63号）和陕西省住建厅《关于加快推进城市基础设施生命线安全工程建设的通知》（陕建市发〔2023〕1006号）等文件要求，结合咸阳市实际情况推进城市生命线工程建设，根据咸阳市城市安全风险评估结果，按照“综合监管+智慧监测”的架构搭建咸阳市城市生命线安全运行综合安全应用，以及燃气、排水、桥梁、供水、供热、地下管网六个专项应用系统，充分对接相关企事业单位现有信息化系统和数据资源，打通数据壁垒，与省级监管平台实现互联互通、数据共享，同步对燃气、排水、桥梁领域的高风险点位布设物联感知监测设备，增强重点区域的实时监测预警能力</w:t>
            </w:r>
            <w:r>
              <w:rPr>
                <w:rFonts w:ascii="仿宋_GB2312" w:hAnsi="仿宋_GB2312" w:cs="仿宋_GB2312" w:eastAsia="仿宋_GB2312"/>
                <w:sz w:val="24"/>
              </w:rPr>
              <w:t>，并不断完善城市生命线工程风险隐患应急处置流程和办法，建立健全行业主管部门、运营企业之间信息互通、协调联动、快速响应、协同处置的工作机制，实现从监测、分析、预警、派单到处置的闭环管理，有效落实政府、行业监管部门和企业三方责任，长效保障城市基础设施生命线的安全运行。</w:t>
            </w:r>
          </w:p>
          <w:p>
            <w:pPr>
              <w:pStyle w:val="null3"/>
              <w:jc w:val="both"/>
            </w:pPr>
            <w:r>
              <w:rPr>
                <w:rFonts w:ascii="仿宋_GB2312" w:hAnsi="仿宋_GB2312" w:cs="仿宋_GB2312" w:eastAsia="仿宋_GB2312"/>
                <w:sz w:val="28"/>
                <w:b/>
              </w:rPr>
              <w:t>三、建设规模</w:t>
            </w:r>
          </w:p>
          <w:p>
            <w:pPr>
              <w:pStyle w:val="null3"/>
              <w:ind w:firstLine="420"/>
              <w:jc w:val="both"/>
            </w:pPr>
            <w:r>
              <w:rPr>
                <w:rFonts w:ascii="仿宋_GB2312" w:hAnsi="仿宋_GB2312" w:cs="仿宋_GB2312" w:eastAsia="仿宋_GB2312"/>
                <w:sz w:val="24"/>
              </w:rPr>
              <w:t>本次建设包括咸阳市中心城区的秦都区、渭城区，以及经开区、高新区两处开发区，建设城市生命线安全运行综合监管信息系统，包括燃气、排水、桥梁、供水、供热、地下管网防护六个专项应用系统，对燃气、排水、桥梁的高风险点位布设物联感知监测设备</w:t>
            </w:r>
            <w:r>
              <w:rPr>
                <w:rFonts w:ascii="仿宋_GB2312" w:hAnsi="仿宋_GB2312" w:cs="仿宋_GB2312" w:eastAsia="仿宋_GB2312"/>
                <w:sz w:val="24"/>
              </w:rPr>
              <w:t>。</w:t>
            </w:r>
          </w:p>
          <w:p>
            <w:pPr>
              <w:pStyle w:val="null3"/>
              <w:jc w:val="both"/>
            </w:pPr>
            <w:r>
              <w:rPr>
                <w:rFonts w:ascii="仿宋_GB2312" w:hAnsi="仿宋_GB2312" w:cs="仿宋_GB2312" w:eastAsia="仿宋_GB2312"/>
                <w:sz w:val="28"/>
                <w:b/>
              </w:rPr>
              <w:t>四、建设要求</w:t>
            </w:r>
          </w:p>
          <w:p>
            <w:pPr>
              <w:pStyle w:val="null3"/>
              <w:ind w:firstLine="422"/>
              <w:jc w:val="both"/>
            </w:pPr>
            <w:r>
              <w:rPr>
                <w:rFonts w:ascii="仿宋_GB2312" w:hAnsi="仿宋_GB2312" w:cs="仿宋_GB2312" w:eastAsia="仿宋_GB2312"/>
                <w:sz w:val="24"/>
                <w:b/>
              </w:rPr>
              <w:t>咸阳市城市基础设施生命线安全工程一标段</w:t>
            </w:r>
            <w:r>
              <w:rPr>
                <w:rFonts w:ascii="仿宋_GB2312" w:hAnsi="仿宋_GB2312" w:cs="仿宋_GB2312" w:eastAsia="仿宋_GB2312"/>
                <w:sz w:val="24"/>
              </w:rPr>
              <w:t>包括综合安全应用、燃气安全专项应用、排水安全专项应用、桥梁安全专项应用、供水安全专项应用、供热安全专项应用、地下管网监管专项应用、数据资源建设、应用支撑软件（物联感知系统、视频综合系统、城市三维数字孪生系统、统一运维平台）、系统集成实施等内容。</w:t>
            </w:r>
          </w:p>
          <w:p>
            <w:pPr>
              <w:pStyle w:val="null3"/>
              <w:jc w:val="both"/>
            </w:pPr>
            <w:r>
              <w:rPr>
                <w:rFonts w:ascii="仿宋_GB2312" w:hAnsi="仿宋_GB2312" w:cs="仿宋_GB2312" w:eastAsia="仿宋_GB2312"/>
                <w:sz w:val="30"/>
                <w:b/>
              </w:rPr>
              <w:t>（一）技术要求</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、标段总体技术定位</w:t>
            </w:r>
          </w:p>
          <w:p>
            <w:pPr>
              <w:pStyle w:val="null3"/>
              <w:ind w:firstLine="480"/>
              <w:jc w:val="left"/>
            </w:pPr>
            <w:r>
              <w:rPr>
                <w:rFonts w:ascii="仿宋_GB2312" w:hAnsi="仿宋_GB2312" w:cs="仿宋_GB2312" w:eastAsia="仿宋_GB2312"/>
                <w:sz w:val="24"/>
              </w:rPr>
              <w:t>本标段为咸阳市城市基础设施生命线安全工程项目应用系统软件建设，核心是构建</w:t>
            </w:r>
            <w:r>
              <w:rPr>
                <w:rFonts w:ascii="仿宋_GB2312" w:hAnsi="仿宋_GB2312" w:cs="仿宋_GB2312" w:eastAsia="仿宋_GB2312"/>
                <w:sz w:val="24"/>
              </w:rPr>
              <w:t>“信息化、智能化” 的城市生命线安全运行管理软件体系，全面落实国家、省、市相关文件要求。通过综合安全应用、专项监管应用、应用支撑系统及数据资源体系的建设，实现对燃气、排水、桥梁、供水、供热、地下管网等重点领域的全生命周期安全监管，打通跨部门、跨层级、跨企业的数据壁垒，支撑 “一屏观全局、一网管全城、一体防风险” 的监管目标，与二标段物联采集设备、服务器设备深度适配，保障系统整体协同运行，同时满足等保三级、密码应用合规、国产自主可控等安全与技术标准。</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、核心应用系统技术要求</w:t>
            </w:r>
          </w:p>
          <w:p>
            <w:pPr>
              <w:pStyle w:val="null3"/>
              <w:ind w:firstLine="480"/>
              <w:jc w:val="left"/>
            </w:pPr>
            <w:r>
              <w:rPr>
                <w:rFonts w:ascii="仿宋_GB2312" w:hAnsi="仿宋_GB2312" w:cs="仿宋_GB2312" w:eastAsia="仿宋_GB2312"/>
                <w:sz w:val="24"/>
              </w:rPr>
              <w:t>2.1、</w:t>
            </w:r>
            <w:r>
              <w:rPr>
                <w:rFonts w:ascii="仿宋_GB2312" w:hAnsi="仿宋_GB2312" w:cs="仿宋_GB2312" w:eastAsia="仿宋_GB2312"/>
                <w:sz w:val="24"/>
              </w:rPr>
              <w:t>专项监管应用</w:t>
            </w:r>
          </w:p>
          <w:p>
            <w:pPr>
              <w:pStyle w:val="null3"/>
              <w:ind w:firstLine="480"/>
              <w:jc w:val="left"/>
            </w:pPr>
            <w:r>
              <w:rPr>
                <w:rFonts w:ascii="仿宋_GB2312" w:hAnsi="仿宋_GB2312" w:cs="仿宋_GB2312" w:eastAsia="仿宋_GB2312"/>
                <w:sz w:val="24"/>
              </w:rPr>
              <w:t>2.1.1</w:t>
            </w:r>
            <w:r>
              <w:rPr>
                <w:rFonts w:ascii="仿宋_GB2312" w:hAnsi="仿宋_GB2312" w:cs="仿宋_GB2312" w:eastAsia="仿宋_GB2312"/>
                <w:sz w:val="24"/>
              </w:rPr>
              <w:t>、</w:t>
            </w:r>
            <w:r>
              <w:rPr>
                <w:rFonts w:ascii="仿宋_GB2312" w:hAnsi="仿宋_GB2312" w:cs="仿宋_GB2312" w:eastAsia="仿宋_GB2312"/>
                <w:sz w:val="24"/>
              </w:rPr>
              <w:t>综合安全应用</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1）项目需求</w:t>
            </w:r>
          </w:p>
          <w:p>
            <w:pPr>
              <w:pStyle w:val="null3"/>
              <w:ind w:firstLine="480"/>
              <w:jc w:val="left"/>
            </w:pPr>
            <w:r>
              <w:rPr>
                <w:rFonts w:ascii="仿宋_GB2312" w:hAnsi="仿宋_GB2312" w:cs="仿宋_GB2312" w:eastAsia="仿宋_GB2312"/>
                <w:sz w:val="24"/>
              </w:rPr>
              <w:t>需实现基础设施、风险评估、运行监测、预警处置数据的汇聚与分析，以及公共资源一张图展示，为管理者提供</w:t>
            </w:r>
            <w:r>
              <w:rPr>
                <w:rFonts w:ascii="仿宋_GB2312" w:hAnsi="仿宋_GB2312" w:cs="仿宋_GB2312" w:eastAsia="仿宋_GB2312"/>
                <w:sz w:val="24"/>
              </w:rPr>
              <w:t xml:space="preserve"> “一屏观全局、一网管全城、一体防风险” 的支持。</w:t>
            </w:r>
          </w:p>
          <w:p>
            <w:pPr>
              <w:pStyle w:val="null3"/>
              <w:ind w:firstLine="480"/>
              <w:jc w:val="left"/>
            </w:pPr>
            <w:r>
              <w:rPr>
                <w:rFonts w:ascii="仿宋_GB2312" w:hAnsi="仿宋_GB2312" w:cs="仿宋_GB2312" w:eastAsia="仿宋_GB2312"/>
                <w:sz w:val="24"/>
              </w:rPr>
              <w:t>用户层需覆盖市政府领导、市住建局、市应急局等不同用户角色；展示层要支持大屏可视化、</w:t>
            </w:r>
            <w:r>
              <w:rPr>
                <w:rFonts w:ascii="仿宋_GB2312" w:hAnsi="仿宋_GB2312" w:cs="仿宋_GB2312" w:eastAsia="仿宋_GB2312"/>
                <w:sz w:val="24"/>
              </w:rPr>
              <w:t>Web 浏览器、移动终端等多种终端展示；应用层需包含基础设施、风险评估、运行监测、预警处置等专题模块；支撑层要整合物联感知平台、视频综合平台等；数据资源层需汇聚地下市政、国土空间、物联感知等多类数据；基础设施层要依托政务云平台、电子政务外网等。</w:t>
            </w:r>
          </w:p>
          <w:p>
            <w:pPr>
              <w:pStyle w:val="null3"/>
              <w:ind w:firstLine="480"/>
              <w:jc w:val="left"/>
            </w:pPr>
            <w:r>
              <w:rPr>
                <w:rFonts w:ascii="仿宋_GB2312" w:hAnsi="仿宋_GB2312" w:cs="仿宋_GB2312" w:eastAsia="仿宋_GB2312"/>
                <w:sz w:val="24"/>
              </w:rPr>
              <w:t>各专题模块需细化对应指标，实现数据的详细管理、分析与可视化展示，确保管理者全面掌握城市生命线安全运行状况。</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2）建设内容</w:t>
            </w:r>
          </w:p>
          <w:p>
            <w:pPr>
              <w:pStyle w:val="null3"/>
              <w:ind w:firstLine="480"/>
              <w:jc w:val="left"/>
            </w:pPr>
            <w:r>
              <w:rPr>
                <w:rFonts w:ascii="仿宋_GB2312" w:hAnsi="仿宋_GB2312" w:cs="仿宋_GB2312" w:eastAsia="仿宋_GB2312"/>
                <w:sz w:val="24"/>
              </w:rPr>
              <w:t>汇聚城市生命线安全工程燃气、供水、排水、桥梁、供热等行业的基础设施的基础数据、风险数据、物联网设备数据、监测数据、预警数据、预警处置数据等数据，构建城市生命线基础设置底数指标体系、各行业风险评估指标体系、运行监测指标体系、安全运行预警指标体系，全面展示城市生命线安全工程设施底数、风险分析、监测能力、预警能力，形成一张图完成综合安全管理的需求。</w:t>
            </w:r>
          </w:p>
          <w:p>
            <w:pPr>
              <w:pStyle w:val="null3"/>
              <w:ind w:firstLine="480"/>
              <w:jc w:val="left"/>
            </w:pPr>
            <w:r>
              <w:rPr>
                <w:rFonts w:ascii="仿宋_GB2312" w:hAnsi="仿宋_GB2312" w:cs="仿宋_GB2312" w:eastAsia="仿宋_GB2312"/>
                <w:sz w:val="24"/>
              </w:rPr>
              <w:t>建设功能模块包括：生命线总体概览、基础设施专题、风险评估专题、运行监测专题、预警处置专题。</w:t>
            </w:r>
          </w:p>
          <w:p>
            <w:pPr>
              <w:pStyle w:val="null3"/>
              <w:ind w:firstLine="480"/>
              <w:jc w:val="left"/>
            </w:pPr>
            <w:r>
              <w:rPr>
                <w:rFonts w:ascii="仿宋_GB2312" w:hAnsi="仿宋_GB2312" w:cs="仿宋_GB2312" w:eastAsia="仿宋_GB2312"/>
                <w:sz w:val="24"/>
              </w:rPr>
              <w:t>2.1.</w:t>
            </w:r>
            <w:r>
              <w:rPr>
                <w:rFonts w:ascii="仿宋_GB2312" w:hAnsi="仿宋_GB2312" w:cs="仿宋_GB2312" w:eastAsia="仿宋_GB2312"/>
                <w:sz w:val="24"/>
              </w:rPr>
              <w:t>2、</w:t>
            </w:r>
            <w:r>
              <w:rPr>
                <w:rFonts w:ascii="仿宋_GB2312" w:hAnsi="仿宋_GB2312" w:cs="仿宋_GB2312" w:eastAsia="仿宋_GB2312"/>
                <w:sz w:val="24"/>
              </w:rPr>
              <w:t>燃气安全监管服务系统</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1）项目需求</w:t>
            </w:r>
          </w:p>
          <w:p>
            <w:pPr>
              <w:pStyle w:val="null3"/>
              <w:ind w:firstLine="480"/>
              <w:jc w:val="left"/>
            </w:pPr>
            <w:r>
              <w:rPr>
                <w:rFonts w:ascii="仿宋_GB2312" w:hAnsi="仿宋_GB2312" w:cs="仿宋_GB2312" w:eastAsia="仿宋_GB2312"/>
                <w:sz w:val="24"/>
              </w:rPr>
              <w:t>需整合燃气安全风险感知数据，以物联网、大数据为基础，构建感知、评估、监测、预警与处置体系；搭建基础数据管理、风险评估、隐患管理、燃气动态监测与报警四大子系统，实现风险隐患双重预防，减少重特大事故。</w:t>
            </w:r>
          </w:p>
          <w:p>
            <w:pPr>
              <w:pStyle w:val="null3"/>
              <w:ind w:firstLine="480"/>
              <w:jc w:val="left"/>
            </w:pPr>
            <w:r>
              <w:rPr>
                <w:rFonts w:ascii="仿宋_GB2312" w:hAnsi="仿宋_GB2312" w:cs="仿宋_GB2312" w:eastAsia="仿宋_GB2312"/>
                <w:sz w:val="24"/>
              </w:rPr>
              <w:t>用户层需涵盖系统管理员、市住建局、燃气业务相关人员等；展示层支持大屏、</w:t>
            </w:r>
            <w:r>
              <w:rPr>
                <w:rFonts w:ascii="仿宋_GB2312" w:hAnsi="仿宋_GB2312" w:cs="仿宋_GB2312" w:eastAsia="仿宋_GB2312"/>
                <w:sz w:val="24"/>
              </w:rPr>
              <w:t>Web浏览器、移动终端展示；应用层包含基础数据管理、风险评估等多个子系统；支撑层整合物联感知、视频综合等平台及大数据平台；数据资源层汇聚地下市政、物联感知等数据并进行处理管理；基础设施层依托政务云平台、各类网络及指挥大厅；物联感知层部署可燃气体智能监测仪等设备。</w:t>
            </w:r>
          </w:p>
          <w:p>
            <w:pPr>
              <w:pStyle w:val="null3"/>
              <w:ind w:firstLine="480"/>
              <w:jc w:val="left"/>
            </w:pPr>
            <w:r>
              <w:rPr>
                <w:rFonts w:ascii="仿宋_GB2312" w:hAnsi="仿宋_GB2312" w:cs="仿宋_GB2312" w:eastAsia="仿宋_GB2312"/>
                <w:sz w:val="24"/>
              </w:rPr>
              <w:t>燃气安全综合监管应用系统包含燃气管网基础数据管理子系统（管理管网空间、属性等数据，实现数字化管理）、燃气管网风险评估子系统（针对管网和场站进行风险评估，实现动态闭环管理）、隐患管理子系统（多渠道获取隐患信息，建立电子档案跟踪管理）、燃气动态监测与报警子系统（搭建物联网监测系统，实现实时监测与报警）、燃气辅助支持子系统（定期统计分析生成报告，汇聚知识库等）。此外，还需实现燃气动态监测与报警子系统（细化泄漏预警、沼气聚集预警等功能）、燃气泄漏研判分析子系统（运用专业模型进行泄漏溯源等分析）、燃气终端监测系统（提供云服务、设备监测等服务）。</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2）建设内容</w:t>
            </w:r>
          </w:p>
          <w:p>
            <w:pPr>
              <w:pStyle w:val="null3"/>
              <w:ind w:firstLine="480"/>
              <w:jc w:val="left"/>
            </w:pPr>
            <w:r>
              <w:rPr>
                <w:rFonts w:ascii="仿宋_GB2312" w:hAnsi="仿宋_GB2312" w:cs="仿宋_GB2312" w:eastAsia="仿宋_GB2312"/>
                <w:sz w:val="24"/>
              </w:rPr>
              <w:t>依托对燃气安全风险感知数据的整合汇聚，以物联网、大数据为基础，加强安全生产监管，构建燃气安全感知、评估、监测、预警与处置体系，直观、全面、实时地了解燃气安全运行状况，提高监测预警的时效性和工作质量，为预防与控制燃气安全事故的发生提供重要的信息和技术支持。</w:t>
            </w:r>
          </w:p>
          <w:p>
            <w:pPr>
              <w:pStyle w:val="null3"/>
              <w:ind w:firstLine="480"/>
              <w:jc w:val="left"/>
            </w:pPr>
            <w:r>
              <w:rPr>
                <w:rFonts w:ascii="仿宋_GB2312" w:hAnsi="仿宋_GB2312" w:cs="仿宋_GB2312" w:eastAsia="仿宋_GB2312"/>
                <w:sz w:val="24"/>
              </w:rPr>
              <w:t>建设功能模块包括：基础数据管理、风险评估、隐患管理、辅助支持和终端监测。实现燃气安全风险隐患双重预防，实时发现和及时告警微小燃气泄漏等，减少或避免重特大燃气泄漏爆炸事故的发生。</w:t>
            </w:r>
          </w:p>
          <w:p>
            <w:pPr>
              <w:pStyle w:val="null3"/>
              <w:ind w:firstLine="480"/>
              <w:jc w:val="left"/>
            </w:pPr>
            <w:r>
              <w:rPr>
                <w:rFonts w:ascii="仿宋_GB2312" w:hAnsi="仿宋_GB2312" w:cs="仿宋_GB2312" w:eastAsia="仿宋_GB2312"/>
                <w:sz w:val="24"/>
              </w:rPr>
              <w:t>2.1.</w:t>
            </w:r>
            <w:r>
              <w:rPr>
                <w:rFonts w:ascii="仿宋_GB2312" w:hAnsi="仿宋_GB2312" w:cs="仿宋_GB2312" w:eastAsia="仿宋_GB2312"/>
                <w:sz w:val="24"/>
              </w:rPr>
              <w:t>3、</w:t>
            </w:r>
            <w:r>
              <w:rPr>
                <w:rFonts w:ascii="仿宋_GB2312" w:hAnsi="仿宋_GB2312" w:cs="仿宋_GB2312" w:eastAsia="仿宋_GB2312"/>
                <w:sz w:val="24"/>
              </w:rPr>
              <w:t>液化气全流程监管应用</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1）项目需求</w:t>
            </w:r>
          </w:p>
          <w:p>
            <w:pPr>
              <w:pStyle w:val="null3"/>
              <w:ind w:firstLine="480"/>
              <w:jc w:val="left"/>
            </w:pPr>
            <w:r>
              <w:rPr>
                <w:rFonts w:ascii="仿宋_GB2312" w:hAnsi="仿宋_GB2312" w:cs="仿宋_GB2312" w:eastAsia="仿宋_GB2312"/>
                <w:sz w:val="24"/>
              </w:rPr>
              <w:t>需基于物联网技术，对瓶装液化气经营、储存、充装等全环节进行闭环管理，实现</w:t>
            </w:r>
            <w:r>
              <w:rPr>
                <w:rFonts w:ascii="仿宋_GB2312" w:hAnsi="仿宋_GB2312" w:cs="仿宋_GB2312" w:eastAsia="仿宋_GB2312"/>
                <w:sz w:val="24"/>
              </w:rPr>
              <w:t xml:space="preserve"> “充装可控、来源可查、去向可追、责任可究”；实现气瓶登记、检测、报废全生命周期管理，以及从充装到使用的全过程监管。</w:t>
            </w:r>
          </w:p>
          <w:p>
            <w:pPr>
              <w:pStyle w:val="null3"/>
              <w:ind w:firstLine="480"/>
              <w:jc w:val="left"/>
            </w:pPr>
            <w:r>
              <w:rPr>
                <w:rFonts w:ascii="仿宋_GB2312" w:hAnsi="仿宋_GB2312" w:cs="仿宋_GB2312" w:eastAsia="仿宋_GB2312"/>
                <w:sz w:val="24"/>
              </w:rPr>
              <w:t>用户层覆盖系统管理员、市住建局、供热业务相关人员等；展示层支持大屏、</w:t>
            </w:r>
            <w:r>
              <w:rPr>
                <w:rFonts w:ascii="仿宋_GB2312" w:hAnsi="仿宋_GB2312" w:cs="仿宋_GB2312" w:eastAsia="仿宋_GB2312"/>
                <w:sz w:val="24"/>
              </w:rPr>
              <w:t>Web浏览器、移动终端展示；应用层包含基础信息管理、智能充装监管等多个子系统；支撑层整合物联感知、视频综合等平台及大数据平台；数据资源层汇聚多类数据并进行处理与管理；基础设施层依托政务云平台、各类网络及指挥大厅。</w:t>
            </w:r>
          </w:p>
          <w:p>
            <w:pPr>
              <w:pStyle w:val="null3"/>
              <w:ind w:firstLine="480"/>
              <w:jc w:val="left"/>
            </w:pPr>
            <w:r>
              <w:rPr>
                <w:rFonts w:ascii="仿宋_GB2312" w:hAnsi="仿宋_GB2312" w:cs="仿宋_GB2312" w:eastAsia="仿宋_GB2312"/>
                <w:sz w:val="24"/>
              </w:rPr>
              <w:t>基础信息管理子系统管理气瓶、从业人员、运输车辆等基础信息，实现</w:t>
            </w:r>
            <w:r>
              <w:rPr>
                <w:rFonts w:ascii="仿宋_GB2312" w:hAnsi="仿宋_GB2312" w:cs="仿宋_GB2312" w:eastAsia="仿宋_GB2312"/>
                <w:sz w:val="24"/>
              </w:rPr>
              <w:t>“三码合一” 管理；检测和报废处理监管子系统记录气瓶检测与报废信息，实现全生命周期管理；智能充装监管子系统对充装过程智能管理，杜绝违规充装；运输配送监管子系统实时记录运输配送信息，规范作业行为；站点可视化监控子系统建立或接入视频监控设备，统一监管重点场所；报警管理子系统建立统一报警规则，集中展示报警信息；移动执法子系统实现网格化执法监督管理，提供执法任务管理等功能。</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2）建设内容</w:t>
            </w:r>
          </w:p>
          <w:p>
            <w:pPr>
              <w:pStyle w:val="null3"/>
              <w:ind w:firstLine="480"/>
              <w:jc w:val="left"/>
            </w:pPr>
            <w:r>
              <w:rPr>
                <w:rFonts w:ascii="仿宋_GB2312" w:hAnsi="仿宋_GB2312" w:cs="仿宋_GB2312" w:eastAsia="仿宋_GB2312"/>
                <w:sz w:val="24"/>
              </w:rPr>
              <w:t>按照</w:t>
            </w:r>
            <w:r>
              <w:rPr>
                <w:rFonts w:ascii="仿宋_GB2312" w:hAnsi="仿宋_GB2312" w:cs="仿宋_GB2312" w:eastAsia="仿宋_GB2312"/>
                <w:sz w:val="24"/>
              </w:rPr>
              <w:t>“统一开发、统一使用、统一标准”的要求，基于物联网等新一代信息化技术，对瓶装液化气经营、储存、充装、运输、使用等环节进行闭环管理，覆盖充装、运输、配送、使用、回收、安检全过程，实现“充装可控、来源可查、去向可追、责任可究”。</w:t>
            </w:r>
          </w:p>
          <w:p>
            <w:pPr>
              <w:pStyle w:val="null3"/>
              <w:ind w:firstLine="480"/>
              <w:jc w:val="left"/>
            </w:pPr>
            <w:r>
              <w:rPr>
                <w:rFonts w:ascii="仿宋_GB2312" w:hAnsi="仿宋_GB2312" w:cs="仿宋_GB2312" w:eastAsia="仿宋_GB2312"/>
                <w:sz w:val="24"/>
              </w:rPr>
              <w:t>建设功能模块包括：基础信息管理子系统、检测和报废处理监管子系统、智能充装监管子系统、运输配送监管子系统、站点可视化监控子系统、报警管理子系统、移动执法子系统、液化气分析一张图子系统。实现瓶装燃气气瓶登记、检测、报废全生命周期管理。实现对瓶装燃气从充装、运输、储存、配送到使用的全过程监管。</w:t>
            </w:r>
          </w:p>
          <w:p>
            <w:pPr>
              <w:pStyle w:val="null3"/>
              <w:ind w:firstLine="480"/>
              <w:jc w:val="left"/>
            </w:pPr>
            <w:r>
              <w:rPr>
                <w:rFonts w:ascii="仿宋_GB2312" w:hAnsi="仿宋_GB2312" w:cs="仿宋_GB2312" w:eastAsia="仿宋_GB2312"/>
                <w:sz w:val="24"/>
              </w:rPr>
              <w:t>2.1.</w:t>
            </w:r>
            <w:r>
              <w:rPr>
                <w:rFonts w:ascii="仿宋_GB2312" w:hAnsi="仿宋_GB2312" w:cs="仿宋_GB2312" w:eastAsia="仿宋_GB2312"/>
                <w:sz w:val="24"/>
              </w:rPr>
              <w:t>4、</w:t>
            </w:r>
            <w:r>
              <w:rPr>
                <w:rFonts w:ascii="仿宋_GB2312" w:hAnsi="仿宋_GB2312" w:cs="仿宋_GB2312" w:eastAsia="仿宋_GB2312"/>
                <w:sz w:val="24"/>
              </w:rPr>
              <w:t>排水安全专项应用</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1）项目需求</w:t>
            </w:r>
          </w:p>
          <w:p>
            <w:pPr>
              <w:pStyle w:val="null3"/>
              <w:ind w:firstLine="480"/>
              <w:jc w:val="left"/>
            </w:pPr>
            <w:r>
              <w:rPr>
                <w:rFonts w:ascii="仿宋_GB2312" w:hAnsi="仿宋_GB2312" w:cs="仿宋_GB2312" w:eastAsia="仿宋_GB2312"/>
                <w:sz w:val="24"/>
              </w:rPr>
              <w:t>需汇聚排水管网实时运行与基础数据，结合气象信息，利用各类模型分析排水系统安全运行态势，及时预警管网病害风险，建设基础数据管理、设备管理等多个子系统。</w:t>
            </w:r>
          </w:p>
          <w:p>
            <w:pPr>
              <w:pStyle w:val="null3"/>
              <w:ind w:firstLine="480"/>
              <w:jc w:val="left"/>
            </w:pPr>
            <w:r>
              <w:rPr>
                <w:rFonts w:ascii="仿宋_GB2312" w:hAnsi="仿宋_GB2312" w:cs="仿宋_GB2312" w:eastAsia="仿宋_GB2312"/>
                <w:sz w:val="24"/>
              </w:rPr>
              <w:t>用户层涵盖系统管理员、市住建局、排水业务相关人员等；展示层支持大屏、</w:t>
            </w:r>
            <w:r>
              <w:rPr>
                <w:rFonts w:ascii="仿宋_GB2312" w:hAnsi="仿宋_GB2312" w:cs="仿宋_GB2312" w:eastAsia="仿宋_GB2312"/>
                <w:sz w:val="24"/>
              </w:rPr>
              <w:t>Web浏览器、移动终端展示；应用层包含基础数据管理、设备管理等多个子系统；支撑层整合物联感知、视频综合等平台及大数据平台；数据资源层汇聚多类数据并进行处理与管理；基础设施层依托政务云平台、各类网络及指挥大厅；物联感知层部署管网液位计、流量计等设备。</w:t>
            </w:r>
          </w:p>
          <w:p>
            <w:pPr>
              <w:pStyle w:val="null3"/>
              <w:ind w:firstLine="480"/>
              <w:jc w:val="left"/>
            </w:pPr>
            <w:r>
              <w:rPr>
                <w:rFonts w:ascii="仿宋_GB2312" w:hAnsi="仿宋_GB2312" w:cs="仿宋_GB2312" w:eastAsia="仿宋_GB2312"/>
                <w:sz w:val="24"/>
              </w:rPr>
              <w:t>基础数据管理子系统提供对排水系统各类基础数据的查询、导出和统计功能，包含排水分区、排水管网、易积水点等基础数据管理及对应</w:t>
            </w:r>
            <w:r>
              <w:rPr>
                <w:rFonts w:ascii="仿宋_GB2312" w:hAnsi="仿宋_GB2312" w:cs="仿宋_GB2312" w:eastAsia="仿宋_GB2312"/>
                <w:sz w:val="24"/>
              </w:rPr>
              <w:t xml:space="preserve"> GIS 一张图。设备管理子系统提供对设备、监测点等的管理功能，包含设备台账、监测点、维修、配置管理及设备 GIS一张图。监测预警子系统在线监测排水系统运行状态，包含实时监测、监测报警、视频监测功能。风险评估子系统对排水管网风险事件量化评估，包含管网风险评估、评估报告管理功能。数据统计分析子系统从多维度提供数据统计和可视化展示，包含运行统计总览、报警预警分析、风险统计分析功能。管网病害诊断子系统智能诊断排水管网隐患，包含管网病害分析、审核、隐患管理功能。</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2）建设内容</w:t>
            </w:r>
          </w:p>
          <w:p>
            <w:pPr>
              <w:pStyle w:val="null3"/>
              <w:ind w:firstLine="480"/>
              <w:jc w:val="left"/>
            </w:pPr>
            <w:r>
              <w:rPr>
                <w:rFonts w:ascii="仿宋_GB2312" w:hAnsi="仿宋_GB2312" w:cs="仿宋_GB2312" w:eastAsia="仿宋_GB2312"/>
                <w:sz w:val="24"/>
              </w:rPr>
              <w:t>汇聚城市排水管网实时运行数据和城市排水系统基础数据，结合区域气象信息，利用管网运行状态分析模型、区域水流动力分析模型、区域水位变化趋势模型等，综合分析城市排水系统安全运行态势，及时预警管网病害等风险。</w:t>
            </w:r>
          </w:p>
          <w:p>
            <w:pPr>
              <w:pStyle w:val="null3"/>
              <w:ind w:firstLine="480"/>
              <w:jc w:val="left"/>
            </w:pPr>
            <w:r>
              <w:rPr>
                <w:rFonts w:ascii="仿宋_GB2312" w:hAnsi="仿宋_GB2312" w:cs="仿宋_GB2312" w:eastAsia="仿宋_GB2312"/>
                <w:sz w:val="24"/>
              </w:rPr>
              <w:t>建设功能模块包括：基础数据管理子系统、设备管理子系统、监测预警子系统、风险评估子系统、数据统计分析子系统、管网病害诊断子系统、防汛排涝风险隐患管理子系统、防汛指挥调度子系统、掌上排水防汛。</w:t>
            </w:r>
          </w:p>
          <w:p>
            <w:pPr>
              <w:pStyle w:val="null3"/>
              <w:ind w:firstLine="480"/>
              <w:jc w:val="left"/>
            </w:pPr>
            <w:r>
              <w:rPr>
                <w:rFonts w:ascii="仿宋_GB2312" w:hAnsi="仿宋_GB2312" w:cs="仿宋_GB2312" w:eastAsia="仿宋_GB2312"/>
                <w:sz w:val="24"/>
              </w:rPr>
              <w:t>2.1.</w:t>
            </w:r>
            <w:r>
              <w:rPr>
                <w:rFonts w:ascii="仿宋_GB2312" w:hAnsi="仿宋_GB2312" w:cs="仿宋_GB2312" w:eastAsia="仿宋_GB2312"/>
                <w:sz w:val="24"/>
              </w:rPr>
              <w:t>5、</w:t>
            </w:r>
            <w:r>
              <w:rPr>
                <w:rFonts w:ascii="仿宋_GB2312" w:hAnsi="仿宋_GB2312" w:cs="仿宋_GB2312" w:eastAsia="仿宋_GB2312"/>
                <w:sz w:val="24"/>
              </w:rPr>
              <w:t>桥梁安全专项应用</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1）项目需求</w:t>
            </w:r>
          </w:p>
          <w:p>
            <w:pPr>
              <w:pStyle w:val="null3"/>
              <w:ind w:firstLine="480"/>
              <w:jc w:val="left"/>
            </w:pPr>
            <w:r>
              <w:rPr>
                <w:rFonts w:ascii="仿宋_GB2312" w:hAnsi="仿宋_GB2312" w:cs="仿宋_GB2312" w:eastAsia="仿宋_GB2312"/>
                <w:sz w:val="24"/>
              </w:rPr>
              <w:t>建设针对桥梁风险事件实时预警</w:t>
            </w:r>
            <w:r>
              <w:rPr>
                <w:rFonts w:ascii="仿宋_GB2312" w:hAnsi="仿宋_GB2312" w:cs="仿宋_GB2312" w:eastAsia="仿宋_GB2312"/>
                <w:sz w:val="24"/>
              </w:rPr>
              <w:t>/报警、后台评估、实时安全状况展示、管理养护辅助决策的管理应用系统。</w:t>
            </w:r>
          </w:p>
          <w:p>
            <w:pPr>
              <w:pStyle w:val="null3"/>
              <w:ind w:firstLine="480"/>
              <w:jc w:val="left"/>
            </w:pPr>
            <w:r>
              <w:rPr>
                <w:rFonts w:ascii="仿宋_GB2312" w:hAnsi="仿宋_GB2312" w:cs="仿宋_GB2312" w:eastAsia="仿宋_GB2312"/>
                <w:sz w:val="24"/>
              </w:rPr>
              <w:t>用户层涵盖系统管理员、市住建局、桥梁业务相关人员等；展示层支持大屏、</w:t>
            </w:r>
            <w:r>
              <w:rPr>
                <w:rFonts w:ascii="仿宋_GB2312" w:hAnsi="仿宋_GB2312" w:cs="仿宋_GB2312" w:eastAsia="仿宋_GB2312"/>
                <w:sz w:val="24"/>
              </w:rPr>
              <w:t>Web 浏览器、移动终端展示；应用层包含桥梁基础信息管理、实时监测管理等多个子系统；支撑层整合物联感知、视频综合等平台及大数据平台；数据资源层汇聚多类数据并进行处理与管理；基础设施层依托政务云平台、各类网络及指挥大厅；物联感知层部署加速度计、静力水准仪等设备。</w:t>
            </w:r>
          </w:p>
          <w:p>
            <w:pPr>
              <w:pStyle w:val="null3"/>
              <w:ind w:firstLine="480"/>
              <w:jc w:val="left"/>
            </w:pPr>
            <w:r>
              <w:rPr>
                <w:rFonts w:ascii="仿宋_GB2312" w:hAnsi="仿宋_GB2312" w:cs="仿宋_GB2312" w:eastAsia="仿宋_GB2312"/>
                <w:sz w:val="24"/>
              </w:rPr>
              <w:t>桥梁基础信息一张图展示桥梁画像与城市桥梁数据统计；桥梁基础信息管理子系统管理桥梁基础信息、计算模型、布点方案等；桥梁实时监测管理子系统展示实时监测数据、预处理监测数据、分析监测数据、监测数据质量；桥梁监测报警管理子系统实现结构静态与动态响应报警、阈值设置、报警信息统计与处置；桥梁安全评估子系统包含评估报告管理、安全评分管理与分析、评估模型管理；桥梁检测养护管理子系统管理检测报告、维修加固方案、维修养护数据；辅助决策支持子系统管理事件、案例、预案等，辅助领导决策。</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2）建设内容</w:t>
            </w:r>
          </w:p>
          <w:p>
            <w:pPr>
              <w:pStyle w:val="null3"/>
              <w:ind w:firstLine="480"/>
              <w:jc w:val="left"/>
            </w:pPr>
            <w:r>
              <w:rPr>
                <w:rFonts w:ascii="仿宋_GB2312" w:hAnsi="仿宋_GB2312" w:cs="仿宋_GB2312" w:eastAsia="仿宋_GB2312"/>
                <w:sz w:val="24"/>
              </w:rPr>
              <w:t>桥梁安全专项应用系统是针对桥梁风险事件进行实时预警</w:t>
            </w:r>
            <w:r>
              <w:rPr>
                <w:rFonts w:ascii="仿宋_GB2312" w:hAnsi="仿宋_GB2312" w:cs="仿宋_GB2312" w:eastAsia="仿宋_GB2312"/>
                <w:sz w:val="24"/>
              </w:rPr>
              <w:t>/报警，针对桥梁安全进行后台评估、针对桥梁实时安全状况进行应用展示、针对桥梁的管理养护起到辅助决策的作用的一套管理应用系统。</w:t>
            </w:r>
          </w:p>
          <w:p>
            <w:pPr>
              <w:pStyle w:val="null3"/>
              <w:ind w:firstLine="480"/>
              <w:jc w:val="left"/>
            </w:pPr>
            <w:r>
              <w:rPr>
                <w:rFonts w:ascii="仿宋_GB2312" w:hAnsi="仿宋_GB2312" w:cs="仿宋_GB2312" w:eastAsia="仿宋_GB2312"/>
                <w:sz w:val="24"/>
              </w:rPr>
              <w:t>建设功能模块包括：桥梁基础信息一张图、桥梁基础信息管理子系统、桥梁实时监测管理子系统、桥梁监测报警管理子系统、桥梁安全评估子系统、桥梁检测养护管理子系统、辅助决策支持子系统。</w:t>
            </w:r>
          </w:p>
          <w:p>
            <w:pPr>
              <w:pStyle w:val="null3"/>
              <w:ind w:firstLine="480"/>
              <w:jc w:val="left"/>
            </w:pPr>
            <w:r>
              <w:rPr>
                <w:rFonts w:ascii="仿宋_GB2312" w:hAnsi="仿宋_GB2312" w:cs="仿宋_GB2312" w:eastAsia="仿宋_GB2312"/>
                <w:sz w:val="24"/>
              </w:rPr>
              <w:t>2.1.</w:t>
            </w:r>
            <w:r>
              <w:rPr>
                <w:rFonts w:ascii="仿宋_GB2312" w:hAnsi="仿宋_GB2312" w:cs="仿宋_GB2312" w:eastAsia="仿宋_GB2312"/>
                <w:sz w:val="24"/>
              </w:rPr>
              <w:t>6、</w:t>
            </w:r>
            <w:r>
              <w:rPr>
                <w:rFonts w:ascii="仿宋_GB2312" w:hAnsi="仿宋_GB2312" w:cs="仿宋_GB2312" w:eastAsia="仿宋_GB2312"/>
                <w:sz w:val="24"/>
              </w:rPr>
              <w:t>供水安全专项应用</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1）项目需求</w:t>
            </w:r>
          </w:p>
          <w:p>
            <w:pPr>
              <w:pStyle w:val="null3"/>
              <w:ind w:firstLine="480"/>
              <w:jc w:val="left"/>
            </w:pPr>
            <w:r>
              <w:rPr>
                <w:rFonts w:ascii="仿宋_GB2312" w:hAnsi="仿宋_GB2312" w:cs="仿宋_GB2312" w:eastAsia="仿宋_GB2312"/>
                <w:sz w:val="24"/>
              </w:rPr>
              <w:t>实现对供水管网的监测、报警和事件快速响应，提升供水管网整体安全水平，功能模块包括基础数据管理、风险评估、监测预警、分区漏损分析子系统。</w:t>
            </w:r>
          </w:p>
          <w:p>
            <w:pPr>
              <w:pStyle w:val="null3"/>
              <w:ind w:firstLine="480"/>
              <w:jc w:val="left"/>
            </w:pPr>
            <w:r>
              <w:rPr>
                <w:rFonts w:ascii="仿宋_GB2312" w:hAnsi="仿宋_GB2312" w:cs="仿宋_GB2312" w:eastAsia="仿宋_GB2312"/>
                <w:sz w:val="24"/>
              </w:rPr>
              <w:t>用户层涵盖系统管理员、市住建局、供水业务相关人员等；展示层支持大屏、</w:t>
            </w:r>
            <w:r>
              <w:rPr>
                <w:rFonts w:ascii="仿宋_GB2312" w:hAnsi="仿宋_GB2312" w:cs="仿宋_GB2312" w:eastAsia="仿宋_GB2312"/>
                <w:sz w:val="24"/>
              </w:rPr>
              <w:t>Web 浏览器、移动终端展示；应用层包含基础数据管理、风险评估等多个子系统；支撑层整合物联感知、视频综合等平台及大数据平台；数据资源层汇聚多类数据并进行处理与管理；基础设施层依托政务云平台、各类网络及指挥大厅；物联感知层部署智慧消火栓监测设备、管段式流量计等设备。</w:t>
            </w:r>
          </w:p>
          <w:p>
            <w:pPr>
              <w:pStyle w:val="null3"/>
              <w:ind w:firstLine="480"/>
              <w:jc w:val="left"/>
            </w:pPr>
            <w:r>
              <w:rPr>
                <w:rFonts w:ascii="仿宋_GB2312" w:hAnsi="仿宋_GB2312" w:cs="仿宋_GB2312" w:eastAsia="仿宋_GB2312"/>
                <w:sz w:val="24"/>
              </w:rPr>
              <w:t>基础数据管理子系统管理供水设施、监测设备、维修信息等基础数据；风险评估子系统基于评估模型对供水管网健康状态量化评估；监测预警子系统利用物联网技术监控供水管网运行，实现运行监测、监测分析、监测报警与预警管理；研判分析子系统基于专业模型算法提供爆管识别等分析功能；分区漏损分析子系统管理漏损信息，分析区域漏损情况；辅助决策子系统提供应急处置分析工具与管理决策建议。</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2）建设内容</w:t>
            </w:r>
          </w:p>
          <w:p>
            <w:pPr>
              <w:pStyle w:val="null3"/>
              <w:ind w:firstLine="480"/>
              <w:jc w:val="left"/>
            </w:pPr>
            <w:r>
              <w:rPr>
                <w:rFonts w:ascii="仿宋_GB2312" w:hAnsi="仿宋_GB2312" w:cs="仿宋_GB2312" w:eastAsia="仿宋_GB2312"/>
                <w:sz w:val="24"/>
              </w:rPr>
              <w:t>供水安全专项应用系统的建设，实现对供水管网的监测、报警和事件快速响应，提升供水管网整体安</w:t>
            </w:r>
            <w:r>
              <w:rPr>
                <w:rFonts w:ascii="仿宋_GB2312" w:hAnsi="仿宋_GB2312" w:cs="仿宋_GB2312" w:eastAsia="仿宋_GB2312"/>
                <w:sz w:val="24"/>
              </w:rPr>
              <w:t>全水平，有效降低事故风险、提升城市供水防灾减灾能力。</w:t>
            </w:r>
          </w:p>
          <w:p>
            <w:pPr>
              <w:pStyle w:val="null3"/>
              <w:ind w:firstLine="480"/>
              <w:jc w:val="left"/>
            </w:pPr>
            <w:r>
              <w:rPr>
                <w:rFonts w:ascii="仿宋_GB2312" w:hAnsi="仿宋_GB2312" w:cs="仿宋_GB2312" w:eastAsia="仿宋_GB2312"/>
                <w:sz w:val="24"/>
              </w:rPr>
              <w:t>建设功能模块包括：基础数据管理子系统、风险评估子系统、监测预警子系统、研判分析子系统、分区漏损分析子系统、辅助决策分析子系统。</w:t>
            </w:r>
          </w:p>
          <w:p>
            <w:pPr>
              <w:pStyle w:val="null3"/>
              <w:ind w:firstLine="480"/>
              <w:jc w:val="left"/>
            </w:pPr>
            <w:r>
              <w:rPr>
                <w:rFonts w:ascii="仿宋_GB2312" w:hAnsi="仿宋_GB2312" w:cs="仿宋_GB2312" w:eastAsia="仿宋_GB2312"/>
                <w:sz w:val="24"/>
              </w:rPr>
              <w:t>2.1.</w:t>
            </w:r>
            <w:r>
              <w:rPr>
                <w:rFonts w:ascii="仿宋_GB2312" w:hAnsi="仿宋_GB2312" w:cs="仿宋_GB2312" w:eastAsia="仿宋_GB2312"/>
                <w:sz w:val="24"/>
              </w:rPr>
              <w:t>7、</w:t>
            </w:r>
            <w:r>
              <w:rPr>
                <w:rFonts w:ascii="仿宋_GB2312" w:hAnsi="仿宋_GB2312" w:cs="仿宋_GB2312" w:eastAsia="仿宋_GB2312"/>
                <w:sz w:val="24"/>
              </w:rPr>
              <w:t>供热安全专项应用</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1）项目需求</w:t>
            </w:r>
          </w:p>
          <w:p>
            <w:pPr>
              <w:pStyle w:val="null3"/>
              <w:ind w:firstLine="480"/>
              <w:jc w:val="left"/>
            </w:pPr>
            <w:r>
              <w:rPr>
                <w:rFonts w:ascii="仿宋_GB2312" w:hAnsi="仿宋_GB2312" w:cs="仿宋_GB2312" w:eastAsia="仿宋_GB2312"/>
                <w:sz w:val="24"/>
              </w:rPr>
              <w:t>聚焦一次供热管网安全，实现供热系统风险及时感知与高效应对，集成供热监管、供热安全运行监测等功能，预防各类安全事故。</w:t>
            </w:r>
          </w:p>
          <w:p>
            <w:pPr>
              <w:pStyle w:val="null3"/>
              <w:ind w:firstLine="480"/>
              <w:jc w:val="left"/>
            </w:pPr>
            <w:r>
              <w:rPr>
                <w:rFonts w:ascii="仿宋_GB2312" w:hAnsi="仿宋_GB2312" w:cs="仿宋_GB2312" w:eastAsia="仿宋_GB2312"/>
                <w:sz w:val="24"/>
              </w:rPr>
              <w:t>用户层涵盖系统管理员、市住建局、供热业务相关人员等；展示层支持大屏、</w:t>
            </w:r>
            <w:r>
              <w:rPr>
                <w:rFonts w:ascii="仿宋_GB2312" w:hAnsi="仿宋_GB2312" w:cs="仿宋_GB2312" w:eastAsia="仿宋_GB2312"/>
                <w:sz w:val="24"/>
              </w:rPr>
              <w:t>Web 浏览器、移动终端展示；应用层包含基础数据管理、风险评估等多个子系统；支撑层整合物联感知、视频综合等平台及大数据平台；数据资源层汇聚多类数据并进行处理与管理；基础设施层依托政务云平台、各类网络及指挥大厅；物联感知层部署土壤温度计、井内温度液位采集仪等设备。</w:t>
            </w:r>
          </w:p>
          <w:p>
            <w:pPr>
              <w:pStyle w:val="null3"/>
              <w:ind w:firstLine="480"/>
              <w:jc w:val="left"/>
            </w:pPr>
            <w:r>
              <w:rPr>
                <w:rFonts w:ascii="仿宋_GB2312" w:hAnsi="仿宋_GB2312" w:cs="仿宋_GB2312" w:eastAsia="仿宋_GB2312"/>
                <w:sz w:val="24"/>
              </w:rPr>
              <w:t>供热监管系统打通数据壁垒，管理供热行业基础数据、运行数据，实现业务调度；供热决策建议汇聚数据构建监管指标体系，分析态势并生成决策报告；供热安全运行监测系统管理供热管网基础信息，评估管网风险，实时监测管网运行与报警。</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2）建设内容</w:t>
            </w:r>
          </w:p>
          <w:p>
            <w:pPr>
              <w:pStyle w:val="null3"/>
              <w:ind w:firstLine="480"/>
              <w:jc w:val="left"/>
            </w:pPr>
            <w:r>
              <w:rPr>
                <w:rFonts w:ascii="仿宋_GB2312" w:hAnsi="仿宋_GB2312" w:cs="仿宋_GB2312" w:eastAsia="仿宋_GB2312"/>
                <w:sz w:val="24"/>
              </w:rPr>
              <w:t>供热安全专项应用系统一期建设聚焦一次供热管网安全，实现供热系统风险的及时感知预警和高效应对，集成供热监管、供热安全运行监测等功能，预防供热管网爆管、路面坍塌、大面积停热、人员烫伤等安全事故。</w:t>
            </w:r>
          </w:p>
          <w:p>
            <w:pPr>
              <w:pStyle w:val="null3"/>
              <w:ind w:firstLine="480"/>
              <w:jc w:val="left"/>
            </w:pPr>
            <w:r>
              <w:rPr>
                <w:rFonts w:ascii="仿宋_GB2312" w:hAnsi="仿宋_GB2312" w:cs="仿宋_GB2312" w:eastAsia="仿宋_GB2312"/>
                <w:sz w:val="24"/>
              </w:rPr>
              <w:t>建设功能模块包括：供热监管子系统、供热决策建议子系统、供热安全运行监测子系统、供热服务质量分析子系统。</w:t>
            </w:r>
          </w:p>
          <w:p>
            <w:pPr>
              <w:pStyle w:val="null3"/>
              <w:ind w:firstLine="480"/>
              <w:jc w:val="left"/>
            </w:pPr>
            <w:r>
              <w:rPr>
                <w:rFonts w:ascii="仿宋_GB2312" w:hAnsi="仿宋_GB2312" w:cs="仿宋_GB2312" w:eastAsia="仿宋_GB2312"/>
                <w:sz w:val="24"/>
              </w:rPr>
              <w:t>2.1.</w:t>
            </w:r>
            <w:r>
              <w:rPr>
                <w:rFonts w:ascii="仿宋_GB2312" w:hAnsi="仿宋_GB2312" w:cs="仿宋_GB2312" w:eastAsia="仿宋_GB2312"/>
                <w:sz w:val="24"/>
              </w:rPr>
              <w:t>8、</w:t>
            </w:r>
            <w:r>
              <w:rPr>
                <w:rFonts w:ascii="仿宋_GB2312" w:hAnsi="仿宋_GB2312" w:cs="仿宋_GB2312" w:eastAsia="仿宋_GB2312"/>
                <w:sz w:val="24"/>
              </w:rPr>
              <w:t>地下管网监管专项应用</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1）项目需求</w:t>
            </w:r>
          </w:p>
          <w:p>
            <w:pPr>
              <w:pStyle w:val="null3"/>
              <w:ind w:firstLine="480"/>
              <w:jc w:val="left"/>
            </w:pPr>
            <w:r>
              <w:rPr>
                <w:rFonts w:ascii="仿宋_GB2312" w:hAnsi="仿宋_GB2312" w:cs="仿宋_GB2312" w:eastAsia="仿宋_GB2312"/>
                <w:sz w:val="24"/>
              </w:rPr>
              <w:t>建立城市地下管线信息管理系统，实现地下管线信息的检查、管理、更新、应用，满足规划建设、运行服务、应急防灾等需求。</w:t>
            </w:r>
          </w:p>
          <w:p>
            <w:pPr>
              <w:pStyle w:val="null3"/>
              <w:ind w:firstLine="480"/>
              <w:jc w:val="left"/>
            </w:pPr>
            <w:r>
              <w:rPr>
                <w:rFonts w:ascii="仿宋_GB2312" w:hAnsi="仿宋_GB2312" w:cs="仿宋_GB2312" w:eastAsia="仿宋_GB2312"/>
                <w:sz w:val="24"/>
              </w:rPr>
              <w:t>用户层涵盖相关厅局、企业、社会公众等；展示层支持大屏、手持终端、桌面终端展示；应用层包含地下管线设施数据管理、三维建模和动态更新等功能模块；支撑层包含公共与自建应用支撑；数据资源层包含数据接入、治理、共享等；基础设施层依托政务云平台、各类网络。</w:t>
            </w:r>
          </w:p>
          <w:p>
            <w:pPr>
              <w:pStyle w:val="null3"/>
              <w:ind w:firstLine="480"/>
              <w:jc w:val="left"/>
            </w:pPr>
            <w:r>
              <w:rPr>
                <w:rFonts w:ascii="仿宋_GB2312" w:hAnsi="仿宋_GB2312" w:cs="仿宋_GB2312" w:eastAsia="仿宋_GB2312"/>
                <w:sz w:val="24"/>
              </w:rPr>
              <w:t>地下管线设施数据管理包含数据核查入库（核查数据完整性、准确性等，将质检通过数据入库）、基础设施管理（管理设施数据图层、加载、编辑等）、查询统计（查询与统计设施数据）、质量检查（验证已入库数据准确性等）；三维建模和动态更新实现二维数据三维化驱动与三维数据动态更新；二三维一体化应用提供专业分析（缓冲区、碰撞等分析）、信息查询（空间与属性查询）、二三维交互（图层目录、地图切换等）、出图功能。</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2）建设内容</w:t>
            </w:r>
          </w:p>
          <w:p>
            <w:pPr>
              <w:pStyle w:val="null3"/>
              <w:ind w:firstLine="480"/>
              <w:jc w:val="left"/>
            </w:pPr>
            <w:r>
              <w:rPr>
                <w:rFonts w:ascii="仿宋_GB2312" w:hAnsi="仿宋_GB2312" w:cs="仿宋_GB2312" w:eastAsia="仿宋_GB2312"/>
                <w:sz w:val="24"/>
              </w:rPr>
              <w:t>通过建立城市地下管线信息管理系统，实现城市地下管线信息的检查、管理、更新、应用，满足城市生命线基础设施规划建设、运行服务、应急防灾等工作需要。</w:t>
            </w:r>
          </w:p>
          <w:p>
            <w:pPr>
              <w:pStyle w:val="null3"/>
              <w:ind w:firstLine="480"/>
              <w:jc w:val="left"/>
            </w:pPr>
            <w:r>
              <w:rPr>
                <w:rFonts w:ascii="仿宋_GB2312" w:hAnsi="仿宋_GB2312" w:cs="仿宋_GB2312" w:eastAsia="仿宋_GB2312"/>
                <w:sz w:val="24"/>
              </w:rPr>
              <w:t>建设功能模块包括：地下管线设施数据管理、三维建模和动态更新、二三维一体化应用、地下管线防护管理系统、地下管网马路拉链专项治理系统。</w:t>
            </w:r>
          </w:p>
          <w:p>
            <w:pPr>
              <w:pStyle w:val="null3"/>
              <w:ind w:firstLine="480"/>
              <w:jc w:val="left"/>
            </w:pPr>
            <w:r>
              <w:rPr>
                <w:rFonts w:ascii="仿宋_GB2312" w:hAnsi="仿宋_GB2312" w:cs="仿宋_GB2312" w:eastAsia="仿宋_GB2312"/>
                <w:sz w:val="24"/>
              </w:rPr>
              <w:t>2.2</w:t>
            </w:r>
            <w:r>
              <w:rPr>
                <w:rFonts w:ascii="仿宋_GB2312" w:hAnsi="仿宋_GB2312" w:cs="仿宋_GB2312" w:eastAsia="仿宋_GB2312"/>
                <w:sz w:val="24"/>
              </w:rPr>
              <w:t>应用支撑系统</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物联感知</w:t>
            </w:r>
          </w:p>
          <w:p>
            <w:pPr>
              <w:pStyle w:val="null3"/>
              <w:ind w:firstLine="480"/>
              <w:jc w:val="left"/>
            </w:pPr>
            <w:r>
              <w:rPr>
                <w:rFonts w:ascii="仿宋_GB2312" w:hAnsi="仿宋_GB2312" w:cs="仿宋_GB2312" w:eastAsia="仿宋_GB2312"/>
                <w:sz w:val="24"/>
              </w:rPr>
              <w:t>城市生命线物联网平台，能够实现数据接入、大数据存储、数据计算、数据分析、数据开放等能力，形成中台三个核心产品，包括数据集成平台、大数据平台以及数据开放平台。</w:t>
            </w:r>
          </w:p>
          <w:p>
            <w:pPr>
              <w:pStyle w:val="null3"/>
              <w:ind w:firstLine="480"/>
              <w:jc w:val="left"/>
            </w:pPr>
            <w:r>
              <w:rPr>
                <w:rFonts w:ascii="仿宋_GB2312" w:hAnsi="仿宋_GB2312" w:cs="仿宋_GB2312" w:eastAsia="仿宋_GB2312"/>
                <w:sz w:val="24"/>
              </w:rPr>
              <w:t>南向接入支持通过标准的物联网协议接入各种物联网设备数据及外部接口数据。协议适配定义对由消息解码器识别并提取的消息的所有处理的接口方法，如协议内容转换，消息或指令交互操作等等，同时基于该接口规范设计和实现的消息路由负载。上报数据后，根据不同设备类型适配解析规则进行数据解析及校验，将数据接入与数据解析解耦从而实现一对多的数据处理能力。将监测数据转储至消息中间件、时序数据库等存储引擎。</w:t>
            </w:r>
          </w:p>
          <w:p>
            <w:pPr>
              <w:pStyle w:val="null3"/>
              <w:ind w:firstLine="480"/>
              <w:jc w:val="left"/>
            </w:pPr>
            <w:r>
              <w:rPr>
                <w:rFonts w:ascii="仿宋_GB2312" w:hAnsi="仿宋_GB2312" w:cs="仿宋_GB2312" w:eastAsia="仿宋_GB2312"/>
                <w:sz w:val="24"/>
              </w:rPr>
              <w:t>北向使能支持对数据进行实时、离线解析、清晰、加工等逻辑，形成城市生命线数据资源。主要支持数据接入处理、数据仓库建设、数据治理、能力开放等功能。</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视频综合</w:t>
            </w:r>
          </w:p>
          <w:p>
            <w:pPr>
              <w:pStyle w:val="null3"/>
              <w:ind w:firstLine="480"/>
              <w:jc w:val="left"/>
            </w:pPr>
            <w:r>
              <w:rPr>
                <w:rFonts w:ascii="仿宋_GB2312" w:hAnsi="仿宋_GB2312" w:cs="仿宋_GB2312" w:eastAsia="仿宋_GB2312"/>
                <w:sz w:val="24"/>
              </w:rPr>
              <w:t>视频综合系统采用高可用、高可靠、可扩展、弹性伸缩的分布式架构设计，既可满足少量的视频监控分析（</w:t>
            </w:r>
            <w:r>
              <w:rPr>
                <w:rFonts w:ascii="仿宋_GB2312" w:hAnsi="仿宋_GB2312" w:cs="仿宋_GB2312" w:eastAsia="仿宋_GB2312"/>
                <w:sz w:val="24"/>
              </w:rPr>
              <w:t>100 路以内），也可以满足大规模集群并发分析（最高分析路数100000路），同时具备完善的视频全流程管理能力，使视频的采集、处理、管理、分析等更加便捷。</w:t>
            </w:r>
          </w:p>
          <w:p>
            <w:pPr>
              <w:pStyle w:val="null3"/>
              <w:ind w:firstLine="480"/>
              <w:jc w:val="left"/>
            </w:pPr>
            <w:r>
              <w:rPr>
                <w:rFonts w:ascii="仿宋_GB2312" w:hAnsi="仿宋_GB2312" w:cs="仿宋_GB2312" w:eastAsia="仿宋_GB2312"/>
                <w:sz w:val="24"/>
              </w:rPr>
              <w:t>视频综合系统实现对监控视频进行数据汇聚、管理、分发等功能，实现视频资源的统一管理，如实时预览、轮训预览、录像回放。同时对信息进行智能</w:t>
            </w:r>
            <w:r>
              <w:rPr>
                <w:rFonts w:ascii="仿宋_GB2312" w:hAnsi="仿宋_GB2312" w:cs="仿宋_GB2312" w:eastAsia="仿宋_GB2312"/>
                <w:sz w:val="24"/>
              </w:rPr>
              <w:t xml:space="preserve"> AI 分析，实现人车物识别、人群异常行为识别（电子围栏），并与物联感知一起配合专项应用及专业建模实现易涝点积水识别、桥梁重载车辆识别等场景逻辑。</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城市三维</w:t>
            </w:r>
          </w:p>
          <w:p>
            <w:pPr>
              <w:pStyle w:val="null3"/>
              <w:ind w:firstLine="480"/>
              <w:jc w:val="left"/>
            </w:pPr>
            <w:r>
              <w:rPr>
                <w:rFonts w:ascii="仿宋_GB2312" w:hAnsi="仿宋_GB2312" w:cs="仿宋_GB2312" w:eastAsia="仿宋_GB2312"/>
                <w:sz w:val="24"/>
              </w:rPr>
              <w:t>城市三维数字孪生系统是以直观表达全覆盖精细城市三维模型为基础，围绕城市安全应用提供多源异构数据融合、数据服务化、功能服务化和应用服务化、二三维可视化等能力，建设集</w:t>
            </w:r>
            <w:r>
              <w:rPr>
                <w:rFonts w:ascii="仿宋_GB2312" w:hAnsi="仿宋_GB2312" w:cs="仿宋_GB2312" w:eastAsia="仿宋_GB2312"/>
                <w:sz w:val="24"/>
              </w:rPr>
              <w:t xml:space="preserve"> GIS、BIM、UE 一体融合的时空应用基础性平台，以满足专项应用中数据聚合、服务发布、服务共享、场景构建、三维渲染等建设需求，构建统一管理的城市底图数字基座，打造城市安全业务应用的 “城市底板”，是城市生命线业务应用的基础支撑性平台。</w:t>
            </w:r>
          </w:p>
          <w:p>
            <w:pPr>
              <w:pStyle w:val="null3"/>
              <w:ind w:firstLine="480"/>
              <w:jc w:val="left"/>
            </w:pPr>
            <w:r>
              <w:rPr>
                <w:rFonts w:ascii="仿宋_GB2312" w:hAnsi="仿宋_GB2312" w:cs="仿宋_GB2312" w:eastAsia="仿宋_GB2312"/>
                <w:sz w:val="24"/>
              </w:rPr>
              <w:t>通过将</w:t>
            </w:r>
            <w:r>
              <w:rPr>
                <w:rFonts w:ascii="仿宋_GB2312" w:hAnsi="仿宋_GB2312" w:cs="仿宋_GB2312" w:eastAsia="仿宋_GB2312"/>
                <w:sz w:val="24"/>
              </w:rPr>
              <w:t xml:space="preserve"> CIM 理念与城市生命线进行深度融合，汇聚城市管网、道路、桥梁等城市基础设施多源异构数据，搭建地上地下全空间一体化的城市三维数字孪生体系，实现对城市大范围、多源异构市政基础设施数据管理运维、综合应用、实时监管、模拟仿真、辅助决策分析与运行安全监测预警，并与其他平台进行数据对接，为上层各类应用提供通用的数据服务、功能服务等，提升城市市政基础设施科学化、精细化、智能化管理水平，为城市规划、建设、管理以及应急处置提供服务，支撑一网统管及新型智慧城市建设。</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统一维护</w:t>
            </w:r>
          </w:p>
          <w:p>
            <w:pPr>
              <w:pStyle w:val="null3"/>
              <w:ind w:firstLine="480"/>
              <w:jc w:val="left"/>
            </w:pPr>
            <w:r>
              <w:rPr>
                <w:rFonts w:ascii="仿宋_GB2312" w:hAnsi="仿宋_GB2312" w:cs="仿宋_GB2312" w:eastAsia="仿宋_GB2312"/>
                <w:sz w:val="24"/>
              </w:rPr>
              <w:t>通过该模块构建</w:t>
            </w:r>
            <w:r>
              <w:rPr>
                <w:rFonts w:ascii="仿宋_GB2312" w:hAnsi="仿宋_GB2312" w:cs="仿宋_GB2312" w:eastAsia="仿宋_GB2312"/>
                <w:sz w:val="24"/>
              </w:rPr>
              <w:t xml:space="preserve"> “用户统一管理 - 系统灵活配置 - 运维可视化” 的运维能力，降低平台运营成本，建设统一用户与权限管理、系统配置与监控、数据同步与应急保障等能力。平台可以快速搭建业务，定制业务工作流程，设置组织机构，并能够方便快捷地完成工作表单内容样式调整、业务流程修改、人员权限变动、系统数据备份等日常维护工作。</w:t>
            </w:r>
          </w:p>
          <w:p>
            <w:pPr>
              <w:pStyle w:val="null3"/>
              <w:ind w:firstLine="480"/>
              <w:jc w:val="left"/>
            </w:pPr>
            <w:r>
              <w:rPr>
                <w:rFonts w:ascii="仿宋_GB2312" w:hAnsi="仿宋_GB2312" w:cs="仿宋_GB2312" w:eastAsia="仿宋_GB2312"/>
                <w:sz w:val="24"/>
              </w:rPr>
              <w:t>附表一：应用支撑系统采购清单</w:t>
            </w:r>
          </w:p>
          <w:p>
            <w:pPr>
              <w:pStyle w:val="null3"/>
            </w:pPr>
            <w:r>
              <w:rPr>
                <w:rFonts w:ascii="仿宋_GB2312" w:hAnsi="仿宋_GB2312" w:cs="仿宋_GB2312" w:eastAsia="仿宋_GB2312"/>
              </w:rPr>
              <w:t xml:space="preserve"> </w:t>
            </w:r>
          </w:p>
          <w:tbl>
            <w:tblPr>
              <w:tblInd w:type="dxa" w:w="90"/>
              <w:tblBorders>
                <w:top w:val="none" w:color="000000" w:sz="4"/>
                <w:left w:val="none" w:color="000000" w:sz="4"/>
                <w:bottom w:val="none" w:color="000000" w:sz="4"/>
                <w:right w:val="none" w:color="000000" w:sz="4"/>
                <w:insideH w:val="none"/>
                <w:insideV w:val="none"/>
              </w:tblBorders>
            </w:tblPr>
            <w:tblGrid>
              <w:gridCol w:w="165"/>
              <w:gridCol w:w="331"/>
              <w:gridCol w:w="1521"/>
              <w:gridCol w:w="304"/>
              <w:gridCol w:w="219"/>
            </w:tblGrid>
            <w:tr>
              <w:tc>
                <w:tcPr>
                  <w:tcW w:type="dxa" w:w="1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3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w:t>
                  </w:r>
                </w:p>
              </w:tc>
              <w:tc>
                <w:tcPr>
                  <w:tcW w:type="dxa" w:w="15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技术参数</w:t>
                  </w:r>
                </w:p>
              </w:tc>
              <w:tc>
                <w:tcPr>
                  <w:tcW w:type="dxa" w:w="3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2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物联感知</w:t>
                  </w:r>
                </w:p>
              </w:tc>
              <w:tc>
                <w:tcPr>
                  <w:tcW w:type="dxa" w:w="1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1.南向接入协议支持：兼容 TCP、UDP、LWM2M、MQTTS、HTTP/HTTPS、COAP、NB-IoT 等协议，支持设备 SDK 集成；</w:t>
                  </w:r>
                  <w:r>
                    <w:br/>
                  </w:r>
                  <w:r>
                    <w:rPr>
                      <w:rFonts w:ascii="仿宋_GB2312" w:hAnsi="仿宋_GB2312" w:cs="仿宋_GB2312" w:eastAsia="仿宋_GB2312"/>
                      <w:sz w:val="21"/>
                      <w:color w:val="000000"/>
                    </w:rPr>
                    <w:t>2.设备接入能力：支持单平台≥10 万级设备并发接入，支持批量 / 单一设备注册，支持设备 ID 唯一标识与动态分配；</w:t>
                  </w:r>
                  <w:r>
                    <w:br/>
                  </w:r>
                  <w:r>
                    <w:rPr>
                      <w:rFonts w:ascii="仿宋_GB2312" w:hAnsi="仿宋_GB2312" w:cs="仿宋_GB2312" w:eastAsia="仿宋_GB2312"/>
                      <w:sz w:val="21"/>
                      <w:color w:val="000000"/>
                    </w:rPr>
                    <w:t>3.安全认证机制：支持国密算法（SM2/SM3/SM4），提供设备 Token 认证、数据传输加密、签名校验功能，符合等保 2.0 三级要求；</w:t>
                  </w:r>
                  <w:r>
                    <w:br/>
                  </w:r>
                  <w:r>
                    <w:rPr>
                      <w:rFonts w:ascii="仿宋_GB2312" w:hAnsi="仿宋_GB2312" w:cs="仿宋_GB2312" w:eastAsia="仿宋_GB2312"/>
                      <w:sz w:val="21"/>
                      <w:color w:val="000000"/>
                    </w:rPr>
                    <w:t>4.数据处理性能：支持流批一体计算</w:t>
                  </w:r>
                  <w:r>
                    <w:rPr>
                      <w:rFonts w:ascii="仿宋_GB2312" w:hAnsi="仿宋_GB2312" w:cs="仿宋_GB2312" w:eastAsia="仿宋_GB2312"/>
                      <w:sz w:val="21"/>
                      <w:color w:val="000000"/>
                    </w:rPr>
                    <w:t>（兼容 Spark/Flink 引擎），实时数据解析延迟≤100ms，日处理数据</w:t>
                  </w:r>
                  <w:r>
                    <w:rPr>
                      <w:rFonts w:ascii="仿宋_GB2312" w:hAnsi="仿宋_GB2312" w:cs="仿宋_GB2312" w:eastAsia="仿宋_GB2312"/>
                      <w:sz w:val="21"/>
                      <w:color w:val="000000"/>
                    </w:rPr>
                    <w:t>量≥10TB；</w:t>
                  </w:r>
                  <w:r>
                    <w:br/>
                  </w:r>
                  <w:r>
                    <w:rPr>
                      <w:rFonts w:ascii="仿宋_GB2312" w:hAnsi="仿宋_GB2312" w:cs="仿宋_GB2312" w:eastAsia="仿宋_GB2312"/>
                      <w:sz w:val="21"/>
                      <w:color w:val="000000"/>
                    </w:rPr>
                    <w:t>5.规则引擎能力：支持动态规则配置、自动化执行，支持设备故障告警、业务告警等≥50 种规则模板，支持设备联动逻辑自定义；</w:t>
                  </w:r>
                  <w:r>
                    <w:br/>
                  </w:r>
                  <w:r>
                    <w:rPr>
                      <w:rFonts w:ascii="仿宋_GB2312" w:hAnsi="仿宋_GB2312" w:cs="仿宋_GB2312" w:eastAsia="仿宋_GB2312"/>
                      <w:sz w:val="21"/>
                      <w:color w:val="000000"/>
                    </w:rPr>
                    <w:t>6.数据存储兼容性：适配国产化时序数据库，支持 ODS/DWD/DWS/ADS 分层存储；</w:t>
                  </w:r>
                  <w:r>
                    <w:br/>
                  </w:r>
                  <w:r>
                    <w:rPr>
                      <w:rFonts w:ascii="仿宋_GB2312" w:hAnsi="仿宋_GB2312" w:cs="仿宋_GB2312" w:eastAsia="仿宋_GB2312"/>
                      <w:sz w:val="21"/>
                      <w:color w:val="000000"/>
                    </w:rPr>
                    <w:t>7.数据治理功能：支持数据标准管理、元数据管理（表级 / 字段级）、数据血缘追踪（Python 自动化生成）、数据质量检查（空值 / 脏数据 / 超量程过滤）；</w:t>
                  </w:r>
                  <w:r>
                    <w:br/>
                  </w:r>
                  <w:r>
                    <w:rPr>
                      <w:rFonts w:ascii="仿宋_GB2312" w:hAnsi="仿宋_GB2312" w:cs="仿宋_GB2312" w:eastAsia="仿宋_GB2312"/>
                      <w:sz w:val="21"/>
                      <w:color w:val="000000"/>
                    </w:rPr>
                    <w:t>8.北向数据服务：提供 RESTful API 接口，支持数据订阅 / 分发，支持≥100 个北向应用并发调用，数据推送延迟≤500ms；</w:t>
                  </w:r>
                  <w:r>
                    <w:br/>
                  </w:r>
                  <w:r>
                    <w:rPr>
                      <w:rFonts w:ascii="仿宋_GB2312" w:hAnsi="仿宋_GB2312" w:cs="仿宋_GB2312" w:eastAsia="仿宋_GB2312"/>
                      <w:sz w:val="21"/>
                      <w:color w:val="000000"/>
                    </w:rPr>
                    <w:t>9.国产化适配：兼容国产化芯片，适配国产化服务器操作系统等。</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视频综合</w:t>
                  </w:r>
                </w:p>
              </w:tc>
              <w:tc>
                <w:tcPr>
                  <w:tcW w:type="dxa" w:w="1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1.视频接入协议：支持 GB/T 28181 国标协议级联，兼容主流厂商私有协议（如海康 / 大华 SDK），支持 PC / 移动端 / 大屏多终端预览；</w:t>
                  </w:r>
                  <w:r>
                    <w:br/>
                  </w:r>
                  <w:r>
                    <w:rPr>
                      <w:rFonts w:ascii="仿宋_GB2312" w:hAnsi="仿宋_GB2312" w:cs="仿宋_GB2312" w:eastAsia="仿宋_GB2312"/>
                      <w:sz w:val="21"/>
                      <w:color w:val="000000"/>
                    </w:rPr>
                    <w:t>2.并发分析能力：支持分布式集群部署，单集群最大支持≥10 万路视频并发智能分析，支持≤100 路小规模快速部署；</w:t>
                  </w:r>
                  <w:r>
                    <w:br/>
                  </w:r>
                  <w:r>
                    <w:rPr>
                      <w:rFonts w:ascii="仿宋_GB2312" w:hAnsi="仿宋_GB2312" w:cs="仿宋_GB2312" w:eastAsia="仿宋_GB2312"/>
                      <w:sz w:val="21"/>
                      <w:color w:val="000000"/>
                    </w:rPr>
                    <w:t>3.智能算法功能：支持人车物识别、人群异常行为识别、易涝点积水识别、桥梁重载车辆识别等专项算法，支持算法参数自定义配置</w:t>
                  </w:r>
                  <w:r>
                    <w:br/>
                  </w:r>
                  <w:r>
                    <w:rPr>
                      <w:rFonts w:ascii="仿宋_GB2312" w:hAnsi="仿宋_GB2312" w:cs="仿宋_GB2312" w:eastAsia="仿宋_GB2312"/>
                      <w:sz w:val="21"/>
                      <w:color w:val="000000"/>
                    </w:rPr>
                    <w:t>4.告警响应性能：告警信息秒级推送（延迟≤3 秒），支持告警弹窗、列表展示、历史数据导出（Excel 格式），误报率≤5%；</w:t>
                  </w:r>
                  <w:r>
                    <w:br/>
                  </w:r>
                  <w:r>
                    <w:rPr>
                      <w:rFonts w:ascii="仿宋_GB2312" w:hAnsi="仿宋_GB2312" w:cs="仿宋_GB2312" w:eastAsia="仿宋_GB2312"/>
                      <w:sz w:val="21"/>
                      <w:color w:val="000000"/>
                    </w:rPr>
                    <w:t>5.视频处理功能：支持 1/4/9/16/25 等分屏预览，支持录像回放（1-64 倍速）、批量下载（最多 9 路同时下载）、画面抓图 / 电子放大 / 云台控制；</w:t>
                  </w:r>
                  <w:r>
                    <w:br/>
                  </w:r>
                  <w:r>
                    <w:rPr>
                      <w:rFonts w:ascii="仿宋_GB2312" w:hAnsi="仿宋_GB2312" w:cs="仿宋_GB2312" w:eastAsia="仿宋_GB2312"/>
                      <w:sz w:val="21"/>
                      <w:color w:val="000000"/>
                    </w:rPr>
                    <w:t>6.资源调度能力：支持算法资源自动调度（基于 CPU / 内存 / 显存测算），支持任务隔离、故障自动重启，可用性≥99.99%；</w:t>
                  </w:r>
                  <w:r>
                    <w:br/>
                  </w:r>
                  <w:r>
                    <w:rPr>
                      <w:rFonts w:ascii="仿宋_GB2312" w:hAnsi="仿宋_GB2312" w:cs="仿宋_GB2312" w:eastAsia="仿宋_GB2312"/>
                      <w:sz w:val="21"/>
                      <w:color w:val="000000"/>
                    </w:rPr>
                    <w:t>7.国产化适配：兼容国产化芯片，适配国产化服务器操作系统等。</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城市三维</w:t>
                  </w:r>
                </w:p>
              </w:tc>
              <w:tc>
                <w:tcPr>
                  <w:tcW w:type="dxa" w:w="1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1.数据融合能力：支持 BIM、倾斜摄影模型、激光点云、地下管线、地形影像等多源异构数据融合，支持坐标统一转换（WGS84/GCJ02 等）；</w:t>
                  </w:r>
                  <w:r>
                    <w:br/>
                  </w:r>
                  <w:r>
                    <w:rPr>
                      <w:rFonts w:ascii="仿宋_GB2312" w:hAnsi="仿宋_GB2312" w:cs="仿宋_GB2312" w:eastAsia="仿宋_GB2312"/>
                      <w:sz w:val="21"/>
                      <w:color w:val="000000"/>
                    </w:rPr>
                    <w:t>2.可视化功能：支持二三维一体化展示、全空间（地上 / 地下 / 室内 / 室外）沉浸式浏览，支持矢量 / 影像底图切换，支持 BIM 构件属性点选查看；</w:t>
                  </w:r>
                  <w:r>
                    <w:br/>
                  </w:r>
                  <w:r>
                    <w:rPr>
                      <w:rFonts w:ascii="仿宋_GB2312" w:hAnsi="仿宋_GB2312" w:cs="仿宋_GB2312" w:eastAsia="仿宋_GB2312"/>
                      <w:sz w:val="21"/>
                      <w:color w:val="000000"/>
                    </w:rPr>
                    <w:t>3.空间分析工具：提供≥20 种空间分析功能（日照 / 控高 / 绿地 / 退线 / 爆管 / 碰撞 / 净距 / 缓冲区等），支持自定义分析范围与参数配置；</w:t>
                  </w:r>
                  <w:r>
                    <w:br/>
                  </w:r>
                  <w:r>
                    <w:rPr>
                      <w:rFonts w:ascii="仿宋_GB2312" w:hAnsi="仿宋_GB2312" w:cs="仿宋_GB2312" w:eastAsia="仿宋_GB2312"/>
                      <w:sz w:val="21"/>
                      <w:color w:val="000000"/>
                    </w:rPr>
                    <w:t>4.数据处理性能：支持 PB 级三维数据存储与加载，模型轻量化处理（构件级 LOD 优化），场景加载响应时间≤3 秒，支持≥500 个并发用户在线访问；</w:t>
                  </w:r>
                  <w:r>
                    <w:br/>
                  </w:r>
                  <w:r>
                    <w:rPr>
                      <w:rFonts w:ascii="仿宋_GB2312" w:hAnsi="仿宋_GB2312" w:cs="仿宋_GB2312" w:eastAsia="仿宋_GB2312"/>
                      <w:sz w:val="21"/>
                      <w:color w:val="000000"/>
                    </w:rPr>
                    <w:t>5.检索统计能力</w:t>
                  </w:r>
                  <w:r>
                    <w:rPr>
                      <w:rFonts w:ascii="仿宋_GB2312" w:hAnsi="仿宋_GB2312" w:cs="仿宋_GB2312" w:eastAsia="仿宋_GB2312"/>
                      <w:sz w:val="21"/>
                    </w:rPr>
                    <w:t xml:space="preserve"> </w:t>
                  </w:r>
                  <w:r>
                    <w:rPr>
                      <w:rFonts w:ascii="仿宋_GB2312" w:hAnsi="仿宋_GB2312" w:cs="仿宋_GB2312" w:eastAsia="仿宋_GB2312"/>
                      <w:sz w:val="21"/>
                      <w:color w:val="000000"/>
                    </w:rPr>
                    <w:t>支持关键字智能检索、专题检索、管线快速查询（材质 / 管径 / 埋深等），支持空间统计（表格 / 图表展示）与数据导出；</w:t>
                  </w:r>
                  <w:r>
                    <w:br/>
                  </w:r>
                  <w:r>
                    <w:rPr>
                      <w:rFonts w:ascii="仿宋_GB2312" w:hAnsi="仿宋_GB2312" w:cs="仿宋_GB2312" w:eastAsia="仿宋_GB2312"/>
                      <w:sz w:val="21"/>
                      <w:color w:val="000000"/>
                    </w:rPr>
                    <w:t>6.二次开发支持：提供 RESTful API/SDK 开发包，支持 GEOJSON 格式数据导入导出，支持自定义标绘、场景快照、飞行路径漫游；</w:t>
                  </w:r>
                  <w:r>
                    <w:br/>
                  </w:r>
                  <w:r>
                    <w:rPr>
                      <w:rFonts w:ascii="仿宋_GB2312" w:hAnsi="仿宋_GB2312" w:cs="仿宋_GB2312" w:eastAsia="仿宋_GB2312"/>
                      <w:sz w:val="21"/>
                      <w:color w:val="000000"/>
                    </w:rPr>
                    <w:t>7.国产化适配：兼容国产化芯片，适配国产化服务器操作系统等。</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统一维护</w:t>
                  </w:r>
                </w:p>
              </w:tc>
              <w:tc>
                <w:tcPr>
                  <w:tcW w:type="dxa" w:w="1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1.核心组件：包含注册中心、配置中心、服务网关，支持服务注册 / 发现 / 熔断 / 重试，支持动态配置推送（延迟≤30 秒）；</w:t>
                  </w:r>
                  <w:r>
                    <w:br/>
                  </w:r>
                  <w:r>
                    <w:rPr>
                      <w:rFonts w:ascii="仿宋_GB2312" w:hAnsi="仿宋_GB2312" w:cs="仿宋_GB2312" w:eastAsia="仿宋_GB2312"/>
                      <w:sz w:val="21"/>
                      <w:color w:val="000000"/>
                    </w:rPr>
                    <w:t>2.并发处理能力：服务网关支持≥1 万 QPS，支持负载均衡（轮询 / 权重 / IP 哈希），支持限流阈值自定义；</w:t>
                  </w:r>
                  <w:r>
                    <w:br/>
                  </w:r>
                  <w:r>
                    <w:rPr>
                      <w:rFonts w:ascii="仿宋_GB2312" w:hAnsi="仿宋_GB2312" w:cs="仿宋_GB2312" w:eastAsia="仿宋_GB2312"/>
                      <w:sz w:val="21"/>
                      <w:color w:val="000000"/>
                    </w:rPr>
                    <w:t>3.兼容性：适配多种微服务架构，兼容国产化中间件；</w:t>
                  </w:r>
                  <w:r>
                    <w:br/>
                  </w:r>
                  <w:r>
                    <w:rPr>
                      <w:rFonts w:ascii="仿宋_GB2312" w:hAnsi="仿宋_GB2312" w:cs="仿宋_GB2312" w:eastAsia="仿宋_GB2312"/>
                      <w:sz w:val="21"/>
                      <w:color w:val="000000"/>
                    </w:rPr>
                    <w:t>4.认证协议：支持 OAuth2.0/SSO 单点登录，支持 RBAC 权限模型，支持个人 / 企业用户分级管理；</w:t>
                  </w:r>
                  <w:r>
                    <w:br/>
                  </w:r>
                  <w:r>
                    <w:rPr>
                      <w:rFonts w:ascii="仿宋_GB2312" w:hAnsi="仿宋_GB2312" w:cs="仿宋_GB2312" w:eastAsia="仿宋_GB2312"/>
                      <w:sz w:val="21"/>
                      <w:color w:val="000000"/>
                    </w:rPr>
                    <w:t>5.权限管控：支持多租户、多角色、多组织权限隔离，支持细粒度菜单 / 功能权限配置；</w:t>
                  </w:r>
                  <w:r>
                    <w:br/>
                  </w:r>
                  <w:r>
                    <w:rPr>
                      <w:rFonts w:ascii="仿宋_GB2312" w:hAnsi="仿宋_GB2312" w:cs="仿宋_GB2312" w:eastAsia="仿宋_GB2312"/>
                      <w:sz w:val="21"/>
                      <w:color w:val="000000"/>
                    </w:rPr>
                    <w:t>6.安全特性：支持密码加密存储（SM3 算法），支持登录日志审计，符合等保 2.0 三级要求；</w:t>
                  </w:r>
                  <w:r>
                    <w:br/>
                  </w:r>
                  <w:r>
                    <w:rPr>
                      <w:rFonts w:ascii="仿宋_GB2312" w:hAnsi="仿宋_GB2312" w:cs="仿宋_GB2312" w:eastAsia="仿宋_GB2312"/>
                      <w:sz w:val="21"/>
                      <w:color w:val="000000"/>
                    </w:rPr>
                    <w:t>7.用户管理能力：支持≥1000 个用户分级管理，支持组织架构树形层级配置（≥10 级），支持岗位 / 权限动态调整；</w:t>
                  </w:r>
                  <w:r>
                    <w:br/>
                  </w:r>
                  <w:r>
                    <w:rPr>
                      <w:rFonts w:ascii="仿宋_GB2312" w:hAnsi="仿宋_GB2312" w:cs="仿宋_GB2312" w:eastAsia="仿宋_GB2312"/>
                      <w:sz w:val="21"/>
                      <w:color w:val="000000"/>
                    </w:rPr>
                    <w:t>8.运维监控范围：支持 ICT 资源（服务器 / 网络 / 中间件 / 应用）监控，支持系统运行异常跟踪（日志 / 调用链分析）；</w:t>
                  </w:r>
                  <w:r>
                    <w:br/>
                  </w:r>
                  <w:r>
                    <w:rPr>
                      <w:rFonts w:ascii="仿宋_GB2312" w:hAnsi="仿宋_GB2312" w:cs="仿宋_GB2312" w:eastAsia="仿宋_GB2312"/>
                      <w:sz w:val="21"/>
                      <w:color w:val="000000"/>
                    </w:rPr>
                    <w:t>9.配置灵活性：支持业务流程定制、表单样式调整、页面布局配置，支持一键数据备份 / 宕机修复；</w:t>
                  </w:r>
                  <w:r>
                    <w:br/>
                  </w:r>
                  <w:r>
                    <w:rPr>
                      <w:rFonts w:ascii="仿宋_GB2312" w:hAnsi="仿宋_GB2312" w:cs="仿宋_GB2312" w:eastAsia="仿宋_GB2312"/>
                      <w:sz w:val="21"/>
                      <w:color w:val="000000"/>
                    </w:rPr>
                    <w:t>10.日志管理：支持操作日志、登录日志、系统日志存储（存储周期≥1 年），支持日志导出与检索；</w:t>
                  </w:r>
                  <w:r>
                    <w:br/>
                  </w:r>
                  <w:r>
                    <w:rPr>
                      <w:rFonts w:ascii="仿宋_GB2312" w:hAnsi="仿宋_GB2312" w:cs="仿宋_GB2312" w:eastAsia="仿宋_GB2312"/>
                      <w:sz w:val="21"/>
                      <w:color w:val="000000"/>
                    </w:rPr>
                    <w:t>11.国产化适配：兼容国产化芯片，适配国产化服务器操作系统等。</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bl>
          <w:p>
            <w:pPr>
              <w:pStyle w:val="null3"/>
              <w:ind w:firstLine="480"/>
              <w:jc w:val="left"/>
            </w:pPr>
            <w:r>
              <w:rPr>
                <w:rFonts w:ascii="仿宋_GB2312" w:hAnsi="仿宋_GB2312" w:cs="仿宋_GB2312" w:eastAsia="仿宋_GB2312"/>
                <w:sz w:val="24"/>
              </w:rPr>
              <w:t>2.3</w:t>
            </w:r>
            <w:r>
              <w:rPr>
                <w:rFonts w:ascii="仿宋_GB2312" w:hAnsi="仿宋_GB2312" w:cs="仿宋_GB2312" w:eastAsia="仿宋_GB2312"/>
                <w:sz w:val="24"/>
              </w:rPr>
              <w:t>数据资源建设技术要求</w:t>
            </w:r>
          </w:p>
          <w:p>
            <w:pPr>
              <w:pStyle w:val="null3"/>
              <w:jc w:val="left"/>
            </w:pPr>
            <w:r>
              <w:rPr>
                <w:rFonts w:ascii="仿宋_GB2312" w:hAnsi="仿宋_GB2312" w:cs="仿宋_GB2312" w:eastAsia="仿宋_GB2312"/>
                <w:sz w:val="24"/>
              </w:rPr>
              <w:t>数据资源体系采购清单</w:t>
            </w:r>
          </w:p>
          <w:tbl>
            <w:tblPr>
              <w:tblBorders>
                <w:top w:val="none" w:color="000000" w:sz="4"/>
                <w:left w:val="none" w:color="000000" w:sz="4"/>
                <w:bottom w:val="none" w:color="000000" w:sz="4"/>
                <w:right w:val="none" w:color="000000" w:sz="4"/>
                <w:insideH w:val="none"/>
                <w:insideV w:val="none"/>
              </w:tblBorders>
            </w:tblPr>
            <w:tblGrid>
              <w:gridCol w:w="365"/>
              <w:gridCol w:w="365"/>
              <w:gridCol w:w="365"/>
              <w:gridCol w:w="365"/>
              <w:gridCol w:w="365"/>
              <w:gridCol w:w="365"/>
              <w:gridCol w:w="365"/>
            </w:tblGrid>
            <w:tr>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序号</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系统名称</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一级功能</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二级功能</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功能说明</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r>
            <w:tr>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数据资源建设</w:t>
                  </w: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数据库设计与建库</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归集库</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归集库存放全量数据，归集库的数据格式包含DB数据、XML文件、xls文件、PDF、视频等。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基础库</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包含城市部件信息、城市运行体征信息等内容，各专题均有重点关联的信息资源。</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专题库</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主要包括燃气安全、排水安全、供水安全、地下管网、供热安全、桥梁安全的专题数据库。</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结果库</w:t>
                  </w:r>
                </w:p>
              </w:tc>
              <w:tc>
                <w:tcPr>
                  <w:tcW w:type="dxa" w:w="36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结果库作为可视化呈现与对外开放共享的数据源，燃气安全、排水安全等专题库依据各专题相关数据进行综合分析</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基础数据加工与处理</w:t>
                  </w:r>
                </w:p>
              </w:tc>
              <w:tc>
                <w:tcPr>
                  <w:tcW w:type="dxa" w:w="36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社会资源数据加工</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城市地理信息数据加工处理、地质灾害隐患点信息数据加工、危险源属性信息收集整理入库、防护目标属性信息收集整理入库、应急救援队伍加工处理入库、应急仓库加工处理入库、应急物资装备信息加工处理、预案库信息加工处理入库、案例库信息加工处理入库、知识库信息加工处理入库、运输保障信息加工处理入库、医疗卫生数据加工处理入库、应急避护场区数据加工处理入库、第三方施工数据加工、处理与入库、专家信息加工处理入库。</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国土空间地理数据加工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针对城市生命线接入的燃气、排水等管网数据，按照国家统一要求，将数据转换成国家2000的坐标对入库处理过的城市地理信息数据、防护目标、危险源、应急救援队伍、应急仓库、预案库、应急避护场、医疗卫生等数据开展数据抽查工作。</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市政基础设施数据加工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燃气专项数据加工处理（409.75 公里）、排水专项数据加工处理（778.37 公里）、供水专项数据加工处理（287.80 公里）、供热专项数据加工处理（193.72公里）、桥梁专项数据加工处理（15 座）。</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基础设施三维建模</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地下基础设施三维建模</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燃气管网三维建模（409.75 公里）、排水管网三维建模（778.37 公里）、供水管网三维建模（287.80 公里）、热力管网三维建模（193.72公里）。</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桥梁BIM建模</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上部结构、下部结构、桥面系（15联）。</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专业建模及数据适配</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燃气专业建模与分析数据适配</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燃气泄漏与沼气辨别模型服务、燃气管线风险评估模型服务、管道燃气泄漏溯源分析模型服务、管道燃气扩散范围分析模型服务、管道燃气泄漏爆炸预测分析模型服务（409.75 公里）</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排水专业建模与分析</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管网风险评估模型数据适配、管网病害诊断数据适配、内涝预测预警模型数据适配（778.37 公里）</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供水专业建模与分析</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供水管网风险评估模型数据适配、供水管网水动力模型数据适配、管网爆管分析模型数据适配、大面积停水预测分析模型数据适配、供水管网水质预警模型数据适配、分区漏损分析模型适配数据适配（287.80 公里）</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桥梁专业建模与分析数据适配</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数据准备、模态分析、变形分析、应力分析、模型修正、重载车辆识别模型数据适配、桥梁安全评估模型数据适配、长期趋势分析模型数据适配（15 座）</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热力专业建模与分析</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热力管网运行风险评估模型及数据适配、热力管网泄漏溯源模型及数据适配、蒸汽管网水击风险模型及数据适配（193.72公里）</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数据对接</w:t>
                  </w:r>
                </w:p>
              </w:tc>
              <w:tc>
                <w:tcPr>
                  <w:tcW w:type="dxa" w:w="7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数据对接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与咸阳市燃气企业燃气信息系统对接、与咸阳市供水企业供水信息系统对接、与咸阳市供热企业供热信息系统对接、与咸阳市12345热线系统对接、与咸阳数字城管平台系统对接、与物联网设备对接、与咸阳玉泉西路示范段生命线安全监测系统对接、与市数据局共享交换平台对接。</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bl>
          <w:p>
            <w:pPr>
              <w:pStyle w:val="null3"/>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质保</w:t>
            </w:r>
            <w:r>
              <w:rPr>
                <w:rFonts w:ascii="仿宋_GB2312" w:hAnsi="仿宋_GB2312" w:cs="仿宋_GB2312" w:eastAsia="仿宋_GB2312"/>
                <w:sz w:val="24"/>
              </w:rPr>
              <w:t>服务期技术要求</w:t>
            </w:r>
          </w:p>
          <w:p>
            <w:pPr>
              <w:pStyle w:val="null3"/>
              <w:ind w:firstLine="480"/>
              <w:jc w:val="left"/>
            </w:pPr>
            <w:r>
              <w:rPr>
                <w:rFonts w:ascii="仿宋_GB2312" w:hAnsi="仿宋_GB2312" w:cs="仿宋_GB2312" w:eastAsia="仿宋_GB2312"/>
                <w:sz w:val="24"/>
              </w:rPr>
              <w:t xml:space="preserve">1. </w:t>
            </w:r>
            <w:r>
              <w:rPr>
                <w:rFonts w:ascii="仿宋_GB2312" w:hAnsi="仿宋_GB2312" w:cs="仿宋_GB2312" w:eastAsia="仿宋_GB2312"/>
                <w:sz w:val="24"/>
              </w:rPr>
              <w:t>质保</w:t>
            </w:r>
            <w:r>
              <w:rPr>
                <w:rFonts w:ascii="仿宋_GB2312" w:hAnsi="仿宋_GB2312" w:cs="仿宋_GB2312" w:eastAsia="仿宋_GB2312"/>
                <w:sz w:val="24"/>
              </w:rPr>
              <w:t>内容</w:t>
            </w:r>
          </w:p>
          <w:p>
            <w:pPr>
              <w:pStyle w:val="null3"/>
              <w:ind w:firstLine="480"/>
              <w:jc w:val="left"/>
            </w:pPr>
            <w:r>
              <w:rPr>
                <w:rFonts w:ascii="仿宋_GB2312" w:hAnsi="仿宋_GB2312" w:cs="仿宋_GB2312" w:eastAsia="仿宋_GB2312"/>
                <w:sz w:val="24"/>
              </w:rPr>
              <w:t>系统</w:t>
            </w:r>
            <w:r>
              <w:rPr>
                <w:rFonts w:ascii="仿宋_GB2312" w:hAnsi="仿宋_GB2312" w:cs="仿宋_GB2312" w:eastAsia="仿宋_GB2312"/>
                <w:sz w:val="24"/>
              </w:rPr>
              <w:t>质保</w:t>
            </w:r>
            <w:r>
              <w:rPr>
                <w:rFonts w:ascii="仿宋_GB2312" w:hAnsi="仿宋_GB2312" w:cs="仿宋_GB2312" w:eastAsia="仿宋_GB2312"/>
                <w:sz w:val="24"/>
              </w:rPr>
              <w:t>：包括应用系统、支撑平台、数据资源库的日常运行监控、故障修复、版本迭代优化。</w:t>
            </w:r>
          </w:p>
          <w:p>
            <w:pPr>
              <w:pStyle w:val="null3"/>
              <w:ind w:firstLine="480"/>
              <w:jc w:val="left"/>
            </w:pPr>
            <w:r>
              <w:rPr>
                <w:rFonts w:ascii="仿宋_GB2312" w:hAnsi="仿宋_GB2312" w:cs="仿宋_GB2312" w:eastAsia="仿宋_GB2312"/>
                <w:sz w:val="24"/>
              </w:rPr>
              <w:t>数据</w:t>
            </w:r>
            <w:r>
              <w:rPr>
                <w:rFonts w:ascii="仿宋_GB2312" w:hAnsi="仿宋_GB2312" w:cs="仿宋_GB2312" w:eastAsia="仿宋_GB2312"/>
                <w:sz w:val="24"/>
              </w:rPr>
              <w:t>质保</w:t>
            </w:r>
            <w:r>
              <w:rPr>
                <w:rFonts w:ascii="仿宋_GB2312" w:hAnsi="仿宋_GB2312" w:cs="仿宋_GB2312" w:eastAsia="仿宋_GB2312"/>
                <w:sz w:val="24"/>
              </w:rPr>
              <w:t>：保障数据采集、治理、共享的连续性与准确性，定期开展数据质量核查。</w:t>
            </w:r>
          </w:p>
          <w:p>
            <w:pPr>
              <w:pStyle w:val="null3"/>
              <w:ind w:firstLine="480"/>
              <w:jc w:val="left"/>
            </w:pPr>
            <w:r>
              <w:rPr>
                <w:rFonts w:ascii="仿宋_GB2312" w:hAnsi="仿宋_GB2312" w:cs="仿宋_GB2312" w:eastAsia="仿宋_GB2312"/>
                <w:sz w:val="24"/>
              </w:rPr>
              <w:t>设备协同</w:t>
            </w:r>
            <w:r>
              <w:rPr>
                <w:rFonts w:ascii="仿宋_GB2312" w:hAnsi="仿宋_GB2312" w:cs="仿宋_GB2312" w:eastAsia="仿宋_GB2312"/>
                <w:sz w:val="24"/>
              </w:rPr>
              <w:t>质保</w:t>
            </w:r>
            <w:r>
              <w:rPr>
                <w:rFonts w:ascii="仿宋_GB2312" w:hAnsi="仿宋_GB2312" w:cs="仿宋_GB2312" w:eastAsia="仿宋_GB2312"/>
                <w:sz w:val="24"/>
              </w:rPr>
              <w:t>：配合二标段硬件设备进行数据对接调试、协同故障排查。</w:t>
            </w:r>
          </w:p>
          <w:p>
            <w:pPr>
              <w:pStyle w:val="null3"/>
              <w:ind w:firstLine="480"/>
              <w:jc w:val="left"/>
            </w:pPr>
            <w:r>
              <w:rPr>
                <w:rFonts w:ascii="仿宋_GB2312" w:hAnsi="仿宋_GB2312" w:cs="仿宋_GB2312" w:eastAsia="仿宋_GB2312"/>
                <w:sz w:val="24"/>
              </w:rPr>
              <w:t>2. 服务标准</w:t>
            </w:r>
          </w:p>
          <w:p>
            <w:pPr>
              <w:pStyle w:val="null3"/>
              <w:ind w:firstLine="480"/>
              <w:jc w:val="left"/>
            </w:pPr>
            <w:r>
              <w:rPr>
                <w:rFonts w:ascii="仿宋_GB2312" w:hAnsi="仿宋_GB2312" w:cs="仿宋_GB2312" w:eastAsia="仿宋_GB2312"/>
                <w:sz w:val="24"/>
              </w:rPr>
              <w:t>提供</w:t>
            </w:r>
            <w:r>
              <w:rPr>
                <w:rFonts w:ascii="仿宋_GB2312" w:hAnsi="仿宋_GB2312" w:cs="仿宋_GB2312" w:eastAsia="仿宋_GB2312"/>
                <w:sz w:val="24"/>
              </w:rPr>
              <w:t>7×24 小时</w:t>
            </w:r>
            <w:r>
              <w:rPr>
                <w:rFonts w:ascii="仿宋_GB2312" w:hAnsi="仿宋_GB2312" w:cs="仿宋_GB2312" w:eastAsia="仿宋_GB2312"/>
                <w:sz w:val="24"/>
              </w:rPr>
              <w:t>质保</w:t>
            </w:r>
            <w:r>
              <w:rPr>
                <w:rFonts w:ascii="仿宋_GB2312" w:hAnsi="仿宋_GB2312" w:cs="仿宋_GB2312" w:eastAsia="仿宋_GB2312"/>
                <w:sz w:val="24"/>
              </w:rPr>
              <w:t>服务，故障响应时间不超过</w:t>
            </w:r>
            <w:r>
              <w:rPr>
                <w:rFonts w:ascii="仿宋_GB2312" w:hAnsi="仿宋_GB2312" w:cs="仿宋_GB2312" w:eastAsia="仿宋_GB2312"/>
                <w:sz w:val="24"/>
              </w:rPr>
              <w:t>15 分钟，一般故障修复时间不超过 4 小时，重大故障修复时间不超过 24 小时。</w:t>
            </w:r>
          </w:p>
          <w:p>
            <w:pPr>
              <w:pStyle w:val="null3"/>
              <w:ind w:firstLine="480"/>
              <w:jc w:val="left"/>
            </w:pPr>
            <w:r>
              <w:rPr>
                <w:rFonts w:ascii="仿宋_GB2312" w:hAnsi="仿宋_GB2312" w:cs="仿宋_GB2312" w:eastAsia="仿宋_GB2312"/>
                <w:sz w:val="24"/>
              </w:rPr>
              <w:t>每年至少开展</w:t>
            </w:r>
            <w:r>
              <w:rPr>
                <w:rFonts w:ascii="仿宋_GB2312" w:hAnsi="仿宋_GB2312" w:cs="仿宋_GB2312" w:eastAsia="仿宋_GB2312"/>
                <w:sz w:val="24"/>
              </w:rPr>
              <w:t>1 次系统性能优化与安全加固。</w:t>
            </w:r>
          </w:p>
          <w:p>
            <w:pPr>
              <w:pStyle w:val="null3"/>
              <w:ind w:firstLine="480"/>
              <w:jc w:val="left"/>
            </w:pPr>
            <w:r>
              <w:rPr>
                <w:rFonts w:ascii="仿宋_GB2312" w:hAnsi="仿宋_GB2312" w:cs="仿宋_GB2312" w:eastAsia="仿宋_GB2312"/>
                <w:sz w:val="24"/>
              </w:rPr>
              <w:t>3. 安全要求</w:t>
            </w:r>
          </w:p>
          <w:p>
            <w:pPr>
              <w:pStyle w:val="null3"/>
              <w:ind w:firstLine="480"/>
              <w:jc w:val="left"/>
            </w:pPr>
            <w:r>
              <w:rPr>
                <w:rFonts w:ascii="仿宋_GB2312" w:hAnsi="仿宋_GB2312" w:cs="仿宋_GB2312" w:eastAsia="仿宋_GB2312"/>
                <w:sz w:val="24"/>
              </w:rPr>
              <w:t>保障系统符合等保三级、密码应用合规要求，定期开展安全漏洞扫描与渗透测试。</w:t>
            </w:r>
          </w:p>
          <w:p>
            <w:pPr>
              <w:pStyle w:val="null3"/>
              <w:ind w:firstLine="480"/>
              <w:jc w:val="left"/>
            </w:pPr>
            <w:r>
              <w:rPr>
                <w:rFonts w:ascii="仿宋_GB2312" w:hAnsi="仿宋_GB2312" w:cs="仿宋_GB2312" w:eastAsia="仿宋_GB2312"/>
                <w:sz w:val="24"/>
              </w:rPr>
              <w:t>数据备份采用</w:t>
            </w:r>
            <w:r>
              <w:rPr>
                <w:rFonts w:ascii="仿宋_GB2312" w:hAnsi="仿宋_GB2312" w:cs="仿宋_GB2312" w:eastAsia="仿宋_GB2312"/>
                <w:sz w:val="24"/>
              </w:rPr>
              <w:t>“增量备份 + 全量备份” 模式，备份数据保留期限不低于 1 年，数据恢复成功率 100%。</w:t>
            </w:r>
          </w:p>
          <w:p>
            <w:pPr>
              <w:pStyle w:val="null3"/>
              <w:ind w:firstLine="480"/>
              <w:jc w:val="left"/>
            </w:pPr>
            <w:r>
              <w:rPr>
                <w:rFonts w:ascii="仿宋_GB2312" w:hAnsi="仿宋_GB2312" w:cs="仿宋_GB2312" w:eastAsia="仿宋_GB2312"/>
                <w:sz w:val="24"/>
              </w:rPr>
              <w:t>4. 培训要求</w:t>
            </w:r>
          </w:p>
          <w:p>
            <w:pPr>
              <w:pStyle w:val="null3"/>
              <w:ind w:firstLine="480"/>
              <w:jc w:val="left"/>
            </w:pPr>
            <w:r>
              <w:rPr>
                <w:rFonts w:ascii="仿宋_GB2312" w:hAnsi="仿宋_GB2312" w:cs="仿宋_GB2312" w:eastAsia="仿宋_GB2312"/>
                <w:sz w:val="24"/>
              </w:rPr>
              <w:t>质保期</w:t>
            </w:r>
            <w:r>
              <w:rPr>
                <w:rFonts w:ascii="仿宋_GB2312" w:hAnsi="仿宋_GB2312" w:cs="仿宋_GB2312" w:eastAsia="仿宋_GB2312"/>
                <w:sz w:val="24"/>
              </w:rPr>
              <w:t>内提供不少于</w:t>
            </w:r>
            <w:r>
              <w:rPr>
                <w:rFonts w:ascii="仿宋_GB2312" w:hAnsi="仿宋_GB2312" w:cs="仿宋_GB2312" w:eastAsia="仿宋_GB2312"/>
                <w:sz w:val="24"/>
              </w:rPr>
              <w:t>2 次技术培训，覆盖系统操作、故障处置、数据管理等内容，确保使用方熟练掌握系统功能。</w:t>
            </w:r>
          </w:p>
          <w:p>
            <w:pPr>
              <w:pStyle w:val="null3"/>
              <w:ind w:firstLine="480"/>
              <w:jc w:val="left"/>
            </w:pPr>
            <w:r>
              <w:rPr>
                <w:rFonts w:ascii="仿宋_GB2312" w:hAnsi="仿宋_GB2312" w:cs="仿宋_GB2312" w:eastAsia="仿宋_GB2312"/>
                <w:sz w:val="24"/>
              </w:rPr>
              <w:t>四、其他技术要求</w:t>
            </w:r>
          </w:p>
          <w:p>
            <w:pPr>
              <w:pStyle w:val="null3"/>
              <w:ind w:firstLine="480"/>
              <w:jc w:val="left"/>
            </w:pPr>
            <w:r>
              <w:rPr>
                <w:rFonts w:ascii="仿宋_GB2312" w:hAnsi="仿宋_GB2312" w:cs="仿宋_GB2312" w:eastAsia="仿宋_GB2312"/>
                <w:sz w:val="24"/>
              </w:rPr>
              <w:t>系统架构：采用</w:t>
            </w:r>
            <w:r>
              <w:rPr>
                <w:rFonts w:ascii="仿宋_GB2312" w:hAnsi="仿宋_GB2312" w:cs="仿宋_GB2312" w:eastAsia="仿宋_GB2312"/>
                <w:sz w:val="24"/>
              </w:rPr>
              <w:t>B/S 模式，支持跨平台运行（兼容信创操作系统、浏览器），具备组件化、模块化设计，可扩展性强。</w:t>
            </w:r>
          </w:p>
          <w:p>
            <w:pPr>
              <w:pStyle w:val="null3"/>
              <w:ind w:firstLine="480"/>
              <w:jc w:val="left"/>
            </w:pPr>
            <w:r>
              <w:rPr>
                <w:rFonts w:ascii="仿宋_GB2312" w:hAnsi="仿宋_GB2312" w:cs="仿宋_GB2312" w:eastAsia="仿宋_GB2312"/>
                <w:sz w:val="24"/>
              </w:rPr>
              <w:t>性能指标：支持</w:t>
            </w:r>
            <w:r>
              <w:rPr>
                <w:rFonts w:ascii="仿宋_GB2312" w:hAnsi="仿宋_GB2312" w:cs="仿宋_GB2312" w:eastAsia="仿宋_GB2312"/>
                <w:sz w:val="24"/>
              </w:rPr>
              <w:t>500 用户并发访问，简单事务响应时间≤5 秒，复杂事务响应时间≤60 秒，统计报表生成时间≤2 分钟。</w:t>
            </w:r>
          </w:p>
          <w:p>
            <w:pPr>
              <w:pStyle w:val="null3"/>
              <w:ind w:firstLine="480"/>
              <w:jc w:val="left"/>
            </w:pPr>
            <w:r>
              <w:rPr>
                <w:rFonts w:ascii="仿宋_GB2312" w:hAnsi="仿宋_GB2312" w:cs="仿宋_GB2312" w:eastAsia="仿宋_GB2312"/>
                <w:sz w:val="24"/>
              </w:rPr>
              <w:t>国产自主可控：基础设施、底层软件、安全产品需满足国产自主可控要求，适配主流国产</w:t>
            </w:r>
            <w:r>
              <w:rPr>
                <w:rFonts w:ascii="仿宋_GB2312" w:hAnsi="仿宋_GB2312" w:cs="仿宋_GB2312" w:eastAsia="仿宋_GB2312"/>
                <w:sz w:val="24"/>
              </w:rPr>
              <w:t>CPU、操作系统、数据库、中间件。</w:t>
            </w:r>
          </w:p>
          <w:p>
            <w:pPr>
              <w:pStyle w:val="null3"/>
              <w:jc w:val="both"/>
            </w:pPr>
            <w:r>
              <w:rPr>
                <w:rFonts w:ascii="仿宋_GB2312" w:hAnsi="仿宋_GB2312" w:cs="仿宋_GB2312" w:eastAsia="仿宋_GB2312"/>
                <w:sz w:val="30"/>
                <w:b/>
              </w:rPr>
              <w:t>（二）其他要求</w:t>
            </w:r>
          </w:p>
          <w:p>
            <w:pPr>
              <w:pStyle w:val="null3"/>
              <w:ind w:firstLine="480"/>
              <w:jc w:val="left"/>
            </w:pPr>
            <w:r>
              <w:rPr>
                <w:rFonts w:ascii="仿宋_GB2312" w:hAnsi="仿宋_GB2312" w:cs="仿宋_GB2312" w:eastAsia="仿宋_GB2312"/>
                <w:sz w:val="24"/>
              </w:rPr>
              <w:t>1、系统建成目标</w:t>
            </w:r>
          </w:p>
          <w:p>
            <w:pPr>
              <w:pStyle w:val="null3"/>
              <w:ind w:firstLine="480"/>
              <w:jc w:val="left"/>
            </w:pPr>
            <w:r>
              <w:rPr>
                <w:rFonts w:ascii="仿宋_GB2312" w:hAnsi="仿宋_GB2312" w:cs="仿宋_GB2312" w:eastAsia="仿宋_GB2312"/>
                <w:sz w:val="24"/>
              </w:rPr>
              <w:t>全面落实国家、省、市关于城市基础设施生命线安全工程的相关文件要求，紧扣</w:t>
            </w:r>
            <w:r>
              <w:rPr>
                <w:rFonts w:ascii="仿宋_GB2312" w:hAnsi="仿宋_GB2312" w:cs="仿宋_GB2312" w:eastAsia="仿宋_GB2312"/>
                <w:sz w:val="24"/>
              </w:rPr>
              <w:t>“信息化、智能化提升城市基础设施安全运行水平” 核心导向，构建覆盖咸阳市中心城区及重点开发区的城市生命线安全运行管理体系，增强城市安全韧性和综合承载能力，切实保障人民群众生命财产安全，满足美好生活需要。</w:t>
            </w:r>
          </w:p>
          <w:p>
            <w:pPr>
              <w:pStyle w:val="null3"/>
              <w:ind w:firstLine="480"/>
              <w:jc w:val="left"/>
            </w:pPr>
            <w:r>
              <w:rPr>
                <w:rFonts w:ascii="仿宋_GB2312" w:hAnsi="仿宋_GB2312" w:cs="仿宋_GB2312" w:eastAsia="仿宋_GB2312"/>
                <w:sz w:val="24"/>
              </w:rPr>
              <w:t>实现对燃气、排水、桥梁、供水、供热、地下管网等核心城市基础设施的全生命周期安全监管，强化风险隐患的早期识别、精准预警和快速处置能力，有效防范燃气爆炸、桥梁坍塌、城市内涝、管网泄漏及路面塌陷等重大安全事故。</w:t>
            </w:r>
          </w:p>
          <w:p>
            <w:pPr>
              <w:pStyle w:val="null3"/>
              <w:ind w:firstLine="480"/>
              <w:jc w:val="left"/>
            </w:pPr>
            <w:r>
              <w:rPr>
                <w:rFonts w:ascii="仿宋_GB2312" w:hAnsi="仿宋_GB2312" w:cs="仿宋_GB2312" w:eastAsia="仿宋_GB2312"/>
                <w:sz w:val="24"/>
              </w:rPr>
              <w:t>打通政府部门、行业监管单位与运营企业之间的数据壁垒，建立高效协同的工作机制，落实政府、监管部门、企业三方安全责任，推动城市生命线安全运行管理理念、手段和模式创新，提升管理效率和精细化水平。</w:t>
            </w:r>
          </w:p>
          <w:p>
            <w:pPr>
              <w:pStyle w:val="null3"/>
              <w:ind w:firstLine="480"/>
              <w:jc w:val="left"/>
            </w:pPr>
            <w:r>
              <w:rPr>
                <w:rFonts w:ascii="仿宋_GB2312" w:hAnsi="仿宋_GB2312" w:cs="仿宋_GB2312" w:eastAsia="仿宋_GB2312"/>
                <w:sz w:val="24"/>
              </w:rPr>
              <w:t>实现与省级监管平台的互联互通、数据共享，形成上下联动的监管格局，为城市安全决策提供科学的数据支撑，全面提升咸阳市城市安全保障水平和应急响应能力。</w:t>
            </w:r>
          </w:p>
          <w:p>
            <w:pPr>
              <w:pStyle w:val="null3"/>
              <w:ind w:firstLine="480"/>
              <w:jc w:val="left"/>
            </w:pPr>
            <w:r>
              <w:rPr>
                <w:rFonts w:ascii="仿宋_GB2312" w:hAnsi="仿宋_GB2312" w:cs="仿宋_GB2312" w:eastAsia="仿宋_GB2312"/>
                <w:sz w:val="24"/>
              </w:rPr>
              <w:t>2、系统建成成果</w:t>
            </w:r>
          </w:p>
          <w:p>
            <w:pPr>
              <w:pStyle w:val="null3"/>
              <w:ind w:firstLine="480"/>
              <w:jc w:val="left"/>
            </w:pPr>
            <w:r>
              <w:rPr>
                <w:rFonts w:ascii="仿宋_GB2312" w:hAnsi="仿宋_GB2312" w:cs="仿宋_GB2312" w:eastAsia="仿宋_GB2312"/>
                <w:sz w:val="24"/>
              </w:rPr>
              <w:t>完善的应用系统体系：建成咸阳市城市生命线安全运行综合安全应用系统及燃气、排水、桥梁、供水、供热、地下管网防护六个专项应用系统，各系统功能贴合实际监管需求，运行稳定、操作便捷，可实现对不同领域基础设施安全状态的精准监管。</w:t>
            </w:r>
          </w:p>
          <w:p>
            <w:pPr>
              <w:pStyle w:val="null3"/>
              <w:ind w:firstLine="480"/>
              <w:jc w:val="left"/>
            </w:pPr>
            <w:r>
              <w:rPr>
                <w:rFonts w:ascii="仿宋_GB2312" w:hAnsi="仿宋_GB2312" w:cs="仿宋_GB2312" w:eastAsia="仿宋_GB2312"/>
                <w:sz w:val="24"/>
              </w:rPr>
              <w:t>高效的数据互通体系：完成与相关企事业单位现有信息化系统的数据对接，整合各类数据资源，形成统一的数据资源池，打破数据孤岛，实现跨部门、跨层级、跨企业的数据共享和业务协同，并满足与省级监管平台的数据交互要求。</w:t>
            </w:r>
          </w:p>
          <w:p>
            <w:pPr>
              <w:pStyle w:val="null3"/>
              <w:ind w:firstLine="480"/>
              <w:jc w:val="left"/>
            </w:pPr>
            <w:r>
              <w:rPr>
                <w:rFonts w:ascii="仿宋_GB2312" w:hAnsi="仿宋_GB2312" w:cs="仿宋_GB2312" w:eastAsia="仿宋_GB2312"/>
                <w:sz w:val="24"/>
              </w:rPr>
              <w:t>智能的监测预警能力：通过物联感知系统、视频综合系统、城市三维数字孪生系统等应用支撑软件的协同运作，实现对燃气、排水、桥梁等高风险点位的实时监测，能够精准捕捉监测指标异常变化，自动生成预警信息并分级推送，为风险管控赢得时间。</w:t>
            </w:r>
          </w:p>
          <w:p>
            <w:pPr>
              <w:pStyle w:val="null3"/>
              <w:ind w:firstLine="480"/>
              <w:jc w:val="left"/>
            </w:pPr>
            <w:r>
              <w:rPr>
                <w:rFonts w:ascii="仿宋_GB2312" w:hAnsi="仿宋_GB2312" w:cs="仿宋_GB2312" w:eastAsia="仿宋_GB2312"/>
                <w:sz w:val="24"/>
              </w:rPr>
              <w:t>闭环的应急处置机制：建立</w:t>
            </w:r>
            <w:r>
              <w:rPr>
                <w:rFonts w:ascii="仿宋_GB2312" w:hAnsi="仿宋_GB2312" w:cs="仿宋_GB2312" w:eastAsia="仿宋_GB2312"/>
                <w:sz w:val="24"/>
              </w:rPr>
              <w:t>“监测 — 分析 — 预警 — 派单 — 处置 — 反馈” 的全流程闭环管理流程，配套完善的应急处置流程和办法，实现行业主管部门、运营企业之间的信息互通、协调联动、快速响应，显著提升风险隐患应急处置效率。</w:t>
            </w:r>
          </w:p>
          <w:p>
            <w:pPr>
              <w:pStyle w:val="null3"/>
              <w:ind w:firstLine="480"/>
              <w:jc w:val="left"/>
            </w:pPr>
            <w:r>
              <w:rPr>
                <w:rFonts w:ascii="仿宋_GB2312" w:hAnsi="仿宋_GB2312" w:cs="仿宋_GB2312" w:eastAsia="仿宋_GB2312"/>
                <w:sz w:val="24"/>
              </w:rPr>
              <w:t>健全的长效管理体系：形成</w:t>
            </w:r>
            <w:r>
              <w:rPr>
                <w:rFonts w:ascii="仿宋_GB2312" w:hAnsi="仿宋_GB2312" w:cs="仿宋_GB2312" w:eastAsia="仿宋_GB2312"/>
                <w:sz w:val="24"/>
              </w:rPr>
              <w:t>“综合监管 + 智慧监测” 的常态化管理架构，落实政府统筹、行业监管、企业主体的三方责任，同步建成统一运维平台，保障系统长期稳定运行，为城市基础设施生命线安全运行提供长效技术支撑和管理保障。</w:t>
            </w:r>
          </w:p>
          <w:p>
            <w:pPr>
              <w:pStyle w:val="null3"/>
              <w:ind w:firstLine="480"/>
              <w:jc w:val="left"/>
            </w:pPr>
            <w:r>
              <w:rPr>
                <w:rFonts w:ascii="仿宋_GB2312" w:hAnsi="仿宋_GB2312" w:cs="仿宋_GB2312" w:eastAsia="仿宋_GB2312"/>
                <w:sz w:val="24"/>
              </w:rPr>
              <w:t>可视化的决策支撑工具：依托城市三维数字孪生系统等技术，实现城市基础设施安全运行状态的可视化呈现，能够为城市安全风险评估、政策制定、应急指挥等提供数据化、可视化的决策依据，提升城市安全管理的科学性和前瞻性。</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标的名称：咸阳市城市基础设施生命线安全工程二标段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32"/>
                <w:b/>
                <w:color w:val="000000"/>
              </w:rPr>
              <w:t>第三章</w:t>
            </w:r>
            <w:r>
              <w:rPr>
                <w:rFonts w:ascii="仿宋_GB2312" w:hAnsi="仿宋_GB2312" w:cs="仿宋_GB2312" w:eastAsia="仿宋_GB2312"/>
                <w:sz w:val="32"/>
                <w:b/>
                <w:color w:val="000000"/>
              </w:rPr>
              <w:t xml:space="preserve">  </w:t>
            </w:r>
            <w:r>
              <w:rPr>
                <w:rFonts w:ascii="仿宋_GB2312" w:hAnsi="仿宋_GB2312" w:cs="仿宋_GB2312" w:eastAsia="仿宋_GB2312"/>
                <w:sz w:val="32"/>
                <w:b/>
                <w:color w:val="000000"/>
              </w:rPr>
              <w:t>采购内容及要求</w:t>
            </w:r>
          </w:p>
          <w:p>
            <w:pPr>
              <w:pStyle w:val="null3"/>
              <w:jc w:val="both"/>
            </w:pPr>
            <w:r>
              <w:rPr>
                <w:rFonts w:ascii="仿宋_GB2312" w:hAnsi="仿宋_GB2312" w:cs="仿宋_GB2312" w:eastAsia="仿宋_GB2312"/>
                <w:sz w:val="28"/>
                <w:b/>
              </w:rPr>
              <w:t>一、建设目标</w:t>
            </w:r>
          </w:p>
          <w:p>
            <w:pPr>
              <w:pStyle w:val="null3"/>
              <w:ind w:firstLine="420"/>
              <w:jc w:val="both"/>
            </w:pPr>
            <w:r>
              <w:rPr>
                <w:rFonts w:ascii="仿宋_GB2312" w:hAnsi="仿宋_GB2312" w:cs="仿宋_GB2312" w:eastAsia="仿宋_GB2312"/>
                <w:sz w:val="24"/>
              </w:rPr>
              <w:t>贯彻落实《中共中央办公厅国务院办公厅关于推进城市安全发展的意见》、住房城乡建设部《关于推进城市基础设施生命线安全工程的指导意见》（建督〔</w:t>
            </w:r>
            <w:r>
              <w:rPr>
                <w:rFonts w:ascii="仿宋_GB2312" w:hAnsi="仿宋_GB2312" w:cs="仿宋_GB2312" w:eastAsia="仿宋_GB2312"/>
                <w:sz w:val="24"/>
              </w:rPr>
              <w:t>2023〕63号）、陕西省住建厅《关于加快推进城市基础设施生命线安全工程建设的通知》（陕建市发〔2023〕1006号）等文件要求，深入落实总书记重要批示精神，以促进各地提高城市基础设施安全运行的信息化、智能化水平为指向，建设咸阳市城市基础设施生命线安全工程，增强对咸阳市城市生命线安全运行工作的监督、指导和评价能力，推动全市城市生命线安全运行创新管理理念、手段和模式，不断提升城市生命线安全运行监测水平，提升全市城市安全韧性和综合承载能力，满足人民群众日益增长的美好生活需要。健全公共安全体系，提升城市安全韧性，保障人民生命财产安全，全面提高城市安全保障水平。</w:t>
            </w:r>
          </w:p>
          <w:p>
            <w:pPr>
              <w:pStyle w:val="null3"/>
              <w:ind w:firstLine="420"/>
              <w:jc w:val="both"/>
            </w:pPr>
            <w:r>
              <w:rPr>
                <w:rFonts w:ascii="仿宋_GB2312" w:hAnsi="仿宋_GB2312" w:cs="仿宋_GB2312" w:eastAsia="仿宋_GB2312"/>
                <w:sz w:val="24"/>
              </w:rPr>
              <w:t>当前，我国城市基础设施安全运行形势严峻复杂，各类风险易发多发，迫切需要采取有力有效措施，提高城市安全韧性。城市生命线工程，是指运用现代信息技术，对城市燃气、桥梁、隧道、供水、排水、热力、管廊等城市基础设施运行状况进行实时监测、动态预警、精准溯源、协同处置，及早发现和管控风险隐患，有效防范事故发生，保障城市基础设施生命线安全运行的系统性工程。</w:t>
            </w:r>
          </w:p>
          <w:p>
            <w:pPr>
              <w:pStyle w:val="null3"/>
              <w:jc w:val="both"/>
            </w:pPr>
            <w:r>
              <w:rPr>
                <w:rFonts w:ascii="仿宋_GB2312" w:hAnsi="仿宋_GB2312" w:cs="仿宋_GB2312" w:eastAsia="仿宋_GB2312"/>
                <w:sz w:val="28"/>
                <w:b/>
              </w:rPr>
              <w:t>二、建设内容</w:t>
            </w:r>
          </w:p>
          <w:p>
            <w:pPr>
              <w:pStyle w:val="null3"/>
              <w:ind w:firstLine="420"/>
              <w:jc w:val="both"/>
            </w:pPr>
            <w:r>
              <w:rPr>
                <w:rFonts w:ascii="仿宋_GB2312" w:hAnsi="仿宋_GB2312" w:cs="仿宋_GB2312" w:eastAsia="仿宋_GB2312"/>
                <w:sz w:val="24"/>
              </w:rPr>
              <w:t>城市基础设施生命线安全工程是以公共安全科技为核心，以物联网、云计算、大数据等信息技术为支撑，对城市燃气、供水、排水、桥梁、隧道、综合管廊等城市基础设施的安全运行状态搭建监测物联网，建立监测运营体系，形成常态化监测、动态化预警、精准化溯源、协同化处置等核心能力，科学预防燃气爆炸、桥梁坍塌、城市内涝、管网泄漏及路面塌陷等城市基础设施生命线重大安全风险。</w:t>
            </w:r>
          </w:p>
          <w:p>
            <w:pPr>
              <w:pStyle w:val="null3"/>
              <w:ind w:firstLine="420"/>
              <w:jc w:val="both"/>
            </w:pPr>
            <w:r>
              <w:rPr>
                <w:rFonts w:ascii="仿宋_GB2312" w:hAnsi="仿宋_GB2312" w:cs="仿宋_GB2312" w:eastAsia="仿宋_GB2312"/>
                <w:sz w:val="24"/>
              </w:rPr>
              <w:t>根据城市基础设施生命线安全风险评估结果，对监测领域的风险源、风险事件及其原因和潜在后果进行归类，并结合区域地质灾害、水文、气象等实际情况，重点关注地下空间开发强度高的区域，并据此明确物联智能感知网监测方案。城市生命线工程物联智能感知网的建设应根据监测对象的安全需求，通过风险评估和现场勘察进行确定。监测感知设备位置和数量应根据监测对象的类型和特点及监测方法的要求综合确定，突出重点部位，注重经济性和实用性；应满足反映监测指标变化规律和分析监测对象安全运行状态的要求；监测点位选择应便于监测设备安装和维护；监测系统监测精度、时间和传输频率等技术指标的确定应符合国家现行有关标准的相应规定，并满足对监测对象安全运行状态分析的要求。</w:t>
            </w:r>
          </w:p>
          <w:p>
            <w:pPr>
              <w:pStyle w:val="null3"/>
              <w:ind w:firstLine="420"/>
              <w:jc w:val="both"/>
            </w:pPr>
            <w:r>
              <w:rPr>
                <w:rFonts w:ascii="仿宋_GB2312" w:hAnsi="仿宋_GB2312" w:cs="仿宋_GB2312" w:eastAsia="仿宋_GB2312"/>
                <w:sz w:val="24"/>
              </w:rPr>
              <w:t>遵照《中共中央办公厅</w:t>
            </w:r>
            <w:r>
              <w:rPr>
                <w:rFonts w:ascii="仿宋_GB2312" w:hAnsi="仿宋_GB2312" w:cs="仿宋_GB2312" w:eastAsia="仿宋_GB2312"/>
                <w:sz w:val="24"/>
              </w:rPr>
              <w:t>国务院办公厅关于推进新型城市基础设施建设打造韧性城市的意见》、住房城乡建设部《关于推进城市基础设施生命线安全工程的指导意见》（建督〔</w:t>
            </w:r>
            <w:r>
              <w:rPr>
                <w:rFonts w:ascii="仿宋_GB2312" w:hAnsi="仿宋_GB2312" w:cs="仿宋_GB2312" w:eastAsia="仿宋_GB2312"/>
                <w:sz w:val="24"/>
              </w:rPr>
              <w:t>2023〕63号）和陕西省住建厅《关于加快推进城市基础设施生命线安全工程建设的通知》（陕建市发〔2023〕1006号）等文件要求，结合咸阳市实际情况推进城市生命线工程建设，根据咸阳市城市安全风险评估结果，按照“综合监管+智慧监测”的架构搭建咸阳市城市生命线安全运行综合安全应用，以及燃气、排水、桥梁、供水、供热、地下管网六个专项应用系统，充分对接相关企事业单位现有信息化系统和数据资源，打通数据壁垒，与省级监管平台实现互联互通、数据共享，同步对燃气、排水、桥梁领域的高风险点位布设物联感知监测设备，增强重点区域的实时监测预警能力</w:t>
            </w:r>
            <w:r>
              <w:rPr>
                <w:rFonts w:ascii="仿宋_GB2312" w:hAnsi="仿宋_GB2312" w:cs="仿宋_GB2312" w:eastAsia="仿宋_GB2312"/>
                <w:sz w:val="24"/>
              </w:rPr>
              <w:t>，并不断完善城市生命线工程风险隐患应急处置流程和办法，建立健全行业主管部门、运营企业之间信息互通、协调联动、快速响应、协同处置的工作机制，实现从监测、分析、预警、派单到处置的闭环管理，有效落实政府、行业监管部门和企业三方责任，长效保障城市基础设施生命线的安全运行。</w:t>
            </w:r>
          </w:p>
          <w:p>
            <w:pPr>
              <w:pStyle w:val="null3"/>
              <w:jc w:val="both"/>
            </w:pPr>
            <w:r>
              <w:rPr>
                <w:rFonts w:ascii="仿宋_GB2312" w:hAnsi="仿宋_GB2312" w:cs="仿宋_GB2312" w:eastAsia="仿宋_GB2312"/>
                <w:sz w:val="28"/>
                <w:b/>
              </w:rPr>
              <w:t>三、建设规模</w:t>
            </w:r>
          </w:p>
          <w:p>
            <w:pPr>
              <w:pStyle w:val="null3"/>
              <w:ind w:firstLine="420"/>
              <w:jc w:val="both"/>
            </w:pPr>
            <w:r>
              <w:rPr>
                <w:rFonts w:ascii="仿宋_GB2312" w:hAnsi="仿宋_GB2312" w:cs="仿宋_GB2312" w:eastAsia="仿宋_GB2312"/>
                <w:sz w:val="24"/>
              </w:rPr>
              <w:t>本次建设包括咸阳市中心城区的秦都区、渭城区，以及经开区、高新区两处开发区，建设城市生命线安全运行综合监管信息系统，包括燃气、排水、桥梁、供水、供热、地下管网防护六个专项应用系统，对燃气、排水、桥梁的高风险点位布设物联感知监测设备</w:t>
            </w:r>
            <w:r>
              <w:rPr>
                <w:rFonts w:ascii="仿宋_GB2312" w:hAnsi="仿宋_GB2312" w:cs="仿宋_GB2312" w:eastAsia="仿宋_GB2312"/>
                <w:sz w:val="24"/>
              </w:rPr>
              <w:t>。</w:t>
            </w:r>
          </w:p>
          <w:p>
            <w:pPr>
              <w:pStyle w:val="null3"/>
              <w:jc w:val="both"/>
            </w:pPr>
            <w:r>
              <w:rPr>
                <w:rFonts w:ascii="仿宋_GB2312" w:hAnsi="仿宋_GB2312" w:cs="仿宋_GB2312" w:eastAsia="仿宋_GB2312"/>
                <w:sz w:val="28"/>
                <w:b/>
              </w:rPr>
              <w:t>四、建设要求</w:t>
            </w:r>
          </w:p>
          <w:p>
            <w:pPr>
              <w:pStyle w:val="null3"/>
              <w:ind w:firstLine="422"/>
              <w:jc w:val="both"/>
            </w:pPr>
            <w:r>
              <w:rPr>
                <w:rFonts w:ascii="仿宋_GB2312" w:hAnsi="仿宋_GB2312" w:cs="仿宋_GB2312" w:eastAsia="仿宋_GB2312"/>
                <w:sz w:val="24"/>
                <w:b/>
              </w:rPr>
              <w:t>咸阳市城市基础设施生命线安全工程二标段</w:t>
            </w:r>
            <w:r>
              <w:rPr>
                <w:rFonts w:ascii="仿宋_GB2312" w:hAnsi="仿宋_GB2312" w:cs="仿宋_GB2312" w:eastAsia="仿宋_GB2312"/>
                <w:sz w:val="24"/>
              </w:rPr>
              <w:t>包括燃气前端监测感知设备（可燃气体智能监测仪）、排水前端监测感知设备（液位计、流量计、水位计、雨量计、摄像机等）、桥梁前端监测感知设备（静力水准仪、应变计、索力应变计、倾角计、加速度计、温度计）、排水专项数据普查及硬件设备系统集成服务等。</w:t>
            </w:r>
          </w:p>
          <w:p>
            <w:pPr>
              <w:pStyle w:val="null3"/>
              <w:jc w:val="both"/>
            </w:pPr>
            <w:r>
              <w:rPr>
                <w:rFonts w:ascii="仿宋_GB2312" w:hAnsi="仿宋_GB2312" w:cs="仿宋_GB2312" w:eastAsia="仿宋_GB2312"/>
                <w:sz w:val="30"/>
                <w:b/>
              </w:rPr>
              <w:t>（一）技术要求</w:t>
            </w:r>
          </w:p>
          <w:p>
            <w:pPr>
              <w:pStyle w:val="null3"/>
            </w:pPr>
            <w:r>
              <w:rPr>
                <w:rFonts w:ascii="仿宋_GB2312" w:hAnsi="仿宋_GB2312" w:cs="仿宋_GB2312" w:eastAsia="仿宋_GB2312"/>
                <w:sz w:val="28"/>
                <w:b/>
              </w:rPr>
              <w:t>前端安全监测设备</w:t>
            </w:r>
          </w:p>
          <w:tbl>
            <w:tblPr>
              <w:tblInd w:type="dxa" w:w="90"/>
              <w:tblBorders>
                <w:top w:val="none" w:color="000000" w:sz="4"/>
                <w:left w:val="none" w:color="000000" w:sz="4"/>
                <w:bottom w:val="none" w:color="000000" w:sz="4"/>
                <w:right w:val="none" w:color="000000" w:sz="4"/>
                <w:insideH w:val="none"/>
                <w:insideV w:val="none"/>
              </w:tblBorders>
            </w:tblPr>
            <w:tblGrid>
              <w:gridCol w:w="189"/>
              <w:gridCol w:w="300"/>
              <w:gridCol w:w="1337"/>
              <w:gridCol w:w="170"/>
              <w:gridCol w:w="189"/>
              <w:gridCol w:w="356"/>
            </w:tblGrid>
            <w:tr>
              <w:tc>
                <w:tcPr>
                  <w:tcW w:type="dxa" w:w="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序号</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设备名称</w:t>
                  </w:r>
                </w:p>
              </w:tc>
              <w:tc>
                <w:tcPr>
                  <w:tcW w:type="dxa" w:w="1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技术参数</w:t>
                  </w:r>
                </w:p>
              </w:tc>
              <w:tc>
                <w:tcPr>
                  <w:tcW w:type="dxa" w:w="1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单位</w:t>
                  </w:r>
                </w:p>
              </w:tc>
              <w:tc>
                <w:tcPr>
                  <w:tcW w:type="dxa" w:w="1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数量</w:t>
                  </w:r>
                </w:p>
              </w:tc>
              <w:tc>
                <w:tcPr>
                  <w:tcW w:type="dxa" w:w="3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说明</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一</w:t>
                  </w:r>
                </w:p>
              </w:tc>
              <w:tc>
                <w:tcPr>
                  <w:tcW w:type="dxa" w:w="163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燃气前端监测感知设备</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可燃气体智能监测仪(相邻空间)</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1.监测指标：包括甲烷、水浸等；</w:t>
                  </w:r>
                </w:p>
                <w:p>
                  <w:pPr>
                    <w:pStyle w:val="null3"/>
                    <w:jc w:val="both"/>
                  </w:pPr>
                  <w:r>
                    <w:rPr>
                      <w:rFonts w:ascii="仿宋_GB2312" w:hAnsi="仿宋_GB2312" w:cs="仿宋_GB2312" w:eastAsia="仿宋_GB2312"/>
                      <w:sz w:val="22"/>
                      <w:color w:val="000000"/>
                    </w:rPr>
                    <w:t>2.供电方式：≥3.6V 114AH锂亚电池供电；</w:t>
                  </w:r>
                </w:p>
                <w:p>
                  <w:pPr>
                    <w:pStyle w:val="null3"/>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3.传感器类型：激光传感器；</w:t>
                  </w:r>
                </w:p>
                <w:p>
                  <w:pPr>
                    <w:pStyle w:val="null3"/>
                    <w:jc w:val="both"/>
                  </w:pPr>
                  <w:r>
                    <w:rPr>
                      <w:rFonts w:ascii="仿宋_GB2312" w:hAnsi="仿宋_GB2312" w:cs="仿宋_GB2312" w:eastAsia="仿宋_GB2312"/>
                      <w:sz w:val="22"/>
                      <w:color w:val="000000"/>
                    </w:rPr>
                    <w:t>4.通讯方式：NB-IoT/GPRS；</w:t>
                  </w:r>
                </w:p>
                <w:p>
                  <w:pPr>
                    <w:pStyle w:val="null3"/>
                    <w:jc w:val="both"/>
                  </w:pPr>
                  <w:r>
                    <w:rPr>
                      <w:rFonts w:ascii="仿宋_GB2312" w:hAnsi="仿宋_GB2312" w:cs="仿宋_GB2312" w:eastAsia="仿宋_GB2312"/>
                      <w:sz w:val="22"/>
                      <w:color w:val="000000"/>
                    </w:rPr>
                    <w:t>5.检测气体：甲烷（CH4）；</w:t>
                  </w:r>
                </w:p>
                <w:p>
                  <w:pPr>
                    <w:pStyle w:val="null3"/>
                    <w:jc w:val="both"/>
                  </w:pPr>
                  <w:r>
                    <w:rPr>
                      <w:rFonts w:ascii="仿宋_GB2312" w:hAnsi="仿宋_GB2312" w:cs="仿宋_GB2312" w:eastAsia="仿宋_GB2312"/>
                      <w:sz w:val="22"/>
                      <w:color w:val="000000"/>
                    </w:rPr>
                    <w:t>▲6.测量范围：0-20% vol；</w:t>
                  </w:r>
                </w:p>
                <w:p>
                  <w:pPr>
                    <w:pStyle w:val="null3"/>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7.工作温度：-45℃~70℃；</w:t>
                  </w:r>
                </w:p>
                <w:p>
                  <w:pPr>
                    <w:pStyle w:val="null3"/>
                    <w:jc w:val="both"/>
                  </w:pPr>
                  <w:r>
                    <w:rPr>
                      <w:rFonts w:ascii="仿宋_GB2312" w:hAnsi="仿宋_GB2312" w:cs="仿宋_GB2312" w:eastAsia="仿宋_GB2312"/>
                      <w:sz w:val="22"/>
                      <w:color w:val="000000"/>
                    </w:rPr>
                    <w:t>8.浸水检测：具备浸水检测功能；</w:t>
                  </w:r>
                </w:p>
                <w:p>
                  <w:pPr>
                    <w:pStyle w:val="null3"/>
                    <w:jc w:val="both"/>
                  </w:pPr>
                  <w:r>
                    <w:rPr>
                      <w:rFonts w:ascii="仿宋_GB2312" w:hAnsi="仿宋_GB2312" w:cs="仿宋_GB2312" w:eastAsia="仿宋_GB2312"/>
                      <w:sz w:val="22"/>
                      <w:color w:val="000000"/>
                    </w:rPr>
                    <w:t>9.定位功能：北斗；</w:t>
                  </w:r>
                </w:p>
                <w:p>
                  <w:pPr>
                    <w:pStyle w:val="null3"/>
                    <w:jc w:val="both"/>
                  </w:pPr>
                  <w:r>
                    <w:rPr>
                      <w:rFonts w:ascii="仿宋_GB2312" w:hAnsi="仿宋_GB2312" w:cs="仿宋_GB2312" w:eastAsia="仿宋_GB2312"/>
                      <w:sz w:val="22"/>
                      <w:color w:val="000000"/>
                    </w:rPr>
                    <w:t>10.设备功能：低电量报警功能等；</w:t>
                  </w:r>
                </w:p>
                <w:p>
                  <w:pPr>
                    <w:pStyle w:val="null3"/>
                    <w:jc w:val="both"/>
                  </w:pPr>
                  <w:r>
                    <w:rPr>
                      <w:rFonts w:ascii="仿宋_GB2312" w:hAnsi="仿宋_GB2312" w:cs="仿宋_GB2312" w:eastAsia="仿宋_GB2312"/>
                      <w:sz w:val="22"/>
                      <w:color w:val="000000"/>
                    </w:rPr>
                    <w:t>11.采集频率： ≥5 分钟/次（可调，标准状态 30 分钟一次，事故状态根据可燃气体浓度智能调节采集频率）；</w:t>
                  </w:r>
                </w:p>
                <w:p>
                  <w:pPr>
                    <w:pStyle w:val="null3"/>
                    <w:jc w:val="both"/>
                  </w:pPr>
                  <w:r>
                    <w:rPr>
                      <w:rFonts w:ascii="仿宋_GB2312" w:hAnsi="仿宋_GB2312" w:cs="仿宋_GB2312" w:eastAsia="仿宋_GB2312"/>
                      <w:sz w:val="22"/>
                      <w:color w:val="000000"/>
                    </w:rPr>
                    <w:t>12.传输频率： ≥5 分钟/次（可调，标准状态 24 小时一次，事故状态自动实时传输，可智能调节）；</w:t>
                  </w:r>
                </w:p>
                <w:p>
                  <w:pPr>
                    <w:pStyle w:val="null3"/>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13.防护等级：盐雾试验≥660小时；</w:t>
                  </w:r>
                </w:p>
                <w:p>
                  <w:pPr>
                    <w:pStyle w:val="null3"/>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14.防护等级≥IP68；</w:t>
                  </w:r>
                </w:p>
                <w:p>
                  <w:pPr>
                    <w:pStyle w:val="null3"/>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15.防爆等级≥ Ex ib IIB T4 Gb；</w:t>
                  </w:r>
                </w:p>
                <w:p>
                  <w:pPr>
                    <w:pStyle w:val="null3"/>
                    <w:jc w:val="both"/>
                  </w:pPr>
                  <w:r>
                    <w:rPr>
                      <w:rFonts w:ascii="仿宋_GB2312" w:hAnsi="仿宋_GB2312" w:cs="仿宋_GB2312" w:eastAsia="仿宋_GB2312"/>
                      <w:sz w:val="22"/>
                      <w:color w:val="000000"/>
                    </w:rPr>
                    <w:t>16.质保要求：整机运维质保 3 年。</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558</w:t>
                  </w:r>
                </w:p>
              </w:tc>
              <w:tc>
                <w:tcPr>
                  <w:tcW w:type="dxa" w:w="3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二</w:t>
                  </w:r>
                </w:p>
              </w:tc>
              <w:tc>
                <w:tcPr>
                  <w:tcW w:type="dxa" w:w="163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排水前端监测感知设备</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163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排水前端设备</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1.1</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管网液位计</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1.监测指标：不限于水位等；</w:t>
                  </w:r>
                </w:p>
                <w:p>
                  <w:pPr>
                    <w:pStyle w:val="null3"/>
                    <w:jc w:val="both"/>
                  </w:pPr>
                  <w:r>
                    <w:rPr>
                      <w:rFonts w:ascii="仿宋_GB2312" w:hAnsi="仿宋_GB2312" w:cs="仿宋_GB2312" w:eastAsia="仿宋_GB2312"/>
                      <w:sz w:val="22"/>
                      <w:color w:val="000000"/>
                    </w:rPr>
                    <w:t>2.测量原理：雷达+压力测量原理；</w:t>
                  </w:r>
                </w:p>
                <w:p>
                  <w:pPr>
                    <w:pStyle w:val="null3"/>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3.测量范围：雷达水位量程0-40m，压力式水位量程0-20m；</w:t>
                  </w:r>
                </w:p>
                <w:p>
                  <w:pPr>
                    <w:pStyle w:val="null3"/>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4.测量精度：≤±0.5%F.S；</w:t>
                  </w:r>
                </w:p>
                <w:p>
                  <w:pPr>
                    <w:pStyle w:val="null3"/>
                    <w:jc w:val="both"/>
                  </w:pPr>
                  <w:r>
                    <w:rPr>
                      <w:rFonts w:ascii="仿宋_GB2312" w:hAnsi="仿宋_GB2312" w:cs="仿宋_GB2312" w:eastAsia="仿宋_GB2312"/>
                      <w:sz w:val="22"/>
                      <w:color w:val="000000"/>
                    </w:rPr>
                    <w:t>5.远程通讯：NB/4G 无线传输；</w:t>
                  </w:r>
                </w:p>
                <w:p>
                  <w:pPr>
                    <w:pStyle w:val="null3"/>
                    <w:jc w:val="both"/>
                  </w:pPr>
                  <w:r>
                    <w:rPr>
                      <w:rFonts w:ascii="仿宋_GB2312" w:hAnsi="仿宋_GB2312" w:cs="仿宋_GB2312" w:eastAsia="仿宋_GB2312"/>
                      <w:sz w:val="22"/>
                      <w:color w:val="000000"/>
                    </w:rPr>
                    <w:t>6.供电方式：≥114AH 锂亚电池供电（可选≥42AH 可充电锂亚电池）；</w:t>
                  </w:r>
                </w:p>
                <w:p>
                  <w:pPr>
                    <w:pStyle w:val="null3"/>
                    <w:jc w:val="both"/>
                  </w:pPr>
                  <w:r>
                    <w:rPr>
                      <w:rFonts w:ascii="仿宋_GB2312" w:hAnsi="仿宋_GB2312" w:cs="仿宋_GB2312" w:eastAsia="仿宋_GB2312"/>
                      <w:sz w:val="22"/>
                      <w:color w:val="000000"/>
                    </w:rPr>
                    <w:t>7.电池续航：可连续工作≥5年（按采集 5 分钟/次，上传30 分钟/次计，1 年无需充电/换电）；</w:t>
                  </w:r>
                </w:p>
                <w:p>
                  <w:pPr>
                    <w:pStyle w:val="null3"/>
                    <w:jc w:val="both"/>
                  </w:pPr>
                  <w:r>
                    <w:rPr>
                      <w:rFonts w:ascii="仿宋_GB2312" w:hAnsi="仿宋_GB2312" w:cs="仿宋_GB2312" w:eastAsia="仿宋_GB2312"/>
                      <w:sz w:val="22"/>
                      <w:color w:val="000000"/>
                    </w:rPr>
                    <w:t>8.设备功能：断点续传等功能；</w:t>
                  </w:r>
                </w:p>
                <w:p>
                  <w:pPr>
                    <w:pStyle w:val="null3"/>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9.防护等级：防护等级≥IP68；</w:t>
                  </w:r>
                </w:p>
                <w:p>
                  <w:pPr>
                    <w:pStyle w:val="null3"/>
                    <w:jc w:val="both"/>
                  </w:pPr>
                  <w:r>
                    <w:rPr>
                      <w:rFonts w:ascii="仿宋_GB2312" w:hAnsi="仿宋_GB2312" w:cs="仿宋_GB2312" w:eastAsia="仿宋_GB2312"/>
                      <w:sz w:val="22"/>
                      <w:color w:val="000000"/>
                    </w:rPr>
                    <w:t>10.质保要求：整机运维质保 3 年</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套</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64</w:t>
                  </w:r>
                </w:p>
              </w:tc>
              <w:tc>
                <w:tcPr>
                  <w:tcW w:type="dxa" w:w="3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管网雨水管处布放64处</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1.2</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管网流量计</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1.测量指标：不限于流量、流速、水位、温度等；</w:t>
                  </w:r>
                  <w:r>
                    <w:br/>
                  </w:r>
                  <w:r>
                    <w:rPr>
                      <w:rFonts w:ascii="仿宋_GB2312" w:hAnsi="仿宋_GB2312" w:cs="仿宋_GB2312" w:eastAsia="仿宋_GB2312"/>
                      <w:sz w:val="21"/>
                      <w:color w:val="000000"/>
                    </w:rPr>
                    <w:t>2.测量原理：满管采用多普勒超声波原理,非满管采用多普勒雷达波原理；</w:t>
                  </w:r>
                  <w:r>
                    <w:br/>
                  </w:r>
                  <w:r>
                    <w:rPr>
                      <w:rFonts w:ascii="仿宋_GB2312" w:hAnsi="仿宋_GB2312" w:cs="仿宋_GB2312" w:eastAsia="仿宋_GB2312"/>
                      <w:sz w:val="21"/>
                      <w:color w:val="000000"/>
                    </w:rPr>
                    <w:t>3.流速范围：雷达量程0～12m/s；超声多普勒量程0～8m/s；</w:t>
                  </w:r>
                  <w:r>
                    <w:br/>
                  </w:r>
                  <w:r>
                    <w:rPr>
                      <w:rFonts w:ascii="仿宋_GB2312" w:hAnsi="仿宋_GB2312" w:cs="仿宋_GB2312" w:eastAsia="仿宋_GB2312"/>
                      <w:sz w:val="21"/>
                      <w:color w:val="000000"/>
                    </w:rPr>
                    <w:t>4.水位范围：雷达水位量程0～10m；压力式量程0～20m；</w:t>
                  </w:r>
                  <w:r>
                    <w:br/>
                  </w:r>
                  <w:r>
                    <w:rPr>
                      <w:rFonts w:ascii="仿宋_GB2312" w:hAnsi="仿宋_GB2312" w:cs="仿宋_GB2312" w:eastAsia="仿宋_GB2312"/>
                      <w:sz w:val="21"/>
                      <w:color w:val="000000"/>
                    </w:rPr>
                    <w:t>5.温度监测：无触点温度，-20～85℃；</w:t>
                  </w:r>
                  <w:r>
                    <w:br/>
                  </w:r>
                  <w:r>
                    <w:rPr>
                      <w:rFonts w:ascii="仿宋_GB2312" w:hAnsi="仿宋_GB2312" w:cs="仿宋_GB2312" w:eastAsia="仿宋_GB2312"/>
                      <w:sz w:val="21"/>
                      <w:color w:val="000000"/>
                    </w:rPr>
                    <w:t>6.通讯方式：NB/4G 无线传输；</w:t>
                  </w:r>
                  <w:r>
                    <w:br/>
                  </w:r>
                  <w:r>
                    <w:rPr>
                      <w:rFonts w:ascii="仿宋_GB2312" w:hAnsi="仿宋_GB2312" w:cs="仿宋_GB2312" w:eastAsia="仿宋_GB2312"/>
                      <w:sz w:val="21"/>
                      <w:color w:val="000000"/>
                    </w:rPr>
                    <w:t>7.供电方式：≥114AH锂亚电池供电(14.4V 30AH)可充电锂电池；</w:t>
                  </w:r>
                  <w:r>
                    <w:br/>
                  </w:r>
                  <w:r>
                    <w:rPr>
                      <w:rFonts w:ascii="仿宋_GB2312" w:hAnsi="仿宋_GB2312" w:cs="仿宋_GB2312" w:eastAsia="仿宋_GB2312"/>
                      <w:sz w:val="21"/>
                      <w:color w:val="000000"/>
                    </w:rPr>
                    <w:t>8.电池续航：3 年以上（按采集 5 分钟/次，上传30 分钟/次计，1 年无需充电/换电）；</w:t>
                  </w:r>
                  <w:r>
                    <w:br/>
                  </w:r>
                  <w:r>
                    <w:rPr>
                      <w:rFonts w:ascii="仿宋_GB2312" w:hAnsi="仿宋_GB2312" w:cs="仿宋_GB2312" w:eastAsia="仿宋_GB2312"/>
                      <w:sz w:val="21"/>
                      <w:color w:val="000000"/>
                    </w:rPr>
                    <w:t>9.设备功能：断点续传等功能；</w:t>
                  </w:r>
                  <w:r>
                    <w:br/>
                  </w:r>
                  <w:r>
                    <w:rPr>
                      <w:rFonts w:ascii="仿宋_GB2312" w:hAnsi="仿宋_GB2312" w:cs="仿宋_GB2312" w:eastAsia="仿宋_GB2312"/>
                      <w:sz w:val="22"/>
                      <w:color w:val="000000"/>
                    </w:rPr>
                    <w:t>▲</w:t>
                  </w:r>
                  <w:r>
                    <w:rPr>
                      <w:rFonts w:ascii="仿宋_GB2312" w:hAnsi="仿宋_GB2312" w:cs="仿宋_GB2312" w:eastAsia="仿宋_GB2312"/>
                      <w:sz w:val="21"/>
                      <w:color w:val="000000"/>
                    </w:rPr>
                    <w:t>10.防护等级：防护等级≥IP68；</w:t>
                  </w:r>
                  <w:r>
                    <w:br/>
                  </w:r>
                  <w:r>
                    <w:rPr>
                      <w:rFonts w:ascii="仿宋_GB2312" w:hAnsi="仿宋_GB2312" w:cs="仿宋_GB2312" w:eastAsia="仿宋_GB2312"/>
                      <w:sz w:val="21"/>
                      <w:color w:val="000000"/>
                    </w:rPr>
                    <w:t>11.质保要求：整机运维质保 3 年。</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套</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39</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管网污水管处布放39处</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1.3</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管网液位计</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1.监测指标：不限于水位等；</w:t>
                  </w:r>
                  <w:r>
                    <w:br/>
                  </w:r>
                  <w:r>
                    <w:rPr>
                      <w:rFonts w:ascii="仿宋_GB2312" w:hAnsi="仿宋_GB2312" w:cs="仿宋_GB2312" w:eastAsia="仿宋_GB2312"/>
                      <w:sz w:val="21"/>
                      <w:color w:val="000000"/>
                    </w:rPr>
                    <w:t>2.测量原理：雷达+压力测量原理；</w:t>
                  </w:r>
                  <w:r>
                    <w:br/>
                  </w:r>
                  <w:r>
                    <w:rPr>
                      <w:rFonts w:ascii="仿宋_GB2312" w:hAnsi="仿宋_GB2312" w:cs="仿宋_GB2312" w:eastAsia="仿宋_GB2312"/>
                      <w:sz w:val="22"/>
                      <w:color w:val="000000"/>
                    </w:rPr>
                    <w:t>▲</w:t>
                  </w:r>
                  <w:r>
                    <w:rPr>
                      <w:rFonts w:ascii="仿宋_GB2312" w:hAnsi="仿宋_GB2312" w:cs="仿宋_GB2312" w:eastAsia="仿宋_GB2312"/>
                      <w:sz w:val="21"/>
                      <w:color w:val="000000"/>
                    </w:rPr>
                    <w:t>3.测量范围：雷达水位量程0-40m；压力式水位量程0-20m；</w:t>
                  </w:r>
                  <w:r>
                    <w:br/>
                  </w:r>
                  <w:r>
                    <w:rPr>
                      <w:rFonts w:ascii="仿宋_GB2312" w:hAnsi="仿宋_GB2312" w:cs="仿宋_GB2312" w:eastAsia="仿宋_GB2312"/>
                      <w:sz w:val="22"/>
                      <w:color w:val="000000"/>
                    </w:rPr>
                    <w:t>▲</w:t>
                  </w:r>
                  <w:r>
                    <w:rPr>
                      <w:rFonts w:ascii="仿宋_GB2312" w:hAnsi="仿宋_GB2312" w:cs="仿宋_GB2312" w:eastAsia="仿宋_GB2312"/>
                      <w:sz w:val="21"/>
                      <w:color w:val="000000"/>
                    </w:rPr>
                    <w:t>4.测量精度：≤±0.5%F.S；</w:t>
                  </w:r>
                  <w:r>
                    <w:br/>
                  </w:r>
                  <w:r>
                    <w:rPr>
                      <w:rFonts w:ascii="仿宋_GB2312" w:hAnsi="仿宋_GB2312" w:cs="仿宋_GB2312" w:eastAsia="仿宋_GB2312"/>
                      <w:sz w:val="21"/>
                      <w:color w:val="000000"/>
                    </w:rPr>
                    <w:t>5.远程通讯：NB/4G 无线传输；</w:t>
                  </w:r>
                  <w:r>
                    <w:br/>
                  </w:r>
                  <w:r>
                    <w:rPr>
                      <w:rFonts w:ascii="仿宋_GB2312" w:hAnsi="仿宋_GB2312" w:cs="仿宋_GB2312" w:eastAsia="仿宋_GB2312"/>
                      <w:sz w:val="21"/>
                      <w:color w:val="000000"/>
                    </w:rPr>
                    <w:t>6.供电方式：≥114AH 锂亚电池供电（可选≥42AH 可充电锂亚电池）；</w:t>
                  </w:r>
                  <w:r>
                    <w:br/>
                  </w:r>
                  <w:r>
                    <w:rPr>
                      <w:rFonts w:ascii="仿宋_GB2312" w:hAnsi="仿宋_GB2312" w:cs="仿宋_GB2312" w:eastAsia="仿宋_GB2312"/>
                      <w:sz w:val="21"/>
                      <w:color w:val="000000"/>
                    </w:rPr>
                    <w:t>7.电池续航：可连续工作≥5年（按采集 5 分钟/次，上传30 分钟/次计，1 年无需充电/换电）；</w:t>
                  </w:r>
                  <w:r>
                    <w:br/>
                  </w:r>
                  <w:r>
                    <w:rPr>
                      <w:rFonts w:ascii="仿宋_GB2312" w:hAnsi="仿宋_GB2312" w:cs="仿宋_GB2312" w:eastAsia="仿宋_GB2312"/>
                      <w:sz w:val="21"/>
                      <w:color w:val="000000"/>
                    </w:rPr>
                    <w:t>8.设备功能：断点续传等功能；</w:t>
                  </w:r>
                  <w:r>
                    <w:br/>
                  </w:r>
                  <w:r>
                    <w:rPr>
                      <w:rFonts w:ascii="仿宋_GB2312" w:hAnsi="仿宋_GB2312" w:cs="仿宋_GB2312" w:eastAsia="仿宋_GB2312"/>
                      <w:sz w:val="22"/>
                      <w:color w:val="000000"/>
                    </w:rPr>
                    <w:t>▲</w:t>
                  </w:r>
                  <w:r>
                    <w:rPr>
                      <w:rFonts w:ascii="仿宋_GB2312" w:hAnsi="仿宋_GB2312" w:cs="仿宋_GB2312" w:eastAsia="仿宋_GB2312"/>
                      <w:sz w:val="21"/>
                      <w:color w:val="000000"/>
                    </w:rPr>
                    <w:t>9.防护等级：防护等级≥IP68；</w:t>
                  </w:r>
                  <w:r>
                    <w:br/>
                  </w:r>
                  <w:r>
                    <w:rPr>
                      <w:rFonts w:ascii="仿宋_GB2312" w:hAnsi="仿宋_GB2312" w:cs="仿宋_GB2312" w:eastAsia="仿宋_GB2312"/>
                      <w:sz w:val="21"/>
                      <w:color w:val="000000"/>
                    </w:rPr>
                    <w:t>10.质保要求：整机运维质保 3 年。</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套</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12</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管网雨污合流处布放12处</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流量计</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1.测量指标：不限于流量、流速、水位、温度等；</w:t>
                  </w:r>
                  <w:r>
                    <w:br/>
                  </w:r>
                  <w:r>
                    <w:rPr>
                      <w:rFonts w:ascii="仿宋_GB2312" w:hAnsi="仿宋_GB2312" w:cs="仿宋_GB2312" w:eastAsia="仿宋_GB2312"/>
                      <w:sz w:val="21"/>
                      <w:color w:val="000000"/>
                    </w:rPr>
                    <w:t>2.测量原理：满管采用多普勒超声波原理,非满管采用多普勒雷达波原理；</w:t>
                  </w:r>
                  <w:r>
                    <w:br/>
                  </w:r>
                  <w:r>
                    <w:rPr>
                      <w:rFonts w:ascii="仿宋_GB2312" w:hAnsi="仿宋_GB2312" w:cs="仿宋_GB2312" w:eastAsia="仿宋_GB2312"/>
                      <w:sz w:val="21"/>
                      <w:color w:val="000000"/>
                    </w:rPr>
                    <w:t>3.流速范围：雷达量程0～12m/s；超声多普勒量程0～8m/s；</w:t>
                  </w:r>
                  <w:r>
                    <w:br/>
                  </w:r>
                  <w:r>
                    <w:rPr>
                      <w:rFonts w:ascii="仿宋_GB2312" w:hAnsi="仿宋_GB2312" w:cs="仿宋_GB2312" w:eastAsia="仿宋_GB2312"/>
                      <w:sz w:val="21"/>
                      <w:color w:val="000000"/>
                    </w:rPr>
                    <w:t>4.水位范围：雷达水位量程0～10m；压力式量程0～20m；</w:t>
                  </w:r>
                  <w:r>
                    <w:br/>
                  </w:r>
                  <w:r>
                    <w:rPr>
                      <w:rFonts w:ascii="仿宋_GB2312" w:hAnsi="仿宋_GB2312" w:cs="仿宋_GB2312" w:eastAsia="仿宋_GB2312"/>
                      <w:sz w:val="21"/>
                      <w:color w:val="000000"/>
                    </w:rPr>
                    <w:t>5.温度监测：无触点温度，-20～85℃；</w:t>
                  </w:r>
                  <w:r>
                    <w:br/>
                  </w:r>
                  <w:r>
                    <w:rPr>
                      <w:rFonts w:ascii="仿宋_GB2312" w:hAnsi="仿宋_GB2312" w:cs="仿宋_GB2312" w:eastAsia="仿宋_GB2312"/>
                      <w:sz w:val="21"/>
                      <w:color w:val="000000"/>
                    </w:rPr>
                    <w:t>6.通讯方式：NB/4G 无线传输；</w:t>
                  </w:r>
                  <w:r>
                    <w:br/>
                  </w:r>
                  <w:r>
                    <w:rPr>
                      <w:rFonts w:ascii="仿宋_GB2312" w:hAnsi="仿宋_GB2312" w:cs="仿宋_GB2312" w:eastAsia="仿宋_GB2312"/>
                      <w:sz w:val="21"/>
                      <w:color w:val="000000"/>
                    </w:rPr>
                    <w:t>7.供电方式：≥114AH锂亚电池供电(14.4V 30AH)可充电锂电池；</w:t>
                  </w:r>
                  <w:r>
                    <w:br/>
                  </w:r>
                  <w:r>
                    <w:rPr>
                      <w:rFonts w:ascii="仿宋_GB2312" w:hAnsi="仿宋_GB2312" w:cs="仿宋_GB2312" w:eastAsia="仿宋_GB2312"/>
                      <w:sz w:val="21"/>
                      <w:color w:val="000000"/>
                    </w:rPr>
                    <w:t>8.电池续航：3 年以上（按采集 5 分钟/次，上传30 分钟/次计，1 年无需充电/换电）；</w:t>
                  </w:r>
                  <w:r>
                    <w:br/>
                  </w:r>
                  <w:r>
                    <w:rPr>
                      <w:rFonts w:ascii="仿宋_GB2312" w:hAnsi="仿宋_GB2312" w:cs="仿宋_GB2312" w:eastAsia="仿宋_GB2312"/>
                      <w:sz w:val="21"/>
                      <w:color w:val="000000"/>
                    </w:rPr>
                    <w:t>9.设备功能：断点续传等功能；</w:t>
                  </w:r>
                  <w:r>
                    <w:br/>
                  </w:r>
                  <w:r>
                    <w:rPr>
                      <w:rFonts w:ascii="仿宋_GB2312" w:hAnsi="仿宋_GB2312" w:cs="仿宋_GB2312" w:eastAsia="仿宋_GB2312"/>
                      <w:sz w:val="21"/>
                      <w:color w:val="000000"/>
                    </w:rPr>
                    <w:t>10.质保要求：整机运维质保 3 年。</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套</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11</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排水泵站11处</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1.5</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易涝点水位计</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1.监测指标：不限于水位等；</w:t>
                  </w:r>
                  <w:r>
                    <w:br/>
                  </w:r>
                  <w:r>
                    <w:rPr>
                      <w:rFonts w:ascii="仿宋_GB2312" w:hAnsi="仿宋_GB2312" w:cs="仿宋_GB2312" w:eastAsia="仿宋_GB2312"/>
                      <w:sz w:val="21"/>
                      <w:color w:val="000000"/>
                    </w:rPr>
                    <w:t>2.测量原理：压力式水位；</w:t>
                  </w:r>
                  <w:r>
                    <w:br/>
                  </w:r>
                  <w:r>
                    <w:rPr>
                      <w:rFonts w:ascii="仿宋_GB2312" w:hAnsi="仿宋_GB2312" w:cs="仿宋_GB2312" w:eastAsia="仿宋_GB2312"/>
                      <w:sz w:val="22"/>
                      <w:color w:val="000000"/>
                    </w:rPr>
                    <w:t>▲</w:t>
                  </w:r>
                  <w:r>
                    <w:rPr>
                      <w:rFonts w:ascii="仿宋_GB2312" w:hAnsi="仿宋_GB2312" w:cs="仿宋_GB2312" w:eastAsia="仿宋_GB2312"/>
                      <w:sz w:val="21"/>
                      <w:color w:val="000000"/>
                    </w:rPr>
                    <w:t>3.测量范围：压力式水位量程0～5m；</w:t>
                  </w:r>
                  <w:r>
                    <w:br/>
                  </w:r>
                  <w:r>
                    <w:rPr>
                      <w:rFonts w:ascii="仿宋_GB2312" w:hAnsi="仿宋_GB2312" w:cs="仿宋_GB2312" w:eastAsia="仿宋_GB2312"/>
                      <w:sz w:val="22"/>
                      <w:color w:val="000000"/>
                    </w:rPr>
                    <w:t>▲</w:t>
                  </w:r>
                  <w:r>
                    <w:rPr>
                      <w:rFonts w:ascii="仿宋_GB2312" w:hAnsi="仿宋_GB2312" w:cs="仿宋_GB2312" w:eastAsia="仿宋_GB2312"/>
                      <w:sz w:val="21"/>
                      <w:color w:val="000000"/>
                    </w:rPr>
                    <w:t>4.防护等级：防护等级≥IP68；</w:t>
                  </w:r>
                  <w:r>
                    <w:br/>
                  </w:r>
                  <w:r>
                    <w:rPr>
                      <w:rFonts w:ascii="仿宋_GB2312" w:hAnsi="仿宋_GB2312" w:cs="仿宋_GB2312" w:eastAsia="仿宋_GB2312"/>
                      <w:sz w:val="21"/>
                      <w:color w:val="000000"/>
                    </w:rPr>
                    <w:t>5.环境要求：-30℃～70℃；</w:t>
                  </w:r>
                  <w:r>
                    <w:br/>
                  </w:r>
                  <w:r>
                    <w:rPr>
                      <w:rFonts w:ascii="仿宋_GB2312" w:hAnsi="仿宋_GB2312" w:cs="仿宋_GB2312" w:eastAsia="仿宋_GB2312"/>
                      <w:sz w:val="21"/>
                      <w:color w:val="000000"/>
                    </w:rPr>
                    <w:t>6.供电方式：≥38AH锂亚电池，可连续工作≥5年；</w:t>
                  </w:r>
                  <w:r>
                    <w:br/>
                  </w:r>
                  <w:r>
                    <w:rPr>
                      <w:rFonts w:ascii="仿宋_GB2312" w:hAnsi="仿宋_GB2312" w:cs="仿宋_GB2312" w:eastAsia="仿宋_GB2312"/>
                      <w:sz w:val="21"/>
                      <w:color w:val="000000"/>
                    </w:rPr>
                    <w:t>7.通信方式：NB/4G 无线传输；</w:t>
                  </w:r>
                  <w:r>
                    <w:br/>
                  </w:r>
                  <w:r>
                    <w:rPr>
                      <w:rFonts w:ascii="仿宋_GB2312" w:hAnsi="仿宋_GB2312" w:cs="仿宋_GB2312" w:eastAsia="仿宋_GB2312"/>
                      <w:sz w:val="21"/>
                      <w:color w:val="000000"/>
                    </w:rPr>
                    <w:t>8.设备功能：断点续传等；</w:t>
                  </w:r>
                  <w:r>
                    <w:br/>
                  </w:r>
                  <w:r>
                    <w:rPr>
                      <w:rFonts w:ascii="仿宋_GB2312" w:hAnsi="仿宋_GB2312" w:cs="仿宋_GB2312" w:eastAsia="仿宋_GB2312"/>
                      <w:sz w:val="21"/>
                      <w:color w:val="000000"/>
                    </w:rPr>
                    <w:t>9.采集周期：水位变化时，采集频率不低于 1 分钟；</w:t>
                  </w:r>
                  <w:r>
                    <w:br/>
                  </w:r>
                  <w:r>
                    <w:rPr>
                      <w:rFonts w:ascii="仿宋_GB2312" w:hAnsi="仿宋_GB2312" w:cs="仿宋_GB2312" w:eastAsia="仿宋_GB2312"/>
                      <w:sz w:val="21"/>
                      <w:color w:val="000000"/>
                    </w:rPr>
                    <w:t>10.传输周期：水位变化时，上传频率不低于 5 分钟；</w:t>
                  </w:r>
                  <w:r>
                    <w:br/>
                  </w:r>
                  <w:r>
                    <w:rPr>
                      <w:rFonts w:ascii="仿宋_GB2312" w:hAnsi="仿宋_GB2312" w:cs="仿宋_GB2312" w:eastAsia="仿宋_GB2312"/>
                      <w:sz w:val="21"/>
                      <w:color w:val="000000"/>
                    </w:rPr>
                    <w:t>11.质保要求：整机运维质保 3 年。</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套</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26</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积水点26处：秦都区（15处）、渭城区（11 处）</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1.6</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雨量计</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1.监测指标：雨量；</w:t>
                  </w:r>
                  <w:r>
                    <w:br/>
                  </w:r>
                  <w:r>
                    <w:rPr>
                      <w:rFonts w:ascii="仿宋_GB2312" w:hAnsi="仿宋_GB2312" w:cs="仿宋_GB2312" w:eastAsia="仿宋_GB2312"/>
                      <w:sz w:val="22"/>
                      <w:color w:val="000000"/>
                    </w:rPr>
                    <w:t>▲</w:t>
                  </w:r>
                  <w:r>
                    <w:rPr>
                      <w:rFonts w:ascii="仿宋_GB2312" w:hAnsi="仿宋_GB2312" w:cs="仿宋_GB2312" w:eastAsia="仿宋_GB2312"/>
                      <w:sz w:val="21"/>
                      <w:color w:val="000000"/>
                    </w:rPr>
                    <w:t>2.测量范围：雨强0mm～4mm/min，允许通过最大雨强8mm/min；</w:t>
                  </w:r>
                  <w:r>
                    <w:br/>
                  </w:r>
                  <w:r>
                    <w:rPr>
                      <w:rFonts w:ascii="仿宋_GB2312" w:hAnsi="仿宋_GB2312" w:cs="仿宋_GB2312" w:eastAsia="仿宋_GB2312"/>
                      <w:sz w:val="21"/>
                      <w:color w:val="000000"/>
                    </w:rPr>
                    <w:t>3.远程通讯：NB-IoT/4G；</w:t>
                  </w:r>
                  <w:r>
                    <w:br/>
                  </w:r>
                  <w:r>
                    <w:rPr>
                      <w:rFonts w:ascii="仿宋_GB2312" w:hAnsi="仿宋_GB2312" w:cs="仿宋_GB2312" w:eastAsia="仿宋_GB2312"/>
                      <w:sz w:val="21"/>
                      <w:color w:val="000000"/>
                    </w:rPr>
                    <w:t>4.供电方式：市电/太阳能电池供电；</w:t>
                  </w:r>
                  <w:r>
                    <w:br/>
                  </w:r>
                  <w:r>
                    <w:rPr>
                      <w:rFonts w:ascii="仿宋_GB2312" w:hAnsi="仿宋_GB2312" w:cs="仿宋_GB2312" w:eastAsia="仿宋_GB2312"/>
                      <w:sz w:val="21"/>
                      <w:color w:val="000000"/>
                    </w:rPr>
                    <w:t>5.防护等级：防护等级≥IP67；</w:t>
                  </w:r>
                  <w:r>
                    <w:br/>
                  </w:r>
                  <w:r>
                    <w:rPr>
                      <w:rFonts w:ascii="仿宋_GB2312" w:hAnsi="仿宋_GB2312" w:cs="仿宋_GB2312" w:eastAsia="仿宋_GB2312"/>
                      <w:sz w:val="21"/>
                      <w:color w:val="000000"/>
                    </w:rPr>
                    <w:t>7.环境要求：-30℃～70℃；</w:t>
                  </w:r>
                  <w:r>
                    <w:br/>
                  </w:r>
                  <w:r>
                    <w:rPr>
                      <w:rFonts w:ascii="仿宋_GB2312" w:hAnsi="仿宋_GB2312" w:cs="仿宋_GB2312" w:eastAsia="仿宋_GB2312"/>
                      <w:sz w:val="21"/>
                      <w:color w:val="000000"/>
                    </w:rPr>
                    <w:t>8.质保要求：整机不小于 3 年。</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套</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11</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排水泵站11处</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1.7</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河道水位计</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1.监测指标：不限于水位等；</w:t>
                  </w:r>
                  <w:r>
                    <w:br/>
                  </w:r>
                  <w:r>
                    <w:rPr>
                      <w:rFonts w:ascii="仿宋_GB2312" w:hAnsi="仿宋_GB2312" w:cs="仿宋_GB2312" w:eastAsia="仿宋_GB2312"/>
                      <w:sz w:val="21"/>
                      <w:color w:val="000000"/>
                    </w:rPr>
                    <w:t>2.测量原理：雷达+压力测量原理；</w:t>
                  </w:r>
                  <w:r>
                    <w:br/>
                  </w:r>
                  <w:r>
                    <w:rPr>
                      <w:rFonts w:ascii="仿宋_GB2312" w:hAnsi="仿宋_GB2312" w:cs="仿宋_GB2312" w:eastAsia="仿宋_GB2312"/>
                      <w:sz w:val="22"/>
                      <w:color w:val="000000"/>
                    </w:rPr>
                    <w:t>▲</w:t>
                  </w:r>
                  <w:r>
                    <w:rPr>
                      <w:rFonts w:ascii="仿宋_GB2312" w:hAnsi="仿宋_GB2312" w:cs="仿宋_GB2312" w:eastAsia="仿宋_GB2312"/>
                      <w:sz w:val="21"/>
                      <w:color w:val="000000"/>
                    </w:rPr>
                    <w:t>3.测量范围：雷达水位量程0-40m；压力式水位量程0-20m；</w:t>
                  </w:r>
                  <w:r>
                    <w:br/>
                  </w:r>
                  <w:r>
                    <w:rPr>
                      <w:rFonts w:ascii="仿宋_GB2312" w:hAnsi="仿宋_GB2312" w:cs="仿宋_GB2312" w:eastAsia="仿宋_GB2312"/>
                      <w:sz w:val="22"/>
                      <w:color w:val="000000"/>
                    </w:rPr>
                    <w:t>▲</w:t>
                  </w:r>
                  <w:r>
                    <w:rPr>
                      <w:rFonts w:ascii="仿宋_GB2312" w:hAnsi="仿宋_GB2312" w:cs="仿宋_GB2312" w:eastAsia="仿宋_GB2312"/>
                      <w:sz w:val="21"/>
                      <w:color w:val="000000"/>
                    </w:rPr>
                    <w:t>4.测量精度：≤±0.5%F.S；</w:t>
                  </w:r>
                  <w:r>
                    <w:br/>
                  </w:r>
                  <w:r>
                    <w:rPr>
                      <w:rFonts w:ascii="仿宋_GB2312" w:hAnsi="仿宋_GB2312" w:cs="仿宋_GB2312" w:eastAsia="仿宋_GB2312"/>
                      <w:sz w:val="21"/>
                      <w:color w:val="000000"/>
                    </w:rPr>
                    <w:t>5.远程通讯：NB/4G 无线传输；</w:t>
                  </w:r>
                  <w:r>
                    <w:br/>
                  </w:r>
                  <w:r>
                    <w:rPr>
                      <w:rFonts w:ascii="仿宋_GB2312" w:hAnsi="仿宋_GB2312" w:cs="仿宋_GB2312" w:eastAsia="仿宋_GB2312"/>
                      <w:sz w:val="21"/>
                      <w:color w:val="000000"/>
                    </w:rPr>
                    <w:t>6.供电方式：≥114AH 锂亚电池供电（可选≥42AH 可充电锂亚电池）；</w:t>
                  </w:r>
                  <w:r>
                    <w:br/>
                  </w:r>
                  <w:r>
                    <w:rPr>
                      <w:rFonts w:ascii="仿宋_GB2312" w:hAnsi="仿宋_GB2312" w:cs="仿宋_GB2312" w:eastAsia="仿宋_GB2312"/>
                      <w:sz w:val="21"/>
                      <w:color w:val="000000"/>
                    </w:rPr>
                    <w:t>7.设备功能：断点续传等功能；</w:t>
                  </w:r>
                  <w:r>
                    <w:br/>
                  </w:r>
                  <w:r>
                    <w:rPr>
                      <w:rFonts w:ascii="仿宋_GB2312" w:hAnsi="仿宋_GB2312" w:cs="仿宋_GB2312" w:eastAsia="仿宋_GB2312"/>
                      <w:sz w:val="22"/>
                      <w:color w:val="000000"/>
                    </w:rPr>
                    <w:t>▲</w:t>
                  </w:r>
                  <w:r>
                    <w:rPr>
                      <w:rFonts w:ascii="仿宋_GB2312" w:hAnsi="仿宋_GB2312" w:cs="仿宋_GB2312" w:eastAsia="仿宋_GB2312"/>
                      <w:sz w:val="21"/>
                      <w:color w:val="000000"/>
                    </w:rPr>
                    <w:t>8.防护等级：防护等级≥IP68；</w:t>
                  </w:r>
                  <w:r>
                    <w:br/>
                  </w:r>
                  <w:r>
                    <w:rPr>
                      <w:rFonts w:ascii="仿宋_GB2312" w:hAnsi="仿宋_GB2312" w:cs="仿宋_GB2312" w:eastAsia="仿宋_GB2312"/>
                      <w:sz w:val="21"/>
                      <w:color w:val="000000"/>
                    </w:rPr>
                    <w:t>9.质保要求：整机运维质保 3 年。</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套</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16</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排水口16个</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1.8</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智能球型摄像机（400W）</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1.传感器类型: 1/1.8”CMOS</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2.焦距: 20倍光学变倍</w:t>
                  </w:r>
                  <w:r>
                    <w:br/>
                  </w:r>
                  <w:r>
                    <w:rPr>
                      <w:rFonts w:ascii="仿宋_GB2312" w:hAnsi="仿宋_GB2312" w:cs="仿宋_GB2312" w:eastAsia="仿宋_GB2312"/>
                      <w:sz w:val="22"/>
                      <w:color w:val="000000"/>
                    </w:rPr>
                    <w:t>3.防护等级:IP67</w:t>
                  </w:r>
                  <w:r>
                    <w:br/>
                  </w:r>
                  <w:r>
                    <w:rPr>
                      <w:rFonts w:ascii="仿宋_GB2312" w:hAnsi="仿宋_GB2312" w:cs="仿宋_GB2312" w:eastAsia="仿宋_GB2312"/>
                      <w:sz w:val="22"/>
                      <w:color w:val="000000"/>
                    </w:rPr>
                    <w:t>4.红外补光距离:120米</w:t>
                  </w:r>
                  <w:r>
                    <w:br/>
                  </w:r>
                  <w:r>
                    <w:rPr>
                      <w:rFonts w:ascii="仿宋_GB2312" w:hAnsi="仿宋_GB2312" w:cs="仿宋_GB2312" w:eastAsia="仿宋_GB2312"/>
                      <w:sz w:val="22"/>
                      <w:color w:val="000000"/>
                    </w:rPr>
                    <w:t>5.质保要求：整机运维质保3年。</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套</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26</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积水点26处：秦都区（15处）、渭城区（11 处）</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1.9</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硬盘录像机</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1.内置1块4TB硬盘（总容量4TB)</w:t>
                  </w:r>
                  <w:r>
                    <w:br/>
                  </w:r>
                  <w:r>
                    <w:rPr>
                      <w:rFonts w:ascii="仿宋_GB2312" w:hAnsi="仿宋_GB2312" w:cs="仿宋_GB2312" w:eastAsia="仿宋_GB2312"/>
                      <w:sz w:val="22"/>
                      <w:color w:val="000000"/>
                    </w:rPr>
                    <w:t>2.1个HDMI接口、1个VGA接口，2个10M/100Mbps网口，2个USB2.0接口</w:t>
                  </w:r>
                  <w:r>
                    <w:br/>
                  </w:r>
                  <w:r>
                    <w:rPr>
                      <w:rFonts w:ascii="仿宋_GB2312" w:hAnsi="仿宋_GB2312" w:cs="仿宋_GB2312" w:eastAsia="仿宋_GB2312"/>
                      <w:sz w:val="22"/>
                      <w:color w:val="000000"/>
                    </w:rPr>
                    <w:t>3.输入带宽：40Mbps，输出带宽：80Mbps</w:t>
                  </w:r>
                  <w:r>
                    <w:br/>
                  </w:r>
                  <w:r>
                    <w:rPr>
                      <w:rFonts w:ascii="仿宋_GB2312" w:hAnsi="仿宋_GB2312" w:cs="仿宋_GB2312" w:eastAsia="仿宋_GB2312"/>
                      <w:sz w:val="22"/>
                      <w:color w:val="000000"/>
                    </w:rPr>
                    <w:t>4.解码能力：最大支持8×1080P</w:t>
                  </w:r>
                  <w:r>
                    <w:br/>
                  </w:r>
                  <w:r>
                    <w:rPr>
                      <w:rFonts w:ascii="仿宋_GB2312" w:hAnsi="仿宋_GB2312" w:cs="仿宋_GB2312" w:eastAsia="仿宋_GB2312"/>
                      <w:sz w:val="22"/>
                      <w:color w:val="000000"/>
                    </w:rPr>
                    <w:t>5.质保要求：整机运维质保3年。</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套</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26</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积水点26处：秦都区（15处）、渭城区（11 处）</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三</w:t>
                  </w:r>
                </w:p>
              </w:tc>
              <w:tc>
                <w:tcPr>
                  <w:tcW w:type="dxa" w:w="163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桥梁前端监测感知设备</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w:t>
                  </w:r>
                </w:p>
              </w:tc>
              <w:tc>
                <w:tcPr>
                  <w:tcW w:type="dxa" w:w="163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桥梁前端设备</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15座桥梁</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1.1</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静力水准仪</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1.量程：0~2000mm(可定制)</w:t>
                  </w:r>
                  <w:r>
                    <w:br/>
                  </w:r>
                  <w:r>
                    <w:rPr>
                      <w:rFonts w:ascii="仿宋_GB2312" w:hAnsi="仿宋_GB2312" w:cs="仿宋_GB2312" w:eastAsia="仿宋_GB2312"/>
                      <w:sz w:val="22"/>
                      <w:color w:val="000000"/>
                    </w:rPr>
                    <w:t>2.精度：0.1%FS</w:t>
                  </w:r>
                  <w:r>
                    <w:br/>
                  </w:r>
                  <w:r>
                    <w:rPr>
                      <w:rFonts w:ascii="仿宋_GB2312" w:hAnsi="仿宋_GB2312" w:cs="仿宋_GB2312" w:eastAsia="仿宋_GB2312"/>
                      <w:sz w:val="22"/>
                      <w:color w:val="000000"/>
                    </w:rPr>
                    <w:t>3.质保要求：整机运维质保3年。</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164</w:t>
                  </w:r>
                </w:p>
              </w:tc>
              <w:tc>
                <w:tcPr>
                  <w:tcW w:type="dxa" w:w="3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1.2</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应变计</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1.应变：振弦式应变，量程±1500</w:t>
                  </w:r>
                  <w:r>
                    <w:rPr>
                      <w:rFonts w:ascii="仿宋_GB2312" w:hAnsi="仿宋_GB2312" w:cs="仿宋_GB2312" w:eastAsia="仿宋_GB2312"/>
                      <w:sz w:val="21"/>
                      <w:color w:val="000000"/>
                    </w:rPr>
                    <w:t>με</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2.备用电源：≥19AH电池；</w:t>
                  </w:r>
                  <w:r>
                    <w:br/>
                  </w:r>
                  <w:r>
                    <w:rPr>
                      <w:rFonts w:ascii="仿宋_GB2312" w:hAnsi="仿宋_GB2312" w:cs="仿宋_GB2312" w:eastAsia="仿宋_GB2312"/>
                      <w:sz w:val="21"/>
                      <w:color w:val="000000"/>
                    </w:rPr>
                    <w:t>3.国产处理器：具备≥32位国产微处理器；</w:t>
                  </w:r>
                  <w:r>
                    <w:br/>
                  </w:r>
                  <w:r>
                    <w:rPr>
                      <w:rFonts w:ascii="仿宋_GB2312" w:hAnsi="仿宋_GB2312" w:cs="仿宋_GB2312" w:eastAsia="仿宋_GB2312"/>
                      <w:sz w:val="21"/>
                      <w:color w:val="000000"/>
                    </w:rPr>
                    <w:t>4.防护：防护等级≥IP68；</w:t>
                  </w:r>
                  <w:r>
                    <w:br/>
                  </w:r>
                  <w:r>
                    <w:rPr>
                      <w:rFonts w:ascii="仿宋_GB2312" w:hAnsi="仿宋_GB2312" w:cs="仿宋_GB2312" w:eastAsia="仿宋_GB2312"/>
                      <w:sz w:val="21"/>
                      <w:color w:val="000000"/>
                    </w:rPr>
                    <w:t>5.环境：40℃～80℃；</w:t>
                  </w:r>
                  <w:r>
                    <w:br/>
                  </w:r>
                  <w:r>
                    <w:rPr>
                      <w:rFonts w:ascii="仿宋_GB2312" w:hAnsi="仿宋_GB2312" w:cs="仿宋_GB2312" w:eastAsia="仿宋_GB2312"/>
                      <w:sz w:val="21"/>
                      <w:color w:val="000000"/>
                    </w:rPr>
                    <w:t>6.质保要求：整机运维质保 3 年。</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个</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374</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1.3</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索力计</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1.不限于加速度等；</w:t>
                  </w:r>
                  <w:r>
                    <w:br/>
                  </w:r>
                  <w:r>
                    <w:rPr>
                      <w:rFonts w:ascii="仿宋_GB2312" w:hAnsi="仿宋_GB2312" w:cs="仿宋_GB2312" w:eastAsia="仿宋_GB2312"/>
                      <w:sz w:val="21"/>
                      <w:color w:val="000000"/>
                    </w:rPr>
                    <w:t>2.加速度：量程 ±1.6g，频率响应（±5%） 0 ～ 500Hz ；</w:t>
                  </w:r>
                  <w:r>
                    <w:br/>
                  </w:r>
                  <w:r>
                    <w:rPr>
                      <w:rFonts w:ascii="仿宋_GB2312" w:hAnsi="仿宋_GB2312" w:cs="仿宋_GB2312" w:eastAsia="仿宋_GB2312"/>
                      <w:sz w:val="21"/>
                      <w:color w:val="000000"/>
                    </w:rPr>
                    <w:t>3.防护：高空跌落≥2m；防护等级≥IP67；</w:t>
                  </w:r>
                  <w:r>
                    <w:br/>
                  </w:r>
                  <w:r>
                    <w:rPr>
                      <w:rFonts w:ascii="仿宋_GB2312" w:hAnsi="仿宋_GB2312" w:cs="仿宋_GB2312" w:eastAsia="仿宋_GB2312"/>
                      <w:sz w:val="21"/>
                      <w:color w:val="000000"/>
                    </w:rPr>
                    <w:t>4.环境：40℃～80℃；</w:t>
                  </w:r>
                  <w:r>
                    <w:br/>
                  </w:r>
                  <w:r>
                    <w:rPr>
                      <w:rFonts w:ascii="仿宋_GB2312" w:hAnsi="仿宋_GB2312" w:cs="仿宋_GB2312" w:eastAsia="仿宋_GB2312"/>
                      <w:sz w:val="21"/>
                      <w:color w:val="000000"/>
                    </w:rPr>
                    <w:t>5.质保要求：整机运维质保 3 年。</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个</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倾角计</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1.倾角：量程0～180°（±90°），精度±0.5°，分辨率0.01°；</w:t>
                  </w:r>
                  <w:r>
                    <w:br/>
                  </w:r>
                  <w:r>
                    <w:rPr>
                      <w:rFonts w:ascii="仿宋_GB2312" w:hAnsi="仿宋_GB2312" w:cs="仿宋_GB2312" w:eastAsia="仿宋_GB2312"/>
                      <w:sz w:val="21"/>
                      <w:color w:val="000000"/>
                    </w:rPr>
                    <w:t>2.备用电源：≥19AH电池；</w:t>
                  </w:r>
                  <w:r>
                    <w:br/>
                  </w:r>
                  <w:r>
                    <w:rPr>
                      <w:rFonts w:ascii="仿宋_GB2312" w:hAnsi="仿宋_GB2312" w:cs="仿宋_GB2312" w:eastAsia="仿宋_GB2312"/>
                      <w:sz w:val="21"/>
                      <w:color w:val="000000"/>
                    </w:rPr>
                    <w:t>3.加速度：量程±2G；</w:t>
                  </w:r>
                  <w:r>
                    <w:br/>
                  </w:r>
                  <w:r>
                    <w:rPr>
                      <w:rFonts w:ascii="仿宋_GB2312" w:hAnsi="仿宋_GB2312" w:cs="仿宋_GB2312" w:eastAsia="仿宋_GB2312"/>
                      <w:sz w:val="21"/>
                      <w:color w:val="000000"/>
                    </w:rPr>
                    <w:t>4.国产存储：≥120万条数据，≥64M Flash国产存储芯片；</w:t>
                  </w:r>
                  <w:r>
                    <w:br/>
                  </w:r>
                  <w:r>
                    <w:rPr>
                      <w:rFonts w:ascii="仿宋_GB2312" w:hAnsi="仿宋_GB2312" w:cs="仿宋_GB2312" w:eastAsia="仿宋_GB2312"/>
                      <w:sz w:val="21"/>
                      <w:color w:val="000000"/>
                    </w:rPr>
                    <w:t>5.防护：防护等级≥IP68；</w:t>
                  </w:r>
                  <w:r>
                    <w:br/>
                  </w:r>
                  <w:r>
                    <w:rPr>
                      <w:rFonts w:ascii="仿宋_GB2312" w:hAnsi="仿宋_GB2312" w:cs="仿宋_GB2312" w:eastAsia="仿宋_GB2312"/>
                      <w:sz w:val="21"/>
                      <w:color w:val="000000"/>
                    </w:rPr>
                    <w:t>6.环境：40℃～80℃；</w:t>
                  </w:r>
                  <w:r>
                    <w:br/>
                  </w:r>
                  <w:r>
                    <w:rPr>
                      <w:rFonts w:ascii="仿宋_GB2312" w:hAnsi="仿宋_GB2312" w:cs="仿宋_GB2312" w:eastAsia="仿宋_GB2312"/>
                      <w:sz w:val="21"/>
                      <w:color w:val="000000"/>
                    </w:rPr>
                    <w:t>7.质保要求：整机运维质保 3 年。</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个</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1.5</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加速度计（主梁振动）</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1、量程：±2g，偏差标定：&lt;1mg</w:t>
                  </w:r>
                  <w:r>
                    <w:br/>
                  </w:r>
                  <w:r>
                    <w:rPr>
                      <w:rFonts w:ascii="仿宋_GB2312" w:hAnsi="仿宋_GB2312" w:cs="仿宋_GB2312" w:eastAsia="仿宋_GB2312"/>
                      <w:sz w:val="21"/>
                      <w:color w:val="000000"/>
                    </w:rPr>
                    <w:t>3、测量轴向：X、Y、Z</w:t>
                  </w:r>
                  <w:r>
                    <w:br/>
                  </w:r>
                  <w:r>
                    <w:rPr>
                      <w:rFonts w:ascii="仿宋_GB2312" w:hAnsi="仿宋_GB2312" w:cs="仿宋_GB2312" w:eastAsia="仿宋_GB2312"/>
                      <w:sz w:val="21"/>
                      <w:color w:val="000000"/>
                    </w:rPr>
                    <w:t>4、偏差温度系数：0.01%/℃典型值</w:t>
                  </w:r>
                  <w:r>
                    <w:br/>
                  </w:r>
                  <w:r>
                    <w:rPr>
                      <w:rFonts w:ascii="仿宋_GB2312" w:hAnsi="仿宋_GB2312" w:cs="仿宋_GB2312" w:eastAsia="仿宋_GB2312"/>
                      <w:sz w:val="21"/>
                      <w:color w:val="000000"/>
                    </w:rPr>
                    <w:t>5、分辨率/阈值：(@ 1Hz)&lt; 1mg(最大值)</w:t>
                  </w:r>
                  <w:r>
                    <w:br/>
                  </w:r>
                  <w:r>
                    <w:rPr>
                      <w:rFonts w:ascii="仿宋_GB2312" w:hAnsi="仿宋_GB2312" w:cs="仿宋_GB2312" w:eastAsia="仿宋_GB2312"/>
                      <w:sz w:val="21"/>
                      <w:color w:val="000000"/>
                    </w:rPr>
                    <w:t>6、共振频率 ：2.4kHz</w:t>
                  </w:r>
                  <w:r>
                    <w:br/>
                  </w:r>
                  <w:r>
                    <w:rPr>
                      <w:rFonts w:ascii="仿宋_GB2312" w:hAnsi="仿宋_GB2312" w:cs="仿宋_GB2312" w:eastAsia="仿宋_GB2312"/>
                      <w:sz w:val="21"/>
                      <w:color w:val="000000"/>
                    </w:rPr>
                    <w:t>7、运行温度 ：-40°C ～+80°C</w:t>
                  </w:r>
                  <w:r>
                    <w:br/>
                  </w:r>
                  <w:r>
                    <w:rPr>
                      <w:rFonts w:ascii="仿宋_GB2312" w:hAnsi="仿宋_GB2312" w:cs="仿宋_GB2312" w:eastAsia="仿宋_GB2312"/>
                      <w:sz w:val="21"/>
                      <w:color w:val="000000"/>
                    </w:rPr>
                    <w:t>8、质保要求：整机运维质保 3 年。</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个</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324</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1.6</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温度计</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1、温度：量程-40℃～+80℃，精度±0.2℃；</w:t>
                  </w:r>
                  <w:r>
                    <w:br/>
                  </w:r>
                  <w:r>
                    <w:rPr>
                      <w:rFonts w:ascii="仿宋_GB2312" w:hAnsi="仿宋_GB2312" w:cs="仿宋_GB2312" w:eastAsia="仿宋_GB2312"/>
                      <w:sz w:val="21"/>
                      <w:color w:val="000000"/>
                    </w:rPr>
                    <w:t>2、防护：防护等级≥IP68；</w:t>
                  </w:r>
                  <w:r>
                    <w:br/>
                  </w:r>
                  <w:r>
                    <w:rPr>
                      <w:rFonts w:ascii="仿宋_GB2312" w:hAnsi="仿宋_GB2312" w:cs="仿宋_GB2312" w:eastAsia="仿宋_GB2312"/>
                      <w:sz w:val="21"/>
                      <w:color w:val="000000"/>
                    </w:rPr>
                    <w:t>3、质保要求：整机运维质保 3 年。</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个</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162</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1.7</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裂缝计</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1、测量范围 0~50mm</w:t>
                  </w:r>
                  <w:r>
                    <w:br/>
                  </w:r>
                  <w:r>
                    <w:rPr>
                      <w:rFonts w:ascii="仿宋_GB2312" w:hAnsi="仿宋_GB2312" w:cs="仿宋_GB2312" w:eastAsia="仿宋_GB2312"/>
                      <w:sz w:val="21"/>
                      <w:color w:val="000000"/>
                    </w:rPr>
                    <w:t>2、分辨率：0.025%F.S</w:t>
                  </w:r>
                  <w:r>
                    <w:br/>
                  </w:r>
                  <w:r>
                    <w:rPr>
                      <w:rFonts w:ascii="仿宋_GB2312" w:hAnsi="仿宋_GB2312" w:cs="仿宋_GB2312" w:eastAsia="仿宋_GB2312"/>
                      <w:sz w:val="21"/>
                      <w:color w:val="000000"/>
                    </w:rPr>
                    <w:t>3、综合误差：0.1%F·S</w:t>
                  </w:r>
                  <w:r>
                    <w:br/>
                  </w:r>
                  <w:r>
                    <w:rPr>
                      <w:rFonts w:ascii="仿宋_GB2312" w:hAnsi="仿宋_GB2312" w:cs="仿宋_GB2312" w:eastAsia="仿宋_GB2312"/>
                      <w:sz w:val="21"/>
                      <w:color w:val="000000"/>
                    </w:rPr>
                    <w:t>4、测量范围：-40℃～+80℃</w:t>
                  </w:r>
                  <w:r>
                    <w:br/>
                  </w:r>
                  <w:r>
                    <w:rPr>
                      <w:rFonts w:ascii="仿宋_GB2312" w:hAnsi="仿宋_GB2312" w:cs="仿宋_GB2312" w:eastAsia="仿宋_GB2312"/>
                      <w:sz w:val="21"/>
                      <w:color w:val="000000"/>
                    </w:rPr>
                    <w:t>5、质保要求：整机运维质保 3 年</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个</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1.8</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拉线位移计</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1、量程：1000mm；精度：0.2%F·S</w:t>
                  </w:r>
                  <w:r>
                    <w:br/>
                  </w:r>
                  <w:r>
                    <w:rPr>
                      <w:rFonts w:ascii="仿宋_GB2312" w:hAnsi="仿宋_GB2312" w:cs="仿宋_GB2312" w:eastAsia="仿宋_GB2312"/>
                      <w:sz w:val="21"/>
                      <w:color w:val="000000"/>
                    </w:rPr>
                    <w:t>2、防护等级：IP65</w:t>
                  </w:r>
                  <w:r>
                    <w:br/>
                  </w:r>
                  <w:r>
                    <w:rPr>
                      <w:rFonts w:ascii="仿宋_GB2312" w:hAnsi="仿宋_GB2312" w:cs="仿宋_GB2312" w:eastAsia="仿宋_GB2312"/>
                      <w:sz w:val="21"/>
                      <w:color w:val="000000"/>
                    </w:rPr>
                    <w:t>3、最大允许拉伸速度：1000mm/s</w:t>
                  </w:r>
                  <w:r>
                    <w:br/>
                  </w:r>
                  <w:r>
                    <w:rPr>
                      <w:rFonts w:ascii="仿宋_GB2312" w:hAnsi="仿宋_GB2312" w:cs="仿宋_GB2312" w:eastAsia="仿宋_GB2312"/>
                      <w:sz w:val="21"/>
                      <w:color w:val="000000"/>
                    </w:rPr>
                    <w:t>4、信号输出方式：电流，电压，脉冲，RS485</w:t>
                  </w:r>
                  <w:r>
                    <w:br/>
                  </w:r>
                  <w:r>
                    <w:rPr>
                      <w:rFonts w:ascii="仿宋_GB2312" w:hAnsi="仿宋_GB2312" w:cs="仿宋_GB2312" w:eastAsia="仿宋_GB2312"/>
                      <w:sz w:val="21"/>
                      <w:color w:val="000000"/>
                    </w:rPr>
                    <w:t>5、环境：-40°C ～+80°C</w:t>
                  </w:r>
                  <w:r>
                    <w:br/>
                  </w:r>
                  <w:r>
                    <w:rPr>
                      <w:rFonts w:ascii="仿宋_GB2312" w:hAnsi="仿宋_GB2312" w:cs="仿宋_GB2312" w:eastAsia="仿宋_GB2312"/>
                      <w:sz w:val="21"/>
                      <w:color w:val="000000"/>
                    </w:rPr>
                    <w:t>6、质保要求：整机运维质保 3 年</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个</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405</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1.9</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GNSS</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1.GNSS 接收机默认支持 GPS L1/L2， BDS B1/B2，GLONASSL1/L2，监测专用，军工级设计；</w:t>
                  </w:r>
                  <w:r>
                    <w:br/>
                  </w:r>
                  <w:r>
                    <w:rPr>
                      <w:rFonts w:ascii="仿宋_GB2312" w:hAnsi="仿宋_GB2312" w:cs="仿宋_GB2312" w:eastAsia="仿宋_GB2312"/>
                      <w:sz w:val="21"/>
                      <w:color w:val="000000"/>
                    </w:rPr>
                    <w:t>2.接收机跟踪北斗的 B1、B2信号，同时支持 BDS 观测数据的记录；</w:t>
                  </w:r>
                  <w:r>
                    <w:br/>
                  </w:r>
                  <w:r>
                    <w:rPr>
                      <w:rFonts w:ascii="仿宋_GB2312" w:hAnsi="仿宋_GB2312" w:cs="仿宋_GB2312" w:eastAsia="仿宋_GB2312"/>
                      <w:sz w:val="21"/>
                      <w:color w:val="000000"/>
                    </w:rPr>
                    <w:t>3.位移：高精度后处理位置解算服务，精度±1.5mm+1ppm；</w:t>
                  </w:r>
                  <w:r>
                    <w:br/>
                  </w:r>
                  <w:r>
                    <w:rPr>
                      <w:rFonts w:ascii="仿宋_GB2312" w:hAnsi="仿宋_GB2312" w:cs="仿宋_GB2312" w:eastAsia="仿宋_GB2312"/>
                      <w:sz w:val="21"/>
                      <w:color w:val="000000"/>
                    </w:rPr>
                    <w:t>4.沉降：高精度后处理位置解算服务，精度±3.0mm+1ppm；</w:t>
                  </w:r>
                  <w:r>
                    <w:br/>
                  </w:r>
                  <w:r>
                    <w:rPr>
                      <w:rFonts w:ascii="仿宋_GB2312" w:hAnsi="仿宋_GB2312" w:cs="仿宋_GB2312" w:eastAsia="仿宋_GB2312"/>
                      <w:sz w:val="21"/>
                      <w:color w:val="000000"/>
                    </w:rPr>
                    <w:t>5.RTK：实时定位水平精度±8mm+1ppm ，垂直精度±15mm+1ppm；</w:t>
                  </w:r>
                  <w:r>
                    <w:br/>
                  </w:r>
                  <w:r>
                    <w:rPr>
                      <w:rFonts w:ascii="仿宋_GB2312" w:hAnsi="仿宋_GB2312" w:cs="仿宋_GB2312" w:eastAsia="仿宋_GB2312"/>
                      <w:sz w:val="21"/>
                      <w:color w:val="000000"/>
                    </w:rPr>
                    <w:t>6.数据协议支持最新的 RTCM2.X (2.0~2.3)、 RTCM3.X (3.0~3.2)等；</w:t>
                  </w:r>
                  <w:r>
                    <w:br/>
                  </w:r>
                  <w:r>
                    <w:rPr>
                      <w:rFonts w:ascii="仿宋_GB2312" w:hAnsi="仿宋_GB2312" w:cs="仿宋_GB2312" w:eastAsia="仿宋_GB2312"/>
                      <w:sz w:val="21"/>
                      <w:color w:val="000000"/>
                    </w:rPr>
                    <w:t>7.GNSS 接收机输出速率：1Hz、2Hz、5Hz、 10Hz、20Hz 可调；</w:t>
                  </w:r>
                  <w:r>
                    <w:br/>
                  </w:r>
                  <w:r>
                    <w:rPr>
                      <w:rFonts w:ascii="仿宋_GB2312" w:hAnsi="仿宋_GB2312" w:cs="仿宋_GB2312" w:eastAsia="仿宋_GB2312"/>
                      <w:sz w:val="21"/>
                      <w:color w:val="000000"/>
                    </w:rPr>
                    <w:t>8.接收机具有支持至少 2 个串口；</w:t>
                  </w:r>
                  <w:r>
                    <w:br/>
                  </w:r>
                  <w:r>
                    <w:rPr>
                      <w:rFonts w:ascii="仿宋_GB2312" w:hAnsi="仿宋_GB2312" w:cs="仿宋_GB2312" w:eastAsia="仿宋_GB2312"/>
                      <w:sz w:val="21"/>
                      <w:color w:val="000000"/>
                    </w:rPr>
                    <w:t>9.北斗通信：北斗卫星≥20颗星、GNSS≥35颗星；</w:t>
                  </w:r>
                  <w:r>
                    <w:br/>
                  </w:r>
                  <w:r>
                    <w:rPr>
                      <w:rFonts w:ascii="仿宋_GB2312" w:hAnsi="仿宋_GB2312" w:cs="仿宋_GB2312" w:eastAsia="仿宋_GB2312"/>
                      <w:sz w:val="21"/>
                      <w:color w:val="000000"/>
                    </w:rPr>
                    <w:t>10.电源：供电DC 24V，≥10500mAh锂电池，断电后续航≥24小时，市电、太阳能和电池智能切换；</w:t>
                  </w:r>
                  <w:r>
                    <w:br/>
                  </w:r>
                  <w:r>
                    <w:rPr>
                      <w:rFonts w:ascii="仿宋_GB2312" w:hAnsi="仿宋_GB2312" w:cs="仿宋_GB2312" w:eastAsia="仿宋_GB2312"/>
                      <w:sz w:val="21"/>
                      <w:color w:val="000000"/>
                    </w:rPr>
                    <w:t>11.国产处理器：具备≥32位国产微处理器；</w:t>
                  </w:r>
                  <w:r>
                    <w:br/>
                  </w:r>
                  <w:r>
                    <w:rPr>
                      <w:rFonts w:ascii="仿宋_GB2312" w:hAnsi="仿宋_GB2312" w:cs="仿宋_GB2312" w:eastAsia="仿宋_GB2312"/>
                      <w:sz w:val="21"/>
                      <w:color w:val="000000"/>
                    </w:rPr>
                    <w:t>12.国产存储：具备≥300万条数据，≥256M Flash国产存储芯片；</w:t>
                  </w:r>
                  <w:r>
                    <w:br/>
                  </w:r>
                  <w:r>
                    <w:rPr>
                      <w:rFonts w:ascii="仿宋_GB2312" w:hAnsi="仿宋_GB2312" w:cs="仿宋_GB2312" w:eastAsia="仿宋_GB2312"/>
                      <w:sz w:val="21"/>
                      <w:color w:val="000000"/>
                    </w:rPr>
                    <w:t>13.工作温度：－40℃~+60℃，存储温度：-40℃~+80℃，湿度： ≤95%（非凝结）；</w:t>
                  </w:r>
                  <w:r>
                    <w:br/>
                  </w:r>
                  <w:r>
                    <w:rPr>
                      <w:rFonts w:ascii="仿宋_GB2312" w:hAnsi="仿宋_GB2312" w:cs="仿宋_GB2312" w:eastAsia="仿宋_GB2312"/>
                      <w:sz w:val="21"/>
                      <w:color w:val="000000"/>
                    </w:rPr>
                    <w:t>14.质保要求：整机运维质保 3 年。</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个</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1.10</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桥梁前端监测数据综合处理机</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1、主机性能： ≥8 核处理器，≥16G 运行内存，≥128G 存储容量（支持扩展≥4TB 固态硬盘），具备≥6TOPS 算力（可扩展 AI 加速模块算力≥18TOPS），支持智能预警模型本地化部署功能，可实现毫秒级异常响应；</w:t>
                  </w:r>
                  <w:r>
                    <w:br/>
                  </w:r>
                  <w:r>
                    <w:rPr>
                      <w:rFonts w:ascii="仿宋_GB2312" w:hAnsi="仿宋_GB2312" w:cs="仿宋_GB2312" w:eastAsia="仿宋_GB2312"/>
                      <w:sz w:val="21"/>
                      <w:color w:val="000000"/>
                    </w:rPr>
                    <w:t>2、通信： ≥1个千兆以太网口， ≥1个 4G/5G 接口，≥1个 HDMI接口、≥1个 USB 接口、≥1个 WIFI 天线接口；</w:t>
                  </w:r>
                  <w:r>
                    <w:br/>
                  </w:r>
                  <w:r>
                    <w:rPr>
                      <w:rFonts w:ascii="仿宋_GB2312" w:hAnsi="仿宋_GB2312" w:cs="仿宋_GB2312" w:eastAsia="仿宋_GB2312"/>
                      <w:sz w:val="21"/>
                      <w:color w:val="000000"/>
                    </w:rPr>
                    <w:t>3、动态采集仪要求：通道数：4通道/卡，最高支持8板卡，混合接入不少于420个通道</w:t>
                  </w:r>
                  <w:r>
                    <w:br/>
                  </w:r>
                  <w:r>
                    <w:rPr>
                      <w:rFonts w:ascii="仿宋_GB2312" w:hAnsi="仿宋_GB2312" w:cs="仿宋_GB2312" w:eastAsia="仿宋_GB2312"/>
                      <w:sz w:val="21"/>
                      <w:color w:val="000000"/>
                    </w:rPr>
                    <w:t>4、采集对象：应变传感器，包括1/4桥（120/350</w:t>
                  </w:r>
                  <w:r>
                    <w:rPr>
                      <w:rFonts w:ascii="仿宋_GB2312" w:hAnsi="仿宋_GB2312" w:cs="仿宋_GB2312" w:eastAsia="仿宋_GB2312"/>
                      <w:sz w:val="21"/>
                      <w:color w:val="000000"/>
                    </w:rPr>
                    <w:t>Ω</w:t>
                  </w:r>
                  <w:r>
                    <w:rPr>
                      <w:rFonts w:ascii="仿宋_GB2312" w:hAnsi="仿宋_GB2312" w:cs="仿宋_GB2312" w:eastAsia="仿宋_GB2312"/>
                      <w:sz w:val="21"/>
                      <w:color w:val="000000"/>
                    </w:rPr>
                    <w:t>可切换）、半桥（120~1000</w:t>
                  </w:r>
                  <w:r>
                    <w:rPr>
                      <w:rFonts w:ascii="仿宋_GB2312" w:hAnsi="仿宋_GB2312" w:cs="仿宋_GB2312" w:eastAsia="仿宋_GB2312"/>
                      <w:sz w:val="21"/>
                      <w:color w:val="000000"/>
                    </w:rPr>
                    <w:t>Ω</w:t>
                  </w:r>
                  <w:r>
                    <w:rPr>
                      <w:rFonts w:ascii="仿宋_GB2312" w:hAnsi="仿宋_GB2312" w:cs="仿宋_GB2312" w:eastAsia="仿宋_GB2312"/>
                      <w:sz w:val="21"/>
                      <w:color w:val="000000"/>
                    </w:rPr>
                    <w:t>）和全桥连接（120~1000</w:t>
                  </w:r>
                  <w:r>
                    <w:rPr>
                      <w:rFonts w:ascii="仿宋_GB2312" w:hAnsi="仿宋_GB2312" w:cs="仿宋_GB2312" w:eastAsia="仿宋_GB2312"/>
                      <w:sz w:val="21"/>
                      <w:color w:val="000000"/>
                    </w:rPr>
                    <w:t>Ω</w:t>
                  </w:r>
                  <w:r>
                    <w:rPr>
                      <w:rFonts w:ascii="仿宋_GB2312" w:hAnsi="仿宋_GB2312" w:cs="仿宋_GB2312" w:eastAsia="仿宋_GB2312"/>
                      <w:sz w:val="21"/>
                      <w:color w:val="000000"/>
                    </w:rPr>
                    <w:t>），以及IEPE传感器</w:t>
                  </w:r>
                  <w:r>
                    <w:br/>
                  </w:r>
                  <w:r>
                    <w:rPr>
                      <w:rFonts w:ascii="仿宋_GB2312" w:hAnsi="仿宋_GB2312" w:cs="仿宋_GB2312" w:eastAsia="仿宋_GB2312"/>
                      <w:sz w:val="21"/>
                      <w:color w:val="000000"/>
                    </w:rPr>
                    <w:t>最高支持128kHz采样频率（单板卡）、测量精度0.1%F.S.、长期温漂&lt;1%F.S.、供电方式：AC 220V、工作温度：-25~+85℃</w:t>
                  </w:r>
                  <w:r>
                    <w:br/>
                  </w:r>
                  <w:r>
                    <w:rPr>
                      <w:rFonts w:ascii="仿宋_GB2312" w:hAnsi="仿宋_GB2312" w:cs="仿宋_GB2312" w:eastAsia="仿宋_GB2312"/>
                      <w:sz w:val="21"/>
                      <w:color w:val="000000"/>
                    </w:rPr>
                    <w:t>5、协议：兼容 MQTT 协议；</w:t>
                  </w:r>
                  <w:r>
                    <w:br/>
                  </w:r>
                  <w:r>
                    <w:rPr>
                      <w:rFonts w:ascii="仿宋_GB2312" w:hAnsi="仿宋_GB2312" w:cs="仿宋_GB2312" w:eastAsia="仿宋_GB2312"/>
                      <w:sz w:val="21"/>
                      <w:color w:val="000000"/>
                    </w:rPr>
                    <w:t>6、智能自诊断预警：内置传感器线路检测与数据超限实时判断功能，可即时发现前端故障与结构异常，并触发报警；</w:t>
                  </w:r>
                  <w:r>
                    <w:br/>
                  </w:r>
                  <w:r>
                    <w:rPr>
                      <w:rFonts w:ascii="仿宋_GB2312" w:hAnsi="仿宋_GB2312" w:cs="仿宋_GB2312" w:eastAsia="仿宋_GB2312"/>
                      <w:sz w:val="21"/>
                      <w:color w:val="000000"/>
                    </w:rPr>
                    <w:t>7、通用采集仪要求：通道数：4通道RS485信号；4通道振弦信号；4通道模拟信号；4通路开关信号</w:t>
                  </w:r>
                  <w:r>
                    <w:br/>
                  </w:r>
                  <w:r>
                    <w:rPr>
                      <w:rFonts w:ascii="仿宋_GB2312" w:hAnsi="仿宋_GB2312" w:cs="仿宋_GB2312" w:eastAsia="仿宋_GB2312"/>
                      <w:sz w:val="21"/>
                      <w:color w:val="000000"/>
                    </w:rPr>
                    <w:t>8、可支持的传感器：振弦式、数字式（RS485）、电压式、电流式、电阻式、差阻式传感器、开关量等采样方式 实时采集、定时采集（支持远程配置及模式切换）、采样间隔：1min-1d连续可调；、测量范围：电压测量范围：0-5V、0-10V、电流测量范围：4-20mA、频率测量范围：频率250HZ-7200HZ、电阻测量范围：10</w:t>
                  </w:r>
                  <w:r>
                    <w:rPr>
                      <w:rFonts w:ascii="仿宋_GB2312" w:hAnsi="仿宋_GB2312" w:cs="仿宋_GB2312" w:eastAsia="仿宋_GB2312"/>
                      <w:sz w:val="21"/>
                      <w:color w:val="000000"/>
                    </w:rPr>
                    <w:t>Ω</w:t>
                  </w:r>
                  <w:r>
                    <w:rPr>
                      <w:rFonts w:ascii="仿宋_GB2312" w:hAnsi="仿宋_GB2312" w:cs="仿宋_GB2312" w:eastAsia="仿宋_GB2312"/>
                      <w:sz w:val="21"/>
                      <w:color w:val="000000"/>
                    </w:rPr>
                    <w:t>-100K</w:t>
                  </w:r>
                  <w:r>
                    <w:rPr>
                      <w:rFonts w:ascii="仿宋_GB2312" w:hAnsi="仿宋_GB2312" w:cs="仿宋_GB2312" w:eastAsia="仿宋_GB2312"/>
                      <w:sz w:val="21"/>
                      <w:color w:val="000000"/>
                    </w:rPr>
                    <w:t>Ω</w:t>
                  </w:r>
                  <w:r>
                    <w:rPr>
                      <w:rFonts w:ascii="仿宋_GB2312" w:hAnsi="仿宋_GB2312" w:cs="仿宋_GB2312" w:eastAsia="仿宋_GB2312"/>
                      <w:sz w:val="21"/>
                      <w:color w:val="000000"/>
                    </w:rPr>
                    <w:t>、开关测量范围：9V-15V</w:t>
                  </w:r>
                  <w:r>
                    <w:br/>
                  </w:r>
                  <w:r>
                    <w:rPr>
                      <w:rFonts w:ascii="仿宋_GB2312" w:hAnsi="仿宋_GB2312" w:cs="仿宋_GB2312" w:eastAsia="仿宋_GB2312"/>
                      <w:sz w:val="21"/>
                      <w:color w:val="000000"/>
                    </w:rPr>
                    <w:t>9、通讯方式：4G/5G</w:t>
                  </w:r>
                  <w:r>
                    <w:br/>
                  </w:r>
                  <w:r>
                    <w:rPr>
                      <w:rFonts w:ascii="仿宋_GB2312" w:hAnsi="仿宋_GB2312" w:cs="仿宋_GB2312" w:eastAsia="仿宋_GB2312"/>
                      <w:sz w:val="21"/>
                      <w:color w:val="000000"/>
                    </w:rPr>
                    <w:t>10、质保要求：整机运维三年质保</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1.11</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交通抓拍摄像机</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1、传感器类型：1/1.8＂ progressive scan CMOS 400W像素</w:t>
                  </w:r>
                  <w:r>
                    <w:br/>
                  </w:r>
                  <w:r>
                    <w:rPr>
                      <w:rFonts w:ascii="仿宋_GB2312" w:hAnsi="仿宋_GB2312" w:cs="仿宋_GB2312" w:eastAsia="仿宋_GB2312"/>
                      <w:sz w:val="22"/>
                      <w:color w:val="000000"/>
                    </w:rPr>
                    <w:t xml:space="preserve">最低照度：0.0006Lux @ (F1.6，AGC ON),黑白：0.0005Lux @(F1.6，AGC ON) ，0 Lux with IR </w:t>
                  </w:r>
                  <w:r>
                    <w:br/>
                  </w:r>
                  <w:r>
                    <w:rPr>
                      <w:rFonts w:ascii="仿宋_GB2312" w:hAnsi="仿宋_GB2312" w:cs="仿宋_GB2312" w:eastAsia="仿宋_GB2312"/>
                      <w:sz w:val="22"/>
                      <w:color w:val="000000"/>
                    </w:rPr>
                    <w:t>2、焦距：6.5 mm to 130 mm, 25× Optical</w:t>
                  </w:r>
                  <w:r>
                    <w:br/>
                  </w:r>
                  <w:r>
                    <w:rPr>
                      <w:rFonts w:ascii="仿宋_GB2312" w:hAnsi="仿宋_GB2312" w:cs="仿宋_GB2312" w:eastAsia="仿宋_GB2312"/>
                      <w:sz w:val="22"/>
                      <w:color w:val="000000"/>
                    </w:rPr>
                    <w:t>3、支持车辆抓拍等、支持定时抓图与事件抓图功能，支持定时任务、一键守望、一键巡航等功能；</w:t>
                  </w:r>
                  <w:r>
                    <w:br/>
                  </w:r>
                  <w:r>
                    <w:rPr>
                      <w:rFonts w:ascii="仿宋_GB2312" w:hAnsi="仿宋_GB2312" w:cs="仿宋_GB2312" w:eastAsia="仿宋_GB2312"/>
                      <w:sz w:val="22"/>
                      <w:color w:val="000000"/>
                    </w:rPr>
                    <w:t>4、工作温湿度：-40℃-70℃；湿度小于95%。</w:t>
                  </w:r>
                  <w:r>
                    <w:br/>
                  </w:r>
                  <w:r>
                    <w:rPr>
                      <w:rFonts w:ascii="仿宋_GB2312" w:hAnsi="仿宋_GB2312" w:cs="仿宋_GB2312" w:eastAsia="仿宋_GB2312"/>
                      <w:sz w:val="22"/>
                      <w:color w:val="000000"/>
                    </w:rPr>
                    <w:t>质保要求：整机运维质保3年。</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1.12</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NVR硬盘录像机</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 1U标准机架式2盘位网络硬盘录像机，已内置8TB硬盘；</w:t>
                  </w:r>
                  <w:r>
                    <w:br/>
                  </w:r>
                  <w:r>
                    <w:rPr>
                      <w:rFonts w:ascii="仿宋_GB2312" w:hAnsi="仿宋_GB2312" w:cs="仿宋_GB2312" w:eastAsia="仿宋_GB2312"/>
                      <w:sz w:val="22"/>
                      <w:color w:val="000000"/>
                    </w:rPr>
                    <w:t>2. 1个HDMI接口，1个VGA接口，最大支持4K输出；2个10M/100M/1000Mbps网口；</w:t>
                  </w:r>
                  <w:r>
                    <w:br/>
                  </w:r>
                  <w:r>
                    <w:rPr>
                      <w:rFonts w:ascii="仿宋_GB2312" w:hAnsi="仿宋_GB2312" w:cs="仿宋_GB2312" w:eastAsia="仿宋_GB2312"/>
                      <w:sz w:val="22"/>
                      <w:color w:val="000000"/>
                    </w:rPr>
                    <w:t>3. 输入带宽不小于128Mbps，输出带宽不小于256Mbps，接入能力不低于8路H.264、H.265格式高清码流接入，最大支持8×1080P解码。</w:t>
                  </w:r>
                  <w:r>
                    <w:br/>
                  </w:r>
                  <w:r>
                    <w:rPr>
                      <w:rFonts w:ascii="仿宋_GB2312" w:hAnsi="仿宋_GB2312" w:cs="仿宋_GB2312" w:eastAsia="仿宋_GB2312"/>
                      <w:sz w:val="22"/>
                      <w:color w:val="000000"/>
                    </w:rPr>
                    <w:t>质保要求：整机运维质保3年。</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1.13</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24口工业交换机</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1、提供千兆电口≥24个，万兆 SFP+ 光口≥4个，双电源冗余备份；</w:t>
                  </w:r>
                  <w:r>
                    <w:br/>
                  </w:r>
                  <w:r>
                    <w:rPr>
                      <w:rFonts w:ascii="仿宋_GB2312" w:hAnsi="仿宋_GB2312" w:cs="仿宋_GB2312" w:eastAsia="仿宋_GB2312"/>
                      <w:sz w:val="22"/>
                      <w:color w:val="000000"/>
                    </w:rPr>
                    <w:t>3、工作温度-40-75°C；</w:t>
                  </w:r>
                  <w:r>
                    <w:br/>
                  </w:r>
                  <w:r>
                    <w:rPr>
                      <w:rFonts w:ascii="仿宋_GB2312" w:hAnsi="仿宋_GB2312" w:cs="仿宋_GB2312" w:eastAsia="仿宋_GB2312"/>
                      <w:sz w:val="22"/>
                      <w:color w:val="000000"/>
                    </w:rPr>
                    <w:t>4、支持支持静态路由、RIP、OSPF、OSPFv3、IS-IS、IS-ISv6、 BGP、BGP4+等协议；</w:t>
                  </w:r>
                  <w:r>
                    <w:br/>
                  </w:r>
                  <w:r>
                    <w:rPr>
                      <w:rFonts w:ascii="仿宋_GB2312" w:hAnsi="仿宋_GB2312" w:cs="仿宋_GB2312" w:eastAsia="仿宋_GB2312"/>
                      <w:sz w:val="22"/>
                      <w:color w:val="000000"/>
                    </w:rPr>
                    <w:t>5、支持G.8032以太网环保护协议ERPS，切换时间≤50ms。</w:t>
                  </w:r>
                  <w:r>
                    <w:br/>
                  </w:r>
                  <w:r>
                    <w:rPr>
                      <w:rFonts w:ascii="仿宋_GB2312" w:hAnsi="仿宋_GB2312" w:cs="仿宋_GB2312" w:eastAsia="仿宋_GB2312"/>
                      <w:sz w:val="22"/>
                      <w:color w:val="000000"/>
                    </w:rPr>
                    <w:t>质保要求：整机运维质保3年。</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1.14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路由器</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1、转发性能≥500Kpps，千兆电口≥4个，千兆光口≥1个；</w:t>
                  </w:r>
                  <w:r>
                    <w:br/>
                  </w:r>
                  <w:r>
                    <w:rPr>
                      <w:rFonts w:ascii="仿宋_GB2312" w:hAnsi="仿宋_GB2312" w:cs="仿宋_GB2312" w:eastAsia="仿宋_GB2312"/>
                      <w:sz w:val="22"/>
                      <w:color w:val="000000"/>
                    </w:rPr>
                    <w:t>2、支持RIPv1/v2、OSPFv2、BGP、IS-IS、RIPng、OSPFv3、IS-ISv6、BGP4+等动态路由协议、静态路由、路由策略，支持IPv4和IPv6路由策略；</w:t>
                  </w:r>
                  <w:r>
                    <w:br/>
                  </w:r>
                  <w:r>
                    <w:rPr>
                      <w:rFonts w:ascii="仿宋_GB2312" w:hAnsi="仿宋_GB2312" w:cs="仿宋_GB2312" w:eastAsia="仿宋_GB2312"/>
                      <w:sz w:val="22"/>
                      <w:color w:val="000000"/>
                    </w:rPr>
                    <w:t>3、支持CLI、Telnet、SSH 、SNMPv1/v2c/v3进行管理 ；</w:t>
                  </w:r>
                  <w:r>
                    <w:br/>
                  </w:r>
                  <w:r>
                    <w:rPr>
                      <w:rFonts w:ascii="仿宋_GB2312" w:hAnsi="仿宋_GB2312" w:cs="仿宋_GB2312" w:eastAsia="仿宋_GB2312"/>
                      <w:sz w:val="22"/>
                      <w:color w:val="000000"/>
                    </w:rPr>
                    <w:t>4、环境温度：-40～70℃，环境相对湿度：5～95%（不结露）；</w:t>
                  </w:r>
                  <w:r>
                    <w:br/>
                  </w:r>
                  <w:r>
                    <w:rPr>
                      <w:rFonts w:ascii="仿宋_GB2312" w:hAnsi="仿宋_GB2312" w:cs="仿宋_GB2312" w:eastAsia="仿宋_GB2312"/>
                      <w:sz w:val="22"/>
                      <w:color w:val="000000"/>
                    </w:rPr>
                    <w:t>5、质保要求：整机运维质保3年。</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left"/>
            </w:pPr>
            <w:r>
              <w:rPr>
                <w:rFonts w:ascii="仿宋_GB2312" w:hAnsi="仿宋_GB2312" w:cs="仿宋_GB2312" w:eastAsia="仿宋_GB2312"/>
                <w:sz w:val="24"/>
              </w:rPr>
              <w:t>注：上表中</w:t>
            </w:r>
            <w:r>
              <w:rPr>
                <w:rFonts w:ascii="仿宋_GB2312" w:hAnsi="仿宋_GB2312" w:cs="仿宋_GB2312" w:eastAsia="仿宋_GB2312"/>
                <w:sz w:val="24"/>
              </w:rPr>
              <w:t>▲项为</w:t>
            </w:r>
            <w:r>
              <w:rPr>
                <w:rFonts w:ascii="仿宋_GB2312" w:hAnsi="仿宋_GB2312" w:cs="仿宋_GB2312" w:eastAsia="仿宋_GB2312"/>
                <w:sz w:val="24"/>
              </w:rPr>
              <w:t>重要技术指标</w:t>
            </w:r>
            <w:r>
              <w:rPr>
                <w:rFonts w:ascii="仿宋_GB2312" w:hAnsi="仿宋_GB2312" w:cs="仿宋_GB2312" w:eastAsia="仿宋_GB2312"/>
                <w:sz w:val="24"/>
              </w:rPr>
              <w:t>，须提供合法有效的检测报告等证明材料（彩页或宣传册等不予认可）。</w:t>
            </w:r>
          </w:p>
          <w:p>
            <w:pPr>
              <w:pStyle w:val="null3"/>
            </w:pPr>
            <w:r>
              <w:rPr>
                <w:rFonts w:ascii="仿宋_GB2312" w:hAnsi="仿宋_GB2312" w:cs="仿宋_GB2312" w:eastAsia="仿宋_GB2312"/>
                <w:sz w:val="28"/>
                <w:b/>
              </w:rPr>
              <w:t>排水专项数据普查</w:t>
            </w:r>
          </w:p>
          <w:tbl>
            <w:tblPr>
              <w:tblInd w:type="dxa" w:w="90"/>
              <w:tblBorders>
                <w:top w:val="none" w:color="000000" w:sz="4"/>
                <w:left w:val="none" w:color="000000" w:sz="4"/>
                <w:bottom w:val="none" w:color="000000" w:sz="4"/>
                <w:right w:val="none" w:color="000000" w:sz="4"/>
                <w:insideH w:val="none"/>
                <w:insideV w:val="none"/>
              </w:tblBorders>
            </w:tblPr>
            <w:tblGrid>
              <w:gridCol w:w="205"/>
              <w:gridCol w:w="565"/>
              <w:gridCol w:w="832"/>
              <w:gridCol w:w="216"/>
              <w:gridCol w:w="220"/>
              <w:gridCol w:w="495"/>
            </w:tblGrid>
            <w:tr>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color w:val="000000"/>
                    </w:rPr>
                    <w:t>序号</w:t>
                  </w:r>
                </w:p>
              </w:tc>
              <w:tc>
                <w:tcPr>
                  <w:tcW w:type="dxa" w:w="5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color w:val="000000"/>
                    </w:rPr>
                    <w:t>名称</w:t>
                  </w:r>
                </w:p>
              </w:tc>
              <w:tc>
                <w:tcPr>
                  <w:tcW w:type="dxa" w:w="8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color w:val="000000"/>
                    </w:rPr>
                    <w:t>工作说明</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color w:val="000000"/>
                    </w:rPr>
                    <w:t>单位</w:t>
                  </w: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color w:val="000000"/>
                    </w:rPr>
                    <w:t>数量</w:t>
                  </w:r>
                </w:p>
              </w:tc>
              <w:tc>
                <w:tcPr>
                  <w:tcW w:type="dxa" w:w="4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color w:val="000000"/>
                    </w:rPr>
                    <w:t>备注</w:t>
                  </w:r>
                </w:p>
              </w:tc>
            </w:tr>
            <w:tr>
              <w:tc>
                <w:tcPr>
                  <w:tcW w:type="dxa" w:w="2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排水专项数据普查</w:t>
                  </w:r>
                </w:p>
              </w:tc>
              <w:tc>
                <w:tcPr>
                  <w:tcW w:type="dxa" w:w="8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针对排水管网数据进行普查</w:t>
                  </w:r>
                </w:p>
              </w:tc>
              <w:tc>
                <w:tcPr>
                  <w:tcW w:type="dxa" w:w="2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公里</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249.8</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普查较大和一般风险管道</w:t>
                  </w:r>
                </w:p>
              </w:tc>
            </w:tr>
          </w:tbl>
          <w:p>
            <w:pPr>
              <w:pStyle w:val="null3"/>
              <w:jc w:val="both"/>
            </w:pPr>
            <w:r>
              <w:rPr>
                <w:rFonts w:ascii="仿宋_GB2312" w:hAnsi="仿宋_GB2312" w:cs="仿宋_GB2312" w:eastAsia="仿宋_GB2312"/>
                <w:sz w:val="30"/>
                <w:b/>
              </w:rPr>
              <w:t>系统集成实施</w:t>
            </w:r>
          </w:p>
          <w:tbl>
            <w:tblPr>
              <w:tblInd w:type="dxa" w:w="90"/>
              <w:tblBorders>
                <w:top w:val="none" w:color="000000" w:sz="4"/>
                <w:left w:val="none" w:color="000000" w:sz="4"/>
                <w:bottom w:val="none" w:color="000000" w:sz="4"/>
                <w:right w:val="none" w:color="000000" w:sz="4"/>
                <w:insideH w:val="none"/>
                <w:insideV w:val="none"/>
              </w:tblBorders>
            </w:tblPr>
            <w:tblGrid>
              <w:gridCol w:w="223"/>
              <w:gridCol w:w="597"/>
              <w:gridCol w:w="400"/>
              <w:gridCol w:w="494"/>
              <w:gridCol w:w="828"/>
            </w:tblGrid>
            <w:tr>
              <w:tc>
                <w:tcPr>
                  <w:tcW w:type="dxa" w:w="22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b/>
                      <w:color w:val="000000"/>
                    </w:rPr>
                    <w:t>序号</w:t>
                  </w:r>
                </w:p>
              </w:tc>
              <w:tc>
                <w:tcPr>
                  <w:tcW w:type="dxa" w:w="59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b/>
                      <w:color w:val="000000"/>
                    </w:rPr>
                    <w:t>名称</w:t>
                  </w:r>
                </w:p>
              </w:tc>
              <w:tc>
                <w:tcPr>
                  <w:tcW w:type="dxa" w:w="40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b/>
                      <w:color w:val="000000"/>
                    </w:rPr>
                    <w:t>单位</w:t>
                  </w:r>
                </w:p>
              </w:tc>
              <w:tc>
                <w:tcPr>
                  <w:tcW w:type="dxa" w:w="49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b/>
                      <w:color w:val="000000"/>
                    </w:rPr>
                    <w:t>数量</w:t>
                  </w:r>
                </w:p>
              </w:tc>
              <w:tc>
                <w:tcPr>
                  <w:tcW w:type="dxa" w:w="82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b/>
                      <w:color w:val="000000"/>
                    </w:rPr>
                    <w:t>备注</w:t>
                  </w:r>
                </w:p>
              </w:tc>
            </w:tr>
            <w:tr>
              <w:tc>
                <w:tcPr>
                  <w:tcW w:type="dxa" w:w="2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5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系统集成实施</w:t>
                  </w:r>
                </w:p>
              </w:tc>
              <w:tc>
                <w:tcPr>
                  <w:tcW w:type="dxa" w:w="4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4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8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8"/>
                <w:b/>
              </w:rPr>
              <w:t>前端物联网设备流量</w:t>
            </w:r>
            <w:r>
              <w:rPr>
                <w:rFonts w:ascii="仿宋_GB2312" w:hAnsi="仿宋_GB2312" w:cs="仿宋_GB2312" w:eastAsia="仿宋_GB2312"/>
                <w:sz w:val="28"/>
                <w:b/>
              </w:rPr>
              <w:t>卡</w:t>
            </w:r>
          </w:p>
          <w:tbl>
            <w:tblPr>
              <w:tblInd w:type="dxa" w:w="90"/>
              <w:tblBorders>
                <w:top w:val="none" w:color="000000" w:sz="4"/>
                <w:left w:val="none" w:color="000000" w:sz="4"/>
                <w:bottom w:val="none" w:color="000000" w:sz="4"/>
                <w:right w:val="none" w:color="000000" w:sz="4"/>
                <w:insideH w:val="none"/>
                <w:insideV w:val="none"/>
              </w:tblBorders>
            </w:tblPr>
            <w:tblGrid>
              <w:gridCol w:w="237"/>
              <w:gridCol w:w="531"/>
              <w:gridCol w:w="346"/>
              <w:gridCol w:w="281"/>
              <w:gridCol w:w="426"/>
              <w:gridCol w:w="716"/>
            </w:tblGrid>
            <w:tr>
              <w:tc>
                <w:tcPr>
                  <w:tcW w:type="dxa" w:w="23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b/>
                      <w:color w:val="000000"/>
                    </w:rPr>
                    <w:t>序号</w:t>
                  </w:r>
                </w:p>
              </w:tc>
              <w:tc>
                <w:tcPr>
                  <w:tcW w:type="dxa" w:w="53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b/>
                      <w:color w:val="000000"/>
                    </w:rPr>
                    <w:t>名称</w:t>
                  </w:r>
                </w:p>
              </w:tc>
              <w:tc>
                <w:tcPr>
                  <w:tcW w:type="dxa" w:w="34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b/>
                      <w:color w:val="000000"/>
                    </w:rPr>
                    <w:t>主要规格</w:t>
                  </w:r>
                </w:p>
              </w:tc>
              <w:tc>
                <w:tcPr>
                  <w:tcW w:type="dxa" w:w="28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b/>
                      <w:color w:val="000000"/>
                    </w:rPr>
                    <w:t>单位</w:t>
                  </w:r>
                </w:p>
              </w:tc>
              <w:tc>
                <w:tcPr>
                  <w:tcW w:type="dxa" w:w="42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b/>
                      <w:color w:val="000000"/>
                    </w:rPr>
                    <w:t>数量</w:t>
                  </w:r>
                </w:p>
              </w:tc>
              <w:tc>
                <w:tcPr>
                  <w:tcW w:type="dxa" w:w="71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b/>
                      <w:color w:val="000000"/>
                    </w:rPr>
                    <w:t>备注</w:t>
                  </w:r>
                </w:p>
              </w:tc>
            </w:tr>
            <w:tr>
              <w:tc>
                <w:tcPr>
                  <w:tcW w:type="dxa" w:w="2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5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设备流量卡（宽带）</w:t>
                  </w:r>
                </w:p>
              </w:tc>
              <w:tc>
                <w:tcPr>
                  <w:tcW w:type="dxa" w:w="3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100M/月,4G/5G（宽带）</w:t>
                  </w:r>
                </w:p>
              </w:tc>
              <w:tc>
                <w:tcPr>
                  <w:tcW w:type="dxa" w:w="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张/年</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205</w:t>
                  </w:r>
                </w:p>
              </w:tc>
              <w:tc>
                <w:tcPr>
                  <w:tcW w:type="dxa" w:w="7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供水：高频压力计30个；</w:t>
                  </w:r>
                  <w:r>
                    <w:br/>
                  </w:r>
                  <w:r>
                    <w:rPr>
                      <w:rFonts w:ascii="仿宋_GB2312" w:hAnsi="仿宋_GB2312" w:cs="仿宋_GB2312" w:eastAsia="仿宋_GB2312"/>
                      <w:sz w:val="22"/>
                      <w:color w:val="000000"/>
                    </w:rPr>
                    <w:t>排水：76套管网液位计，39套管网流量计，26套积水点水位计，11套雨量计，16套河道水位计，26套智能球机，共计205套。</w:t>
                  </w:r>
                </w:p>
              </w:tc>
            </w:tr>
            <w:tr>
              <w:tc>
                <w:tcPr>
                  <w:tcW w:type="dxa" w:w="2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5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设备流量卡（窄带）</w:t>
                  </w:r>
                </w:p>
              </w:tc>
              <w:tc>
                <w:tcPr>
                  <w:tcW w:type="dxa" w:w="3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20M/月， NB通信协议（窄带）</w:t>
                  </w:r>
                </w:p>
              </w:tc>
              <w:tc>
                <w:tcPr>
                  <w:tcW w:type="dxa" w:w="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张/年</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558</w:t>
                  </w:r>
                </w:p>
              </w:tc>
              <w:tc>
                <w:tcPr>
                  <w:tcW w:type="dxa" w:w="7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燃气：558套可燃气体智能监测仪(相邻空间)；</w:t>
                  </w:r>
                </w:p>
              </w:tc>
            </w:tr>
            <w:tr>
              <w:tc>
                <w:tcPr>
                  <w:tcW w:type="dxa" w:w="2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5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桥梁前端</w:t>
                  </w:r>
                </w:p>
              </w:tc>
              <w:tc>
                <w:tcPr>
                  <w:tcW w:type="dxa" w:w="3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20Mbps MSTP专线</w:t>
                  </w:r>
                </w:p>
              </w:tc>
              <w:tc>
                <w:tcPr>
                  <w:tcW w:type="dxa" w:w="2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7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15座桥</w:t>
                  </w:r>
                </w:p>
              </w:tc>
            </w:tr>
          </w:tbl>
          <w:p>
            <w:pPr>
              <w:pStyle w:val="null3"/>
              <w:jc w:val="both"/>
            </w:pPr>
            <w:r>
              <w:rPr>
                <w:rFonts w:ascii="仿宋_GB2312" w:hAnsi="仿宋_GB2312" w:cs="仿宋_GB2312" w:eastAsia="仿宋_GB2312"/>
                <w:sz w:val="30"/>
                <w:b/>
              </w:rPr>
              <w:t>（二）其他要求</w:t>
            </w:r>
          </w:p>
          <w:p>
            <w:pPr>
              <w:pStyle w:val="null3"/>
              <w:ind w:firstLine="480"/>
              <w:jc w:val="left"/>
            </w:pPr>
            <w:r>
              <w:rPr>
                <w:rFonts w:ascii="仿宋_GB2312" w:hAnsi="仿宋_GB2312" w:cs="仿宋_GB2312" w:eastAsia="仿宋_GB2312"/>
                <w:sz w:val="24"/>
              </w:rPr>
              <w:t>1.系统建成目标</w:t>
            </w:r>
          </w:p>
          <w:p>
            <w:pPr>
              <w:pStyle w:val="null3"/>
              <w:ind w:firstLine="480"/>
              <w:jc w:val="left"/>
            </w:pPr>
            <w:r>
              <w:rPr>
                <w:rFonts w:ascii="仿宋_GB2312" w:hAnsi="仿宋_GB2312" w:cs="仿宋_GB2312" w:eastAsia="仿宋_GB2312"/>
                <w:sz w:val="24"/>
              </w:rPr>
              <w:t>精准匹配一标段软件系统功能需求，通过前端物联采集设备及配套硬件的部署与集成，构建</w:t>
            </w:r>
            <w:r>
              <w:rPr>
                <w:rFonts w:ascii="仿宋_GB2312" w:hAnsi="仿宋_GB2312" w:cs="仿宋_GB2312" w:eastAsia="仿宋_GB2312"/>
                <w:sz w:val="24"/>
              </w:rPr>
              <w:t>“前端感知采集 - 数据传输汇聚 - 后端分析应用” 的全链路支撑体系，为城市生命线安全运行综合监管提供实时、准确、全面的硬件数据底座，助力实现燃气、排水、桥梁等重点领域风险隐患的早期识别、动态预警和快速处置。</w:t>
            </w:r>
          </w:p>
          <w:p>
            <w:pPr>
              <w:pStyle w:val="null3"/>
              <w:ind w:firstLine="480"/>
              <w:jc w:val="left"/>
            </w:pPr>
            <w:r>
              <w:rPr>
                <w:rFonts w:ascii="仿宋_GB2312" w:hAnsi="仿宋_GB2312" w:cs="仿宋_GB2312" w:eastAsia="仿宋_GB2312"/>
                <w:sz w:val="24"/>
              </w:rPr>
              <w:t>落实国家、省、市关于城市基础设施生命线安全工程的文件要求，依托硬件设备的常态化运行，强化咸阳市中心城区及重点开发区的城市基础设施安全监测能力，有效防范燃气爆炸、城市内涝、桥梁坍塌等重大安全事故，夯实城市安全韧性基础，保障人民群众生命财产安全。</w:t>
            </w:r>
          </w:p>
          <w:p>
            <w:pPr>
              <w:pStyle w:val="null3"/>
              <w:ind w:firstLine="480"/>
              <w:jc w:val="left"/>
            </w:pPr>
            <w:r>
              <w:rPr>
                <w:rFonts w:ascii="仿宋_GB2312" w:hAnsi="仿宋_GB2312" w:cs="仿宋_GB2312" w:eastAsia="仿宋_GB2312"/>
                <w:sz w:val="24"/>
              </w:rPr>
              <w:t>确保硬件系统与一标段软件系统深度协同，形成</w:t>
            </w:r>
            <w:r>
              <w:rPr>
                <w:rFonts w:ascii="仿宋_GB2312" w:hAnsi="仿宋_GB2312" w:cs="仿宋_GB2312" w:eastAsia="仿宋_GB2312"/>
                <w:sz w:val="24"/>
              </w:rPr>
              <w:t>“硬件采集数据、软件分析应用” 的闭环联动，全面提升城市生命线安全运行的监测精度、响应速度和处置效率，为城市安全保障提供长效硬件支撑。</w:t>
            </w:r>
          </w:p>
          <w:p>
            <w:pPr>
              <w:pStyle w:val="null3"/>
              <w:ind w:firstLine="480"/>
              <w:jc w:val="left"/>
            </w:pPr>
            <w:r>
              <w:rPr>
                <w:rFonts w:ascii="仿宋_GB2312" w:hAnsi="仿宋_GB2312" w:cs="仿宋_GB2312" w:eastAsia="仿宋_GB2312"/>
                <w:sz w:val="24"/>
              </w:rPr>
              <w:t>2.系统建成成果</w:t>
            </w:r>
          </w:p>
          <w:p>
            <w:pPr>
              <w:pStyle w:val="null3"/>
              <w:ind w:firstLine="480"/>
              <w:jc w:val="left"/>
            </w:pPr>
            <w:r>
              <w:rPr>
                <w:rFonts w:ascii="仿宋_GB2312" w:hAnsi="仿宋_GB2312" w:cs="仿宋_GB2312" w:eastAsia="仿宋_GB2312"/>
                <w:sz w:val="24"/>
              </w:rPr>
              <w:t>全覆盖的前端感知网络：完成燃气、排水、桥梁领域高风险点位的前端监测感知设备布设，实现可燃气体、液位、流量、桥梁应变、索力等关键监测指标的全面采集，感知网络覆盖咸阳市中心城区及重点开发区，做到重点区域无监测盲区。</w:t>
            </w:r>
          </w:p>
          <w:p>
            <w:pPr>
              <w:pStyle w:val="null3"/>
              <w:ind w:firstLine="480"/>
              <w:jc w:val="left"/>
            </w:pPr>
            <w:r>
              <w:rPr>
                <w:rFonts w:ascii="仿宋_GB2312" w:hAnsi="仿宋_GB2312" w:cs="仿宋_GB2312" w:eastAsia="仿宋_GB2312"/>
                <w:sz w:val="24"/>
              </w:rPr>
              <w:t>高可靠的数据采集传输能力：所有前端物联采集设备运行稳定，监测精度、传输频率等技术指标符合国家现行标准及软件系统要求，能够实时、准确上传监测数据，数据传输成功率、完整性达标，为一标段软件系统的分析、预警功能提供高质量数据支撑。</w:t>
            </w:r>
          </w:p>
          <w:p>
            <w:pPr>
              <w:pStyle w:val="null3"/>
              <w:ind w:firstLine="480"/>
              <w:jc w:val="left"/>
            </w:pPr>
            <w:r>
              <w:rPr>
                <w:rFonts w:ascii="仿宋_GB2312" w:hAnsi="仿宋_GB2312" w:cs="仿宋_GB2312" w:eastAsia="仿宋_GB2312"/>
                <w:sz w:val="24"/>
              </w:rPr>
              <w:t>高性能的硬件支撑平台：核心硬件设备配置达标、运行高效，能够承载一标段软件系统的数据处理、业务运行需求，保障系统整体响应速度；</w:t>
            </w:r>
          </w:p>
          <w:p>
            <w:pPr>
              <w:pStyle w:val="null3"/>
              <w:ind w:firstLine="480"/>
              <w:jc w:val="left"/>
            </w:pPr>
            <w:r>
              <w:rPr>
                <w:rFonts w:ascii="仿宋_GB2312" w:hAnsi="仿宋_GB2312" w:cs="仿宋_GB2312" w:eastAsia="仿宋_GB2312"/>
                <w:sz w:val="24"/>
              </w:rPr>
              <w:t>完成排水专项数据普查成果：全面摸清咸阳市排水领域相关基础数据，形成规范、完整的排水专项数据档案，为一标段排水安全专项应用系统的精准分析和高效运行提供数据基础。</w:t>
            </w:r>
          </w:p>
          <w:p>
            <w:pPr>
              <w:pStyle w:val="null3"/>
              <w:ind w:firstLine="480"/>
              <w:jc w:val="left"/>
            </w:pPr>
            <w:r>
              <w:rPr>
                <w:rFonts w:ascii="仿宋_GB2312" w:hAnsi="仿宋_GB2312" w:cs="仿宋_GB2312" w:eastAsia="仿宋_GB2312"/>
                <w:sz w:val="24"/>
              </w:rPr>
              <w:t>一体化的软硬件集成体系：所有硬件设备完成系统集成，与一标段软件系统实现无缝对接，形成</w:t>
            </w:r>
            <w:r>
              <w:rPr>
                <w:rFonts w:ascii="仿宋_GB2312" w:hAnsi="仿宋_GB2312" w:cs="仿宋_GB2312" w:eastAsia="仿宋_GB2312"/>
                <w:sz w:val="24"/>
              </w:rPr>
              <w:t>“采集 - 传输 - 分析 - 预警 - 指挥 - 处置” 的全流程协同运作体系，确保硬件数据能够被软件系统有效接收、处理和应用，整体系统运行稳定、协同高效。</w:t>
            </w:r>
          </w:p>
          <w:p>
            <w:pPr>
              <w:pStyle w:val="null3"/>
              <w:ind w:firstLine="480"/>
              <w:jc w:val="left"/>
            </w:pPr>
            <w:r>
              <w:rPr>
                <w:rFonts w:ascii="仿宋_GB2312" w:hAnsi="仿宋_GB2312" w:cs="仿宋_GB2312" w:eastAsia="仿宋_GB2312"/>
                <w:sz w:val="24"/>
              </w:rPr>
              <w:t>3.与一标段衔接工作要求</w:t>
            </w:r>
          </w:p>
          <w:p>
            <w:pPr>
              <w:pStyle w:val="null3"/>
              <w:ind w:firstLine="480"/>
              <w:jc w:val="left"/>
            </w:pPr>
            <w:r>
              <w:rPr>
                <w:rFonts w:ascii="仿宋_GB2312" w:hAnsi="仿宋_GB2312" w:cs="仿宋_GB2312" w:eastAsia="仿宋_GB2312"/>
                <w:sz w:val="24"/>
              </w:rPr>
              <w:t>数据对接衔接：</w:t>
            </w:r>
          </w:p>
          <w:p>
            <w:pPr>
              <w:pStyle w:val="null3"/>
              <w:ind w:firstLine="480"/>
              <w:jc w:val="left"/>
            </w:pPr>
            <w:r>
              <w:rPr>
                <w:rFonts w:ascii="仿宋_GB2312" w:hAnsi="仿宋_GB2312" w:cs="仿宋_GB2312" w:eastAsia="仿宋_GB2312"/>
                <w:sz w:val="24"/>
              </w:rPr>
              <w:t>硬件设备的数据接口、传输协议、数据格式需严格遵循一标段软件系统的技术规范，提前与一标段中标单位沟通确认接口标准，确保前端采集的数据能够无缝接入一标段综合安全应用及各专项应用系统，实现数据实时同步、无偏差传输。</w:t>
            </w:r>
          </w:p>
          <w:p>
            <w:pPr>
              <w:pStyle w:val="null3"/>
              <w:ind w:firstLine="480"/>
              <w:jc w:val="left"/>
            </w:pPr>
            <w:r>
              <w:rPr>
                <w:rFonts w:ascii="仿宋_GB2312" w:hAnsi="仿宋_GB2312" w:cs="仿宋_GB2312" w:eastAsia="仿宋_GB2312"/>
                <w:sz w:val="24"/>
              </w:rPr>
              <w:t>排水专项数据普查成果需按照一标段软件系统的数据存储、管理要求进行整理归档，确保数据能够被软件系统直接调用，支撑排水领域的风险分析、预警研判等功能。</w:t>
            </w:r>
          </w:p>
          <w:p>
            <w:pPr>
              <w:pStyle w:val="null3"/>
              <w:ind w:firstLine="480"/>
              <w:jc w:val="left"/>
            </w:pPr>
            <w:r>
              <w:rPr>
                <w:rFonts w:ascii="仿宋_GB2312" w:hAnsi="仿宋_GB2312" w:cs="仿宋_GB2312" w:eastAsia="仿宋_GB2312"/>
                <w:sz w:val="24"/>
              </w:rPr>
              <w:t>技术标准衔接：</w:t>
            </w:r>
          </w:p>
          <w:p>
            <w:pPr>
              <w:pStyle w:val="null3"/>
              <w:ind w:firstLine="480"/>
              <w:jc w:val="left"/>
            </w:pPr>
            <w:r>
              <w:rPr>
                <w:rFonts w:ascii="仿宋_GB2312" w:hAnsi="仿宋_GB2312" w:cs="仿宋_GB2312" w:eastAsia="仿宋_GB2312"/>
                <w:sz w:val="24"/>
              </w:rPr>
              <w:t>硬件设备的监测精度、采样频率、传输延迟等技术指标需与一标段软件系统的数据分析要求保持一致，双方提前召开技术对接会，明确各项技术参数的协同标准，避免因参数不匹配影响系统整体运行效果。</w:t>
            </w:r>
          </w:p>
          <w:p>
            <w:pPr>
              <w:pStyle w:val="null3"/>
              <w:ind w:firstLine="480"/>
              <w:jc w:val="left"/>
            </w:pPr>
            <w:r>
              <w:rPr>
                <w:rFonts w:ascii="仿宋_GB2312" w:hAnsi="仿宋_GB2312" w:cs="仿宋_GB2312" w:eastAsia="仿宋_GB2312"/>
                <w:sz w:val="24"/>
              </w:rPr>
              <w:t>协同调试衔接：</w:t>
            </w:r>
          </w:p>
          <w:p>
            <w:pPr>
              <w:pStyle w:val="null3"/>
              <w:ind w:firstLine="480"/>
              <w:jc w:val="left"/>
            </w:pPr>
            <w:r>
              <w:rPr>
                <w:rFonts w:ascii="仿宋_GB2312" w:hAnsi="仿宋_GB2312" w:cs="仿宋_GB2312" w:eastAsia="仿宋_GB2312"/>
                <w:sz w:val="24"/>
              </w:rPr>
              <w:t>硬件设备安装、部署完成后，需配合一标段中标单位开展联合调试工作，共同排查数据采集、传输、接收、处理全流程中的问题，确保硬件设备与软件系统的协同运行顺畅，达成</w:t>
            </w:r>
            <w:r>
              <w:rPr>
                <w:rFonts w:ascii="仿宋_GB2312" w:hAnsi="仿宋_GB2312" w:cs="仿宋_GB2312" w:eastAsia="仿宋_GB2312"/>
                <w:sz w:val="24"/>
              </w:rPr>
              <w:t>“数据采集准确、软件分析有效、预警响应及时” 的目标。</w:t>
            </w:r>
          </w:p>
          <w:p>
            <w:pPr>
              <w:pStyle w:val="null3"/>
              <w:ind w:firstLine="480"/>
              <w:jc w:val="left"/>
            </w:pPr>
            <w:r>
              <w:rPr>
                <w:rFonts w:ascii="仿宋_GB2312" w:hAnsi="仿宋_GB2312" w:cs="仿宋_GB2312" w:eastAsia="仿宋_GB2312"/>
                <w:sz w:val="24"/>
              </w:rPr>
              <w:t>工作流程衔接：</w:t>
            </w:r>
          </w:p>
          <w:p>
            <w:pPr>
              <w:pStyle w:val="null3"/>
              <w:ind w:firstLine="480"/>
              <w:jc w:val="left"/>
            </w:pPr>
            <w:r>
              <w:rPr>
                <w:rFonts w:ascii="仿宋_GB2312" w:hAnsi="仿宋_GB2312" w:cs="仿宋_GB2312" w:eastAsia="仿宋_GB2312"/>
                <w:sz w:val="24"/>
              </w:rPr>
              <w:t>建立与一标段中标单位的常态化沟通机制，明确双方在项目实施过程中的对接责任人，定期召开进度协调会，同步推进硬件部署与软件开发进度，确保硬件设备安装调试与软件系统开发测试无缝衔接，不出现工期脱节。</w:t>
            </w:r>
          </w:p>
          <w:p>
            <w:pPr>
              <w:pStyle w:val="null3"/>
              <w:ind w:firstLine="480"/>
              <w:jc w:val="left"/>
            </w:pPr>
            <w:r>
              <w:rPr>
                <w:rFonts w:ascii="仿宋_GB2312" w:hAnsi="仿宋_GB2312" w:cs="仿宋_GB2312" w:eastAsia="仿宋_GB2312"/>
                <w:sz w:val="24"/>
              </w:rPr>
              <w:t>硬件设备交付时，需向一标段中标单位提供完整的技术资料（包括设备说明书、接口文档、调试手册等），为软件系统的适配调整、后期维护提供支撑；一标段中标单位需向硬件提供方反馈软件系统的适配需求，协助优化硬件运行参数。</w:t>
            </w:r>
          </w:p>
          <w:p>
            <w:pPr>
              <w:pStyle w:val="null3"/>
              <w:ind w:firstLine="480"/>
              <w:jc w:val="left"/>
            </w:pPr>
            <w:r>
              <w:rPr>
                <w:rFonts w:ascii="仿宋_GB2312" w:hAnsi="仿宋_GB2312" w:cs="仿宋_GB2312" w:eastAsia="仿宋_GB2312"/>
                <w:sz w:val="24"/>
              </w:rPr>
              <w:t>运维保障衔接：</w:t>
            </w:r>
          </w:p>
          <w:p>
            <w:pPr>
              <w:pStyle w:val="null3"/>
              <w:ind w:firstLine="480"/>
              <w:jc w:val="left"/>
            </w:pPr>
            <w:r>
              <w:rPr>
                <w:rFonts w:ascii="仿宋_GB2312" w:hAnsi="仿宋_GB2312" w:cs="仿宋_GB2312" w:eastAsia="仿宋_GB2312"/>
                <w:sz w:val="24"/>
              </w:rPr>
              <w:t>明确双方在后期运维中的责任边界，硬件提供方负责前端感知设备等设备的故障排查、维修更换；一标段中标单位负责软件系统的运维优化，双方建立应急联动机制，当出现软硬件协同故障时，及时联合处置，保障系统长期稳定运行。</w:t>
            </w:r>
          </w:p>
          <w:p>
            <w:pPr>
              <w:pStyle w:val="null3"/>
              <w:ind w:firstLine="480"/>
              <w:jc w:val="both"/>
            </w:pPr>
            <w:r>
              <w:rPr>
                <w:rFonts w:ascii="仿宋_GB2312" w:hAnsi="仿宋_GB2312" w:cs="仿宋_GB2312" w:eastAsia="仿宋_GB2312"/>
                <w:sz w:val="24"/>
              </w:rPr>
              <w:t>共同制定系统运维技术规范，确保硬件设备的运维操作与软件系统的运行要求相匹配，避免因单方面运维操作影响整体系统功能。</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本项目非专门面向中小企业采购</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本项目非专门面向中小企业采购</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合同签订后180日历天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合同签订后180日历天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符合采购人及国家、行业相关规范标准要求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符合采购人及国家、行业相关规范标准要求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进度款，本项目按月进度付款，支付已完成工程量80%的进度款，达到付款条件起30个工作日内，支付合同总金额的80.0%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进度款，项目全部完工后，待工程竣工验收合格且审计结果确认后支付至结算价的100%，达到付款条件起30个工作日内，支付合同总金额的20.0%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进度款，本项目按月进度付款，支付已完成工程量80%的进度款，达到付款条件起30个工作日内，支付合同总金额的80.0%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进度款，项目全部完工后，待工程竣工验收合格且审计结果确认后支付至结算价的100%，达到付款条件起30个工作日内，支付合同总金额的20.0%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详见合同约定</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营业执照/事业单位法人证书/专业服务机构执业许可证/民办非企业单位登记证书等相关证明，自然人参与的提供其身份证明，并在人员、设备、资金等方面具备相应的能力；(提供营业执照等主体资格证明文件复印件，加盖供应商公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财务审计报告（至少包括资产负债表和利润表，成立时间至提交响应文件截止时间不足一年的可提供成立后任意时段的资产负债表），或其基本存款账户开户银行出具的开标日期前六个月内资信证明及基本存款账户开户许可证（基本存款账户信息）</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供应商须提供2025年1月至今已缴存的至少一个月的纳税证明或完税证明（任意税种），依法免税的单位应提供相关证明材料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具有履行合同所必需的设备和专业技术能力的承诺</w:t>
            </w:r>
          </w:p>
        </w:tc>
        <w:tc>
          <w:tcPr>
            <w:tcW w:type="dxa" w:w="3322"/>
          </w:tcPr>
          <w:p>
            <w:pPr>
              <w:pStyle w:val="null3"/>
            </w:pPr>
            <w:r>
              <w:rPr>
                <w:rFonts w:ascii="仿宋_GB2312" w:hAnsi="仿宋_GB2312" w:cs="仿宋_GB2312" w:eastAsia="仿宋_GB2312"/>
              </w:rPr>
              <w:t>供应商须提供具有履行合同所必需的设备和专业技术能力的承诺；（提供承诺书，加盖供应商公章）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出具参加政府采购活动前三年内，在经营活动中没有重大违法记录的书面声明；（提供书面声明，加盖供应商公章）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供应商代表身份证明文件</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法定代表人授权书（附法定代表人、被授权人身份证复印件）及被授权人身份证（法定代表人直接参加投标，须提供法定代表人身份证明及身份证原件）</w:t>
            </w:r>
          </w:p>
        </w:tc>
        <w:tc>
          <w:tcPr>
            <w:tcW w:type="dxa" w:w="1661"/>
          </w:tcPr>
          <w:p>
            <w:pPr>
              <w:pStyle w:val="null3"/>
            </w:pPr>
            <w:r>
              <w:rPr>
                <w:rFonts w:ascii="仿宋_GB2312" w:hAnsi="仿宋_GB2312" w:cs="仿宋_GB2312" w:eastAsia="仿宋_GB2312"/>
              </w:rPr>
              <w:t>法定代表人身份证明书及法定代表人授权书.pdf 资格证明文件.pdf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项目负责人资格要求</w:t>
            </w:r>
          </w:p>
        </w:tc>
        <w:tc>
          <w:tcPr>
            <w:tcW w:type="dxa" w:w="3322"/>
          </w:tcPr>
          <w:p>
            <w:pPr>
              <w:pStyle w:val="null3"/>
            </w:pPr>
            <w:r>
              <w:rPr>
                <w:rFonts w:ascii="仿宋_GB2312" w:hAnsi="仿宋_GB2312" w:cs="仿宋_GB2312" w:eastAsia="仿宋_GB2312"/>
              </w:rPr>
              <w:t>拟派项目负责人需具备相关专业中级及以上职称或相关资格证书</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说明：不强制要求供应商提供查询截图，由采购人或采购代理机构以投标截止日当日网上查询结果作为评审依据）。</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企业关系关联承诺书</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 为本项目提供过项目管理、监理、检测等服务的供应商，不得再参加本项目采购活动。（提供“供应商企业关系关联承诺书”，式样见投标文件格式）。</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非联合体声明函</w:t>
            </w:r>
          </w:p>
        </w:tc>
        <w:tc>
          <w:tcPr>
            <w:tcW w:type="dxa" w:w="3322"/>
          </w:tcPr>
          <w:p>
            <w:pPr>
              <w:pStyle w:val="null3"/>
            </w:pPr>
            <w:r>
              <w:rPr>
                <w:rFonts w:ascii="仿宋_GB2312" w:hAnsi="仿宋_GB2312" w:cs="仿宋_GB2312" w:eastAsia="仿宋_GB2312"/>
              </w:rPr>
              <w:t>本项目不接受联合体投标，不允许分包,供应商需保证资质文件的真实、合法、有效；（提供“非联合体声明”，式样见投标文件格式）。</w:t>
            </w:r>
          </w:p>
        </w:tc>
        <w:tc>
          <w:tcPr>
            <w:tcW w:type="dxa" w:w="1661"/>
          </w:tcPr>
          <w:p>
            <w:pPr>
              <w:pStyle w:val="null3"/>
            </w:pPr>
            <w:r>
              <w:rPr>
                <w:rFonts w:ascii="仿宋_GB2312" w:hAnsi="仿宋_GB2312" w:cs="仿宋_GB2312" w:eastAsia="仿宋_GB2312"/>
              </w:rPr>
              <w:t>资格证明文件.pdf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营业执照/事业单位法人证书/专业服务机构执业许可证/民办非企业单位登记证书等相关证明，自然人参与的提供其身份证明，并在人员、设备、资金等方面具备相应的能力；(提供营业执照等主体资格证明文件复印件，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财务审计报告（至少包括资产负债表和利润表，成立时间至提交响应文件截止时间不足一年的可提供成立后任意时段的资产负债表），或其基本存款账户开户银行出具的开标日期前六个月内资信证明及基本存款账户开户许可证（基本存款账户信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供应商须提供2025年1月至今已缴存的至少一个月的纳税证明或完税证明（任意税种），依法免税的单位应提供相关证明材料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具有履行合同所必需的设备和专业技术能力的承诺</w:t>
            </w:r>
          </w:p>
        </w:tc>
        <w:tc>
          <w:tcPr>
            <w:tcW w:type="dxa" w:w="3322"/>
          </w:tcPr>
          <w:p>
            <w:pPr>
              <w:pStyle w:val="null3"/>
            </w:pPr>
            <w:r>
              <w:rPr>
                <w:rFonts w:ascii="仿宋_GB2312" w:hAnsi="仿宋_GB2312" w:cs="仿宋_GB2312" w:eastAsia="仿宋_GB2312"/>
              </w:rPr>
              <w:t>供应商须提供具有履行合同所必需的设备和专业技术能力的承诺；（提供承诺书，加盖供应商公章）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出具参加政府采购活动前三年内，在经营活动中没有重大违法记录的书面声明；（提供书面声明，加盖供应商公章）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供应商代表身份证明文件</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法定代表人授权书（附法定代表人、被授权人身份证复印件）及被授权人身份证（法定代表人直接参加投标，须提供法定代表人身份证明及身份证原件）</w:t>
            </w:r>
          </w:p>
        </w:tc>
        <w:tc>
          <w:tcPr>
            <w:tcW w:type="dxa" w:w="1661"/>
          </w:tcPr>
          <w:p>
            <w:pPr>
              <w:pStyle w:val="null3"/>
            </w:pPr>
            <w:r>
              <w:rPr>
                <w:rFonts w:ascii="仿宋_GB2312" w:hAnsi="仿宋_GB2312" w:cs="仿宋_GB2312" w:eastAsia="仿宋_GB2312"/>
              </w:rPr>
              <w:t>法定代表人身份证明书及法定代表人授权书.docx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项目负责人资格要求</w:t>
            </w:r>
          </w:p>
        </w:tc>
        <w:tc>
          <w:tcPr>
            <w:tcW w:type="dxa" w:w="3322"/>
          </w:tcPr>
          <w:p>
            <w:pPr>
              <w:pStyle w:val="null3"/>
            </w:pPr>
            <w:r>
              <w:rPr>
                <w:rFonts w:ascii="仿宋_GB2312" w:hAnsi="仿宋_GB2312" w:cs="仿宋_GB2312" w:eastAsia="仿宋_GB2312"/>
              </w:rPr>
              <w:t>拟派项目负责人需具备相关专业中级及以上职称或相关资格证书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说明：不强制要求供应商提供查询截图，由采购人或采购代理机构以投标截止日当日网上查询结果作为评审依据）。</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企业关系关联承诺书</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 为本项目提供过项目管理、监理、检测等服务的供应商，不得再参加本项目采购活动。（提供“供应商企业关系关联承诺书”，式样见投标文件格式）。</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非联合体声明函</w:t>
            </w:r>
          </w:p>
        </w:tc>
        <w:tc>
          <w:tcPr>
            <w:tcW w:type="dxa" w:w="3322"/>
          </w:tcPr>
          <w:p>
            <w:pPr>
              <w:pStyle w:val="null3"/>
            </w:pPr>
            <w:r>
              <w:rPr>
                <w:rFonts w:ascii="仿宋_GB2312" w:hAnsi="仿宋_GB2312" w:cs="仿宋_GB2312" w:eastAsia="仿宋_GB2312"/>
              </w:rPr>
              <w:t>本项目不接受联合体投标，不允许分包,供应商需保证资质文件的真实、合法、有效；（提供“非联合体声明”，式样见投标文件格式）。</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本项目非专门面向中小企业</w:t>
            </w:r>
          </w:p>
        </w:tc>
        <w:tc>
          <w:tcPr>
            <w:tcW w:type="dxa" w:w="3322"/>
          </w:tcPr>
          <w:p>
            <w:pPr>
              <w:pStyle w:val="null3"/>
            </w:pPr>
            <w:r>
              <w:rPr>
                <w:rFonts w:ascii="仿宋_GB2312" w:hAnsi="仿宋_GB2312" w:cs="仿宋_GB2312" w:eastAsia="仿宋_GB2312"/>
              </w:rPr>
              <w:t>详见采购文件</w:t>
            </w:r>
          </w:p>
        </w:tc>
        <w:tc>
          <w:tcPr>
            <w:tcW w:type="dxa" w:w="1661"/>
          </w:tcPr>
          <w:p>
            <w:pPr>
              <w:pStyle w:val="null3"/>
            </w:pPr>
            <w:r>
              <w:rPr>
                <w:rFonts w:ascii="仿宋_GB2312" w:hAnsi="仿宋_GB2312" w:cs="仿宋_GB2312" w:eastAsia="仿宋_GB2312"/>
              </w:rPr>
              <w:t>中小企业声明函.pdf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本项目非专门面向中小企业</w:t>
            </w:r>
          </w:p>
        </w:tc>
        <w:tc>
          <w:tcPr>
            <w:tcW w:type="dxa" w:w="3322"/>
          </w:tcPr>
          <w:p>
            <w:pPr>
              <w:pStyle w:val="null3"/>
            </w:pPr>
            <w:r>
              <w:rPr>
                <w:rFonts w:ascii="仿宋_GB2312" w:hAnsi="仿宋_GB2312" w:cs="仿宋_GB2312" w:eastAsia="仿宋_GB2312"/>
              </w:rPr>
              <w:t>详见采购文件</w:t>
            </w:r>
          </w:p>
        </w:tc>
        <w:tc>
          <w:tcPr>
            <w:tcW w:type="dxa" w:w="1661"/>
          </w:tcPr>
          <w:p>
            <w:pPr>
              <w:pStyle w:val="null3"/>
            </w:pPr>
            <w:r>
              <w:rPr>
                <w:rFonts w:ascii="仿宋_GB2312" w:hAnsi="仿宋_GB2312" w:cs="仿宋_GB2312" w:eastAsia="仿宋_GB2312"/>
              </w:rPr>
              <w:t>中小企业声明函.docx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与“营业执照等主体资格证明文件”一致</w:t>
            </w:r>
          </w:p>
        </w:tc>
        <w:tc>
          <w:tcPr>
            <w:tcW w:type="dxa" w:w="1661"/>
          </w:tcPr>
          <w:p>
            <w:pPr>
              <w:pStyle w:val="null3"/>
            </w:pPr>
            <w:r>
              <w:rPr>
                <w:rFonts w:ascii="仿宋_GB2312" w:hAnsi="仿宋_GB2312" w:cs="仿宋_GB2312" w:eastAsia="仿宋_GB2312"/>
              </w:rPr>
              <w:t>投标文件封面 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未超过最高限价，且无选择性报价</w:t>
            </w:r>
          </w:p>
        </w:tc>
        <w:tc>
          <w:tcPr>
            <w:tcW w:type="dxa" w:w="1661"/>
          </w:tcPr>
          <w:p>
            <w:pPr>
              <w:pStyle w:val="null3"/>
            </w:pPr>
            <w:r>
              <w:rPr>
                <w:rFonts w:ascii="仿宋_GB2312" w:hAnsi="仿宋_GB2312" w:cs="仿宋_GB2312" w:eastAsia="仿宋_GB2312"/>
              </w:rPr>
              <w:t>开标一览表 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合同条款响应偏离表.pdf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与“营业执照等主体资格证明文件”一致</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未超过最高限价，且无选择性报价</w:t>
            </w:r>
          </w:p>
        </w:tc>
        <w:tc>
          <w:tcPr>
            <w:tcW w:type="dxa" w:w="1661"/>
          </w:tcPr>
          <w:p>
            <w:pPr>
              <w:pStyle w:val="null3"/>
            </w:pPr>
            <w:r>
              <w:rPr>
                <w:rFonts w:ascii="仿宋_GB2312" w:hAnsi="仿宋_GB2312" w:cs="仿宋_GB2312" w:eastAsia="仿宋_GB2312"/>
              </w:rPr>
              <w:t>开标一览表 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合同条款响应偏离表.docx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1、投标人具备质量管理体系认证、信息技术服务管理体系认证（CNAS）、信息安全管理体系认证证书、职业健康安全管理体系认证证书；每提供1份证书得0.5分，最高得2分，不提供不得分。 2、投标人具有数据管理能力成熟度等级证书，三级及以上得1分，三级以下得0.5分，不提供不得分。 3、投标人具有数据安全能力成熟度认证证书，三级及以上得1分，三级以下得0.5分，不提供不得分。 4、投标人具有CS信息系统建设和服务能力等级证书，三级及以上得1分，三级以下得0.5分，不提供不得分。 5、投标人具备CCRC信息安全服务资质认证（软件安全开发服务）证书、CCRC信息安全服务资质认证（信息系统安全运维服务）证书、CCRC信息安全服务资质认证（信息系统安全集成服务）证书、CCRC信息安全服务资质认证（信息安全风险评估服务）证书、CCRC信息安全服务资质认证（信息系统灾难备份与恢复）证书、CCRC信息安全服务资质认证（信息安全应急处理服务）证书。每提供1份证书得0.5分，最高得3分，不提供不得分。 6、投标人具有软件开发能力，提供软件开发能力证书（CMMI软件能力成熟度证书、SPCA软件能力成熟度等级证书、软件企业证书等）、知识产权合规管理体系认证证书，每提供1份证书得0.5分，最高得2分，不提供不得分。 评审依据：投标人提供有效期内的相关证书原件扫描件加盖投标人公章,未提供或提供不符合要求不得分。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项目管理机构评审(项目负责人)</w:t>
            </w:r>
          </w:p>
        </w:tc>
        <w:tc>
          <w:tcPr>
            <w:tcW w:type="dxa" w:w="2492"/>
          </w:tcPr>
          <w:p>
            <w:pPr>
              <w:pStyle w:val="null3"/>
            </w:pPr>
            <w:r>
              <w:rPr>
                <w:rFonts w:ascii="仿宋_GB2312" w:hAnsi="仿宋_GB2312" w:cs="仿宋_GB2312" w:eastAsia="仿宋_GB2312"/>
              </w:rPr>
              <w:t>1、具备信息系统项目技术管理专业能力(投标文件中需提供信息系统项目管理师证书佐证)； 2、具备系统规划与管理专业能力(投标文件中需提供系统规划与管理师证书佐证)； 3、具备专业信息系统项目系统分析专业能力(投标文件中需提供系统分析师证书佐证)； 4、具备信息安全技术领域的专业能力(投标文件中需提供注册信息安全专业人员证书(CISP)佐证)； 上述证书每提供一个得1.5分，最多得6分，不提供不得分。 评审依据：投标人提供以上人员身份证和相关证书原件扫描件及开标前 6个月内（不含当月）任意一个月投标人为其缴纳的社保证明并加盖投标人公章，否则按无效响应文件处理。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项目管理机构评审(技术负责人）</w:t>
            </w:r>
          </w:p>
        </w:tc>
        <w:tc>
          <w:tcPr>
            <w:tcW w:type="dxa" w:w="2492"/>
          </w:tcPr>
          <w:p>
            <w:pPr>
              <w:pStyle w:val="null3"/>
            </w:pPr>
            <w:r>
              <w:rPr>
                <w:rFonts w:ascii="仿宋_GB2312" w:hAnsi="仿宋_GB2312" w:cs="仿宋_GB2312" w:eastAsia="仿宋_GB2312"/>
              </w:rPr>
              <w:t>为保证本项目的技术管理质量，投标人需拟派1人担任技术负责人： 1、具备软件设计师证书得1分；具备系统架构设计师证书得2分；本项最高得2分。 2、具备专业信息系统项目系统分析专业能力(投标文件中需提供系统分析师证书佐证)得2分；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项目管理机构评审（其他项目团队）</w:t>
            </w:r>
          </w:p>
        </w:tc>
        <w:tc>
          <w:tcPr>
            <w:tcW w:type="dxa" w:w="2492"/>
          </w:tcPr>
          <w:p>
            <w:pPr>
              <w:pStyle w:val="null3"/>
            </w:pPr>
            <w:r>
              <w:rPr>
                <w:rFonts w:ascii="仿宋_GB2312" w:hAnsi="仿宋_GB2312" w:cs="仿宋_GB2312" w:eastAsia="仿宋_GB2312"/>
              </w:rPr>
              <w:t>其他团队成员：提供系统分析师证书、信息系统项目管理师证书、信息安全工程师证书、系统架构设计师证书、数据库系统工程师证书、软件评测师证书、软件设计师证书，每提供其中1个证书得1分，最多得10分，同一人持有多个证书的只按1个证书得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供应商类似业绩评审</w:t>
            </w:r>
          </w:p>
        </w:tc>
        <w:tc>
          <w:tcPr>
            <w:tcW w:type="dxa" w:w="2492"/>
          </w:tcPr>
          <w:p>
            <w:pPr>
              <w:pStyle w:val="null3"/>
            </w:pPr>
            <w:r>
              <w:rPr>
                <w:rFonts w:ascii="仿宋_GB2312" w:hAnsi="仿宋_GB2312" w:cs="仿宋_GB2312" w:eastAsia="仿宋_GB2312"/>
              </w:rPr>
              <w:t>供应商每具有1个类似项目业绩得5分；最高20分。 业绩的年份要求为2021年1月1日以后，以签订合同日期为准。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投标方案.pdf</w:t>
            </w:r>
          </w:p>
          <w:p>
            <w:pPr>
              <w:pStyle w:val="null3"/>
            </w:pPr>
            <w:r>
              <w:rPr>
                <w:rFonts w:ascii="仿宋_GB2312" w:hAnsi="仿宋_GB2312" w:cs="仿宋_GB2312" w:eastAsia="仿宋_GB2312"/>
              </w:rPr>
              <w:t>供应商认为有必要补充说明的事项.pdf</w:t>
            </w:r>
          </w:p>
        </w:tc>
      </w:tr>
      <w:tr>
        <w:tc>
          <w:tcPr>
            <w:tcW w:type="dxa" w:w="831"/>
            <w:vMerge/>
          </w:tcPr>
          <w:p/>
        </w:tc>
        <w:tc>
          <w:tcPr>
            <w:tcW w:type="dxa" w:w="1661"/>
          </w:tcPr>
          <w:p>
            <w:pPr>
              <w:pStyle w:val="null3"/>
            </w:pPr>
            <w:r>
              <w:rPr>
                <w:rFonts w:ascii="仿宋_GB2312" w:hAnsi="仿宋_GB2312" w:cs="仿宋_GB2312" w:eastAsia="仿宋_GB2312"/>
              </w:rPr>
              <w:t>投标方案评审（总体方案）</w:t>
            </w:r>
          </w:p>
        </w:tc>
        <w:tc>
          <w:tcPr>
            <w:tcW w:type="dxa" w:w="2492"/>
          </w:tcPr>
          <w:p>
            <w:pPr>
              <w:pStyle w:val="null3"/>
            </w:pPr>
            <w:r>
              <w:rPr>
                <w:rFonts w:ascii="仿宋_GB2312" w:hAnsi="仿宋_GB2312" w:cs="仿宋_GB2312" w:eastAsia="仿宋_GB2312"/>
              </w:rPr>
              <w:t>区间分值0-10分 评审标准细化内容：方案包括但不限于：①项目背景、政策要求、建设目标；②业务现状需求分析、建设必要性分析；③架构设计，包含总体架构设计、数据架构设计、业务流程设计、网络拓扑设计、部署架构设计、省市县三级生命线架构关系等；④技术路线，根据项目实际需要，明确实施技术路线和关键技术等；⑤风险及重点难点分析及标准体系建设等方面响应进行综合评审； 评审标准： 1.完整性:内容详细全面，对本项目分析了解透彻； 2.可实施性:切合本项目实际情况，服务方案贴合本次采购要求； 3.针对性:方案需要紧扣项目实际情况，内容科学合理 评审标准量化内容： 1.各部分内容全面详细、阐述条理清晰详尽、符合本项目采购需求的得10分； 2.评审标准细化内容每缺少一项扣2分； 3.评审标准细化内容内容缺失不得分，存在缺陷或不足的根据程度扣（0-2）分，该项分值扣完为止。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投标方案评审（项目实施方案）</w:t>
            </w:r>
          </w:p>
        </w:tc>
        <w:tc>
          <w:tcPr>
            <w:tcW w:type="dxa" w:w="2492"/>
          </w:tcPr>
          <w:p>
            <w:pPr>
              <w:pStyle w:val="null3"/>
            </w:pPr>
            <w:r>
              <w:rPr>
                <w:rFonts w:ascii="仿宋_GB2312" w:hAnsi="仿宋_GB2312" w:cs="仿宋_GB2312" w:eastAsia="仿宋_GB2312"/>
              </w:rPr>
              <w:t>区间分值0-8分 评审标准细化内容：方案包括但不限于：①项目实施机构、实施人员；②进度计划；③确保项目质量的技术组织措施及应急预案；④平台运维建设、运行管理建设等方面响应进行综合评审； 评审标准： 1.完整性:内容详细全面，符合项目采购要求； 2.可实施性:切合本项目实际情况，方案全面、实施步骤清晰合理； 3.针对性:方案需要紧扣项目实际情况，内容科学合理 评审标准量化内容： 1.各部分内容全面详细、阐述条理清晰详尽、符合本项目采购需求的得8分； 2.评审标准细化内容每缺少一项扣2分； 3.评审标准细化内容内容缺失不得分，存在缺陷或不足的根据程度扣（0-2）分，该项分值扣完为止。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投标方案评审（技术方案）</w:t>
            </w:r>
          </w:p>
        </w:tc>
        <w:tc>
          <w:tcPr>
            <w:tcW w:type="dxa" w:w="2492"/>
          </w:tcPr>
          <w:p>
            <w:pPr>
              <w:pStyle w:val="null3"/>
            </w:pPr>
            <w:r>
              <w:rPr>
                <w:rFonts w:ascii="仿宋_GB2312" w:hAnsi="仿宋_GB2312" w:cs="仿宋_GB2312" w:eastAsia="仿宋_GB2312"/>
              </w:rPr>
              <w:t>区间分值0-12分 1.方案评审（0-9分）： 评审标准细化内容：投标人根据采购需求的要求，提供详细建设方案，至少包含下列内容： （1）安全应用系统方案：方案需支持①综合安全应用、②燃气安全专项应用、③排水安全专项应用、④桥梁安全专项应用、⑤供水安全专项应用、⑥供热安全专项应用、⑦地下管网监管专项应用。要求对7个应用系统的系统概述、具体功能点进行细化设计和详细阐述（细化设计包括但不限系统功能架构图、系统功能关系图、系统业务流程图、系统数据流程图）。 （2）数据资源方案：方案需支持①数据库设计与建库、②基础数据加工与处理、③基础设施三维建模、④专业建模及数据适配、⑤数据对接。要求详细阐述数据汇聚接入范围、数据加工处理思路与要求、三维模型构建内容、专业算法模型建模及数据适配方案、数据对接范围及内容。 （3）基础支撑方案：方案需支持①物联感知系统、②视频综合系统、③城市三维数字孪生系统、④统一运维平台。要求对4个应用支撑系统的系统概述、具体功能点进行细化设计和详细阐述（细化设计包括但不限系统架构图、系统功能关系图等）。 评审标准： 1.完整性:内容详细全面，对本项目分析了解透彻； 2.可实施性:切合本项目实际情况，服务方案贴合本次采购要求； 3.针对性:方案需要紧扣项目实际情况，内容科学合理 评审标准量化内容： 1.安全应用系统方案、数据资源方案、基础支撑方案以上三部分内容全面详细、阐述条理清晰详尽、符合本项目采购需求的每项得3分，缺项不得分，满分9分； 2.以上三部分存在缺陷或不足的根据程度每项扣（0-3）分，该项分值扣完为止。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 2、提供与本项目相关的专利证书或计算机软件著作权登记证书等知识产权证书，每提供一份证书得 0.5 分，最高得3 分。 说明：所提供专利证书或计算机软件著作权登记证书等知识产权证书，供应商可为专利权人或著作权人，也可获得专利权人或著作权人出具的合法授权文件。无论为自主研发软件或经合法授权使用的软件，若能够满足本项目功能需求，且提供有效知识产权证书及授权文件（如适用），在本评分项中予以同等对待，评分无差别。 授权使用的专利权或软件著作权应满足以下要求：（1）提供专利权人或著作权人出具的书面授权书，明确授权用途为本项目投标及履约；（2）专利权人或著作权人须持有国家知识产权局颁发的专利证书或国家版权局颁发的《计算机软件著作权登记证书》；（3）授权书应加盖专利权人或著作权人单位公章，授权内容清晰、合法、真实。以上证明文件须提供证书复印件并加盖单位公章，如未提供有效的证明材料，或提供的授权不符合上述要求，则本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投标方案.pdf</w:t>
            </w:r>
          </w:p>
          <w:p>
            <w:pPr>
              <w:pStyle w:val="null3"/>
            </w:pPr>
            <w:r>
              <w:rPr>
                <w:rFonts w:ascii="仿宋_GB2312" w:hAnsi="仿宋_GB2312" w:cs="仿宋_GB2312" w:eastAsia="仿宋_GB2312"/>
              </w:rPr>
              <w:t>技术参数响应偏离表.pdf</w:t>
            </w:r>
          </w:p>
        </w:tc>
      </w:tr>
      <w:tr>
        <w:tc>
          <w:tcPr>
            <w:tcW w:type="dxa" w:w="831"/>
            <w:vMerge/>
          </w:tcPr>
          <w:p/>
        </w:tc>
        <w:tc>
          <w:tcPr>
            <w:tcW w:type="dxa" w:w="1661"/>
          </w:tcPr>
          <w:p>
            <w:pPr>
              <w:pStyle w:val="null3"/>
            </w:pPr>
            <w:r>
              <w:rPr>
                <w:rFonts w:ascii="仿宋_GB2312" w:hAnsi="仿宋_GB2312" w:cs="仿宋_GB2312" w:eastAsia="仿宋_GB2312"/>
              </w:rPr>
              <w:t>投标方案评审（售后服务方案）</w:t>
            </w:r>
          </w:p>
        </w:tc>
        <w:tc>
          <w:tcPr>
            <w:tcW w:type="dxa" w:w="2492"/>
          </w:tcPr>
          <w:p>
            <w:pPr>
              <w:pStyle w:val="null3"/>
            </w:pPr>
            <w:r>
              <w:rPr>
                <w:rFonts w:ascii="仿宋_GB2312" w:hAnsi="仿宋_GB2312" w:cs="仿宋_GB2312" w:eastAsia="仿宋_GB2312"/>
              </w:rPr>
              <w:t>区间分值0-5分 评审标准细化内容：方案包括但不限于：①售后服务机构和人员；②售后服务内容和流程；③售后服务响应时间和质量；④常见性故障的解决方案；⑤售后服务承诺函。 评审标准： 1.完整性:内容详细全面，对各细化内容分析透彻完整； 2.可实施性:切合本项目实际情况，描述贴合售后服务的要求； 3.针对性:方案需要紧扣项目售后服务的实际情况，内容科学合理。 评审标准量化内容： 1.各部分内容全面详细、阐述条理清晰详尽、符合本项目采购需求的得5分； 2.评审标准细化内容每缺少一项扣1分； 3.评审标准细化内容内容缺失不得分，存在缺陷或不足的根据程度扣（0-1）分，该项分值扣完为止。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投标方案评审（培训方案）</w:t>
            </w:r>
          </w:p>
        </w:tc>
        <w:tc>
          <w:tcPr>
            <w:tcW w:type="dxa" w:w="2492"/>
          </w:tcPr>
          <w:p>
            <w:pPr>
              <w:pStyle w:val="null3"/>
            </w:pPr>
            <w:r>
              <w:rPr>
                <w:rFonts w:ascii="仿宋_GB2312" w:hAnsi="仿宋_GB2312" w:cs="仿宋_GB2312" w:eastAsia="仿宋_GB2312"/>
              </w:rPr>
              <w:t>区间分值0-5分 评审标准细化内容：方案包括但不限于①培训计划和形式；②培训交流时间、地点；③培训交流对象；④培训课程设置；⑤培训教材内容。 评审标准： 1.完整性:内容详细全面，各部分分析透彻完整； 2.可实施性:切合本项目实际情况，描述贴合培训服务的要求，方案全面合理。 3.针对性:方案需要紧扣服务内容及实际情况，科学合理。 评审标准量化内容： 1.各部分内容全面详细、阐述条理清晰详尽、符合本项目采购需求的得5分； 2.评审标准细化内容每缺少一项扣1分； 3.评审标准细化内容内容缺失不得分，存在缺陷或不足的根据程度扣（0-1）分，该项分值扣完为止。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价格分统一采用低价优先法计算，即满足招标文件要求且响应价格最低的招标报价为评标基准价，其价格分为满分。其他供应商价格分统一按照下列公式计算： 投标报价得分=(评标基准价／投标报价)×10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1.小微企业的价格评分标准 （1）中小企业参加政府采购活动，须提供《中小企业声明函》（式样见投标文件格式），否则不得享受相关中小企业扶持政策。供应商须保证真实性，如有虚假，将依法承担相应责任。对小型、微型企业产品的价格给予10%的扣除，用扣除后的价格参与评审，其评标价=投标报价*（1-10%）。 （2）小微企业按《政府采购促进中小企业发展暂行办法》（财库【2011】181 号）和《工业和信息化部、国家统计局、国家发展和改革委员会、财政部关于印发&lt;中小企业划型标准规定&gt;的通知》（工信部联企业【2011】300 号）文件规定标准确认。 （3）在货物采购项目中，货物应当由中小企业制造，不对其中涉及的服务的承接商作出要求。 2.监狱企业的价格评分标准 （1）在政府采购活动中，监狱企业视同小型、微型企业，享受预留份额、评审中价格扣除等政府采购促进中小企业发展的政府采购政策。对监狱企业产品的价格给予10%的扣除，用扣除后的价格参与评审，其评标价=投标报价*（1-10%）。 （2）监狱企业属于小型、微型企业的，不重复享受政策。 （3）监狱企业参加政府采购活动时，应当提供由省级以上监狱管理局、戒毒管理局（含新疆生产建设兵团）出具的属于监狱企业的证明文件。 （4）监狱企业按《财政部、司法部关于政府采购支持监狱企业发展有关问题的通知》（财库〔2014〕68 号）文件规定标准执行。 3.残疾人福利性单位的价格评分标准 （1）在政府采购活动中，残疾人福利性单位视同小型、微型企业，享受预留份额、评审中价格扣除等政府采购促进中小企业发展的政府采购政策。对残疾人福利性单位产品的价格给予10%的扣除，用扣除后的价格参与评审，其评标价=投标报价*（1-10%）。 （2）残疾人福利性单位属于小型、微型企业的，不重复享受政策。 （3）符合条件的残疾人福利性单位在参加政府采购活动时，应当提供本通知规定的《残疾人福利性单位声明函》（式样见投标文件格式）、提供市级以上民政局、财政局、残联部门出具的福利性企业的证明文件，并对声明的真实性负责，未提供的不视为残疾人福利性单位。</w:t>
            </w:r>
          </w:p>
        </w:tc>
        <w:tc>
          <w:tcPr>
            <w:tcW w:type="dxa" w:w="1661"/>
          </w:tcPr>
          <w:p>
            <w:pPr>
              <w:pStyle w:val="null3"/>
            </w:pPr>
            <w:r>
              <w:rPr>
                <w:rFonts w:ascii="仿宋_GB2312" w:hAnsi="仿宋_GB2312" w:cs="仿宋_GB2312" w:eastAsia="仿宋_GB2312"/>
              </w:rPr>
              <w:t>中小企业声明函.pdf</w:t>
            </w:r>
          </w:p>
          <w:p>
            <w:pPr>
              <w:pStyle w:val="null3"/>
            </w:pPr>
            <w:r>
              <w:rPr>
                <w:rFonts w:ascii="仿宋_GB2312" w:hAnsi="仿宋_GB2312" w:cs="仿宋_GB2312" w:eastAsia="仿宋_GB2312"/>
              </w:rPr>
              <w:t>残疾人福利性单位声明函.pdf</w:t>
            </w:r>
          </w:p>
          <w:p>
            <w:pPr>
              <w:pStyle w:val="null3"/>
            </w:pPr>
            <w:r>
              <w:rPr>
                <w:rFonts w:ascii="仿宋_GB2312" w:hAnsi="仿宋_GB2312" w:cs="仿宋_GB2312" w:eastAsia="仿宋_GB2312"/>
              </w:rPr>
              <w:t>监狱、戒毒企业声明函(格式).pdf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项目管理机构评审（项目负责人学历）</w:t>
            </w:r>
          </w:p>
        </w:tc>
        <w:tc>
          <w:tcPr>
            <w:tcW w:type="dxa" w:w="2492"/>
          </w:tcPr>
          <w:p>
            <w:pPr>
              <w:pStyle w:val="null3"/>
            </w:pPr>
            <w:r>
              <w:rPr>
                <w:rFonts w:ascii="仿宋_GB2312" w:hAnsi="仿宋_GB2312" w:cs="仿宋_GB2312" w:eastAsia="仿宋_GB2312"/>
              </w:rPr>
              <w:t>大学本科及以上学历，2分；大学专科学历，1分；其他，0分。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项目管理机构评审（项目负责人证书）</w:t>
            </w:r>
          </w:p>
        </w:tc>
        <w:tc>
          <w:tcPr>
            <w:tcW w:type="dxa" w:w="2492"/>
          </w:tcPr>
          <w:p>
            <w:pPr>
              <w:pStyle w:val="null3"/>
            </w:pPr>
            <w:r>
              <w:rPr>
                <w:rFonts w:ascii="仿宋_GB2312" w:hAnsi="仿宋_GB2312" w:cs="仿宋_GB2312" w:eastAsia="仿宋_GB2312"/>
              </w:rPr>
              <w:t>项目负责人具有信息系统项目管理师证书得3分。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项目管理机构评审（项目组成员（不含项目负责人））</w:t>
            </w:r>
          </w:p>
        </w:tc>
        <w:tc>
          <w:tcPr>
            <w:tcW w:type="dxa" w:w="2492"/>
          </w:tcPr>
          <w:p>
            <w:pPr>
              <w:pStyle w:val="null3"/>
            </w:pPr>
            <w:r>
              <w:rPr>
                <w:rFonts w:ascii="仿宋_GB2312" w:hAnsi="仿宋_GB2312" w:cs="仿宋_GB2312" w:eastAsia="仿宋_GB2312"/>
              </w:rPr>
              <w:t>具有人社部门和工信部门颁发的信息系统项目管理师证书、中国信息安全测评中心颁发注册信息安全专业人员（CISP）证书、人社部门颁发的网络规划设计师证书，每具有1 项得1分，最多得6分（同一人员具有多本证书的按一证计算）。</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供应商类似业绩评审</w:t>
            </w:r>
          </w:p>
        </w:tc>
        <w:tc>
          <w:tcPr>
            <w:tcW w:type="dxa" w:w="2492"/>
          </w:tcPr>
          <w:p>
            <w:pPr>
              <w:pStyle w:val="null3"/>
            </w:pPr>
            <w:r>
              <w:rPr>
                <w:rFonts w:ascii="仿宋_GB2312" w:hAnsi="仿宋_GB2312" w:cs="仿宋_GB2312" w:eastAsia="仿宋_GB2312"/>
              </w:rPr>
              <w:t>供应商每具有1个类似项目业绩得3分；最高9分。业绩的年份要求为2021年1月1日以后，以签订合同日期为准。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供应商认为有必要补充说明的事项.pdf</w:t>
            </w:r>
          </w:p>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1、投标人具有有效的质量管理体系评价认证、环境管理体系认证证书、职业健康安全管理体系认证证书、信息安全管理体系认证，每具备一项认证得 2分，本项最高得 8分（证书须在有效期内并处于有效状态，获得监督审核合格标识，提供证书在认证认可业务信息统一查询平台（http://cx.cnca.cn）的查询结果“有效”的截图或网页打印件加盖单位公章）。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产品节能环保</w:t>
            </w:r>
          </w:p>
        </w:tc>
        <w:tc>
          <w:tcPr>
            <w:tcW w:type="dxa" w:w="2492"/>
          </w:tcPr>
          <w:p>
            <w:pPr>
              <w:pStyle w:val="null3"/>
            </w:pPr>
            <w:r>
              <w:rPr>
                <w:rFonts w:ascii="仿宋_GB2312" w:hAnsi="仿宋_GB2312" w:cs="仿宋_GB2312" w:eastAsia="仿宋_GB2312"/>
              </w:rPr>
              <w:t>1、投标产品属于财政部、国家发展改革委公布的“节能产品品目清单”范围内的或属于财政部、生态环境部公布的“环境标志产品品目清单”范围内的，投标人提供国家确定的认证机构出具的、处于有效期之内的该节能产品认证证书或环保产品认证证书的，有 1 个得0.5 分，最多得 2分。如投标产品均属于政府强制采购节能产品品目清单范围内，本项不得分。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采购内容中标▲项为重要技术指标，须提供合法有效的检测报告等证明材料（彩页或宣传册等不予认可）。有一项未提供证明材料的扣1分，扣完为止。 注：1、《技术参数响应偏离表》中的内容须是供应商投标设备的真实反映，供应商在投标时不得虚假响应和虚假承诺，否则将取消其投标资格；已中标的，将取消其中标资格。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投标方案.pdf</w:t>
            </w:r>
          </w:p>
          <w:p>
            <w:pPr>
              <w:pStyle w:val="null3"/>
            </w:pPr>
            <w:r>
              <w:rPr>
                <w:rFonts w:ascii="仿宋_GB2312" w:hAnsi="仿宋_GB2312" w:cs="仿宋_GB2312" w:eastAsia="仿宋_GB2312"/>
              </w:rPr>
              <w:t>技术参数响应偏离表.docx</w:t>
            </w:r>
          </w:p>
        </w:tc>
      </w:tr>
      <w:tr>
        <w:tc>
          <w:tcPr>
            <w:tcW w:type="dxa" w:w="831"/>
            <w:vMerge/>
          </w:tcPr>
          <w:p/>
        </w:tc>
        <w:tc>
          <w:tcPr>
            <w:tcW w:type="dxa" w:w="1661"/>
          </w:tcPr>
          <w:p>
            <w:pPr>
              <w:pStyle w:val="null3"/>
            </w:pPr>
            <w:r>
              <w:rPr>
                <w:rFonts w:ascii="仿宋_GB2312" w:hAnsi="仿宋_GB2312" w:cs="仿宋_GB2312" w:eastAsia="仿宋_GB2312"/>
              </w:rPr>
              <w:t>投标方案评审（实施方案）</w:t>
            </w:r>
          </w:p>
        </w:tc>
        <w:tc>
          <w:tcPr>
            <w:tcW w:type="dxa" w:w="2492"/>
          </w:tcPr>
          <w:p>
            <w:pPr>
              <w:pStyle w:val="null3"/>
            </w:pPr>
            <w:r>
              <w:rPr>
                <w:rFonts w:ascii="仿宋_GB2312" w:hAnsi="仿宋_GB2312" w:cs="仿宋_GB2312" w:eastAsia="仿宋_GB2312"/>
              </w:rPr>
              <w:t>区间分值0-5分 评审标准细化内容：方案包括但不限于：①备货、供货、安装实施方案；②检测方案；③项目进度计划及保证措施；④拟投入本项目的人员安排及分工；⑤安全保证措施等方面响应进行综合评审； 评审标准： 1.完整性:内容详细全面，对本项目分析了解透彻； 2.可实施性:切合本项目实际情况，方案贴合本次采购要求； 3.针对性:方案需要紧扣项目实际情况，内容科学合理 评审标准量化内容： 1.各部分内容全面详细、阐述条理清晰详尽、符合本项目采购需求的得5分； 2.评审标准细化内容每缺少一项扣1分； 3.评审标准细化内容内容缺失不得分，每有一处内容存在缺陷或不足的扣0.5分，该项分值扣完为止。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投标方案评审（产品渠道）</w:t>
            </w:r>
          </w:p>
        </w:tc>
        <w:tc>
          <w:tcPr>
            <w:tcW w:type="dxa" w:w="2492"/>
          </w:tcPr>
          <w:p>
            <w:pPr>
              <w:pStyle w:val="null3"/>
            </w:pPr>
            <w:r>
              <w:rPr>
                <w:rFonts w:ascii="仿宋_GB2312" w:hAnsi="仿宋_GB2312" w:cs="仿宋_GB2312" w:eastAsia="仿宋_GB2312"/>
              </w:rPr>
              <w:t>能提供所投产品的合法来源渠道证明文件（包括但不限于产品制造商授权或销售协议或代理协议或原厂授权等） ①所投产品合法来源渠道证明文件完整齐全的计4分； ②所投产品合法来源渠道证明文件较完整较齐全的计3分； ③所投产品合法来源渠道证明文件不完整不齐全的计1分； ④未提供相关内容的不计分。 备注：以加盖公章的证明材料扫描件或复印件为计分依据。</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投标方案评审（售后服务方案）</w:t>
            </w:r>
          </w:p>
        </w:tc>
        <w:tc>
          <w:tcPr>
            <w:tcW w:type="dxa" w:w="2492"/>
          </w:tcPr>
          <w:p>
            <w:pPr>
              <w:pStyle w:val="null3"/>
            </w:pPr>
            <w:r>
              <w:rPr>
                <w:rFonts w:ascii="仿宋_GB2312" w:hAnsi="仿宋_GB2312" w:cs="仿宋_GB2312" w:eastAsia="仿宋_GB2312"/>
              </w:rPr>
              <w:t>区间分值0-5分 评审标准细化内容：方案包括但不限于：①售后服务机构和人员；②售后服务内容和流程；③售后服务响应时间和质量；④常见性故障的解决方案；⑤售后服务承诺函。 评审标准： 1.完整性:内容详细全面，对各细化内容分析透彻完整； 2.可实施性:切合本项目实际情况，描述贴合售后服务的要求； 3.针对性:方案需要紧扣项目售后服务的实际情况，内容科学合理。 评审标准量化内容： 1.各部分内容全面详细、阐述条理清晰详尽、符合本项目采购需求的得5分； 2.评审标准细化内容每缺少一项扣1分； 3.评审标准细化内容内容缺失不得分，每有一处内容存在缺陷或不足的扣0.5分，该项分值扣完为止。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投标方案评审（质量保证方案）</w:t>
            </w:r>
          </w:p>
        </w:tc>
        <w:tc>
          <w:tcPr>
            <w:tcW w:type="dxa" w:w="2492"/>
          </w:tcPr>
          <w:p>
            <w:pPr>
              <w:pStyle w:val="null3"/>
            </w:pPr>
            <w:r>
              <w:rPr>
                <w:rFonts w:ascii="仿宋_GB2312" w:hAnsi="仿宋_GB2312" w:cs="仿宋_GB2312" w:eastAsia="仿宋_GB2312"/>
              </w:rPr>
              <w:t>质量保证方案包括但不限于所投产品制造厂家产品质量承诺；供应商 具备完善的质量管理制度及相关的质量管理人员。 ①内容详细全面、完整、可行的计3分； ②内容比较全面、完整、可行的计2分； ③内容有缺陷的计1分； ④未提供相关内容的不计分。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投标方案评审（应急预案）</w:t>
            </w:r>
          </w:p>
        </w:tc>
        <w:tc>
          <w:tcPr>
            <w:tcW w:type="dxa" w:w="2492"/>
          </w:tcPr>
          <w:p>
            <w:pPr>
              <w:pStyle w:val="null3"/>
            </w:pPr>
            <w:r>
              <w:rPr>
                <w:rFonts w:ascii="仿宋_GB2312" w:hAnsi="仿宋_GB2312" w:cs="仿宋_GB2312" w:eastAsia="仿宋_GB2312"/>
              </w:rPr>
              <w:t>应急预案方案包括但不限于供应商具备完善的应急预案及措施。 ①内容详细全面、完整、可行的计3分； ②内容比较全面、完整、可行的计2分； ③内容有缺陷的计1分； ④未提供相关内容的不计分。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价格分统一采用低价优先法计算，即满足招标文件要求且响应价格最低的招标报价为评标基准价，其价格分为满分。其他供应商价格分统一按照下列公式计算： 投标报价得分=(评标基准价／投标报价)×30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1.小微企业的价格评分标准 （1）中小企业参加政府采购活动，须提供《中小企业声明函》（式样见投标文件格式），否则不得享受相关中小企业扶持政策。供应商须保证真实性，如有虚假，将依法承担相应责任。对小型、微型企业产品的价格给予10%的扣除，用扣除后的价格参与评审，其评标价=投标报价*（1-10%）。 （2）小微企业按《政府采购促进中小企业发展暂行办法》（财库【2011】181 号）和《工业和信息化部、国家统计局、国家发展和改革委员会、财政部关于印发&lt;中小企业划型标准规定&gt;的通知》（工信部联企业【2011】300 号）文件规定标准确认。 （3）在货物采购项目中，货物应当由中小企业制造，不对其中涉及的服务的承接商作出要求。 2.监狱企业的价格评分标准 （1）在政府采购活动中，监狱企业视同小型、微型企业，享受预留份额、评审中价格扣除等政府采购促进中小企业发展的政府采购政策。对监狱企业产品的价格给予10%的扣除，用扣除后的价格参与评审，其评标价=投标报价*（1-10%）。 （2）监狱企业属于小型、微型企业的，不重复享受政策。 （3）监狱企业参加政府采购活动时，应当提供由省级以上监狱管理局、戒毒管理局（含新疆生产建设兵团）出具的属于监狱企业的证明文件。 （4）监狱企业按《财政部、司法部关于政府采购支持监狱企业发展有关问题的通知》（财库〔2014〕68 号）文件规定标准执行。 3.残疾人福利性单位的价格评分标准 （1）在政府采购活动中，残疾人福利性单位视同小型、微型企业，享受预留份额、评审中价格扣除等政府采购促进中小企业发展的政府采购政策。对残疾人福利性单位产品的价格给予10%的扣除，用扣除后的价格参与评审，其评标价=投标报价*（1-10%）。 （2）残疾人福利性单位属于小型、微型企业的，不重复享受政策。 （3）符合条件的残疾人福利性单位在参加政府采购活动时，应当提供本通知规定的《残疾人福利性单位声明函》（式样见投标文件格式）、提供市级以上民政局、财政局、残联部门出具的福利性企业的证明文件，并对声明的真实性负责，未提供的不视为残疾人福利性单位。</w:t>
            </w:r>
          </w:p>
        </w:tc>
        <w:tc>
          <w:tcPr>
            <w:tcW w:type="dxa" w:w="1661"/>
          </w:tcPr>
          <w:p>
            <w:pPr>
              <w:pStyle w:val="null3"/>
            </w:pPr>
            <w:r>
              <w:rPr>
                <w:rFonts w:ascii="仿宋_GB2312" w:hAnsi="仿宋_GB2312" w:cs="仿宋_GB2312" w:eastAsia="仿宋_GB2312"/>
              </w:rPr>
              <w:t>中小企业声明函.docx</w:t>
            </w:r>
          </w:p>
          <w:p>
            <w:pPr>
              <w:pStyle w:val="null3"/>
            </w:pPr>
            <w:r>
              <w:rPr>
                <w:rFonts w:ascii="仿宋_GB2312" w:hAnsi="仿宋_GB2312" w:cs="仿宋_GB2312" w:eastAsia="仿宋_GB2312"/>
              </w:rPr>
              <w:t>残疾人福利性单位声明函.pdf</w:t>
            </w:r>
          </w:p>
          <w:p>
            <w:pPr>
              <w:pStyle w:val="null3"/>
            </w:pPr>
            <w:r>
              <w:rPr>
                <w:rFonts w:ascii="仿宋_GB2312" w:hAnsi="仿宋_GB2312" w:cs="仿宋_GB2312" w:eastAsia="仿宋_GB2312"/>
              </w:rPr>
              <w:t>监狱、戒毒企业声明函(格式).pdf</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详见附件：法定代表人身份证明书及法定代表人授权书.pdf</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详见附件：分项报价表.pdf</w:t>
      </w:r>
    </w:p>
    <w:p>
      <w:pPr>
        <w:pStyle w:val="null3"/>
        <w:ind w:firstLine="960"/>
      </w:pPr>
      <w:r>
        <w:rPr>
          <w:rFonts w:ascii="仿宋_GB2312" w:hAnsi="仿宋_GB2312" w:cs="仿宋_GB2312" w:eastAsia="仿宋_GB2312"/>
        </w:rPr>
        <w:t>详见附件：技术参数响应偏离表.pdf</w:t>
      </w:r>
    </w:p>
    <w:p>
      <w:pPr>
        <w:pStyle w:val="null3"/>
        <w:ind w:firstLine="960"/>
      </w:pPr>
      <w:r>
        <w:rPr>
          <w:rFonts w:ascii="仿宋_GB2312" w:hAnsi="仿宋_GB2312" w:cs="仿宋_GB2312" w:eastAsia="仿宋_GB2312"/>
        </w:rPr>
        <w:t>详见附件：合同条款响应偏离表.pdf</w:t>
      </w:r>
    </w:p>
    <w:p>
      <w:pPr>
        <w:pStyle w:val="null3"/>
        <w:ind w:firstLine="960"/>
      </w:pPr>
      <w:r>
        <w:rPr>
          <w:rFonts w:ascii="仿宋_GB2312" w:hAnsi="仿宋_GB2312" w:cs="仿宋_GB2312" w:eastAsia="仿宋_GB2312"/>
        </w:rPr>
        <w:t>详见附件：投标方案.pdf</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详见附件：供应商认为有必要补充说明的事项.pdf</w:t>
      </w:r>
    </w:p>
    <w:p>
      <w:pPr>
        <w:pStyle w:val="null3"/>
        <w:ind w:firstLine="960"/>
      </w:pPr>
      <w:r>
        <w:rPr>
          <w:rFonts w:ascii="仿宋_GB2312" w:hAnsi="仿宋_GB2312" w:cs="仿宋_GB2312" w:eastAsia="仿宋_GB2312"/>
        </w:rPr>
        <w:t>详见附件：中小企业声明函.pdf</w:t>
      </w:r>
    </w:p>
    <w:p>
      <w:pPr>
        <w:pStyle w:val="null3"/>
        <w:ind w:firstLine="960"/>
      </w:pPr>
      <w:r>
        <w:rPr>
          <w:rFonts w:ascii="仿宋_GB2312" w:hAnsi="仿宋_GB2312" w:cs="仿宋_GB2312" w:eastAsia="仿宋_GB2312"/>
        </w:rPr>
        <w:t>详见附件：残疾人福利性单位声明函.pdf</w:t>
      </w:r>
    </w:p>
    <w:p>
      <w:pPr>
        <w:pStyle w:val="null3"/>
        <w:ind w:firstLine="960"/>
      </w:pPr>
      <w:r>
        <w:rPr>
          <w:rFonts w:ascii="仿宋_GB2312" w:hAnsi="仿宋_GB2312" w:cs="仿宋_GB2312" w:eastAsia="仿宋_GB2312"/>
        </w:rPr>
        <w:t>详见附件：监狱、戒毒企业声明函(格式).pdf</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详见附件：法定代表人身份证明书及法定代表人授权书.docx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详见附件：技术参数响应偏离表.docx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详见附件：投标方案.pdf</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详见附件：供应商认为有必要补充说明的事项.pdf</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详见附件：残疾人福利性单位声明函.pdf</w:t>
      </w:r>
    </w:p>
    <w:p>
      <w:pPr>
        <w:pStyle w:val="null3"/>
        <w:ind w:firstLine="960"/>
      </w:pPr>
      <w:r>
        <w:rPr>
          <w:rFonts w:ascii="仿宋_GB2312" w:hAnsi="仿宋_GB2312" w:cs="仿宋_GB2312" w:eastAsia="仿宋_GB2312"/>
        </w:rPr>
        <w:t>详见附件：监狱、戒毒企业声明函(格式).pdf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