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0986D2B2">
      <w:pPr>
        <w:ind w:firstLine="562" w:firstLineChars="200"/>
        <w:rPr>
          <w:rFonts w:hint="eastAsia" w:ascii="仿宋_GB2312" w:hAnsi="仿宋_GB2312" w:eastAsia="仿宋_GB2312" w:cs="仿宋_GB2312"/>
          <w:b/>
          <w:bCs/>
          <w:color w:val="000000"/>
          <w:kern w:val="0"/>
          <w:sz w:val="28"/>
          <w:szCs w:val="28"/>
          <w:highlight w:val="none"/>
          <w:lang w:val="en-US" w:eastAsia="zh-CN" w:bidi="ar-SA"/>
        </w:rPr>
      </w:pPr>
      <w:r>
        <w:rPr>
          <w:rFonts w:hint="eastAsia" w:ascii="仿宋_GB2312" w:hAnsi="仿宋_GB2312" w:eastAsia="仿宋_GB2312" w:cs="仿宋_GB2312"/>
          <w:b/>
          <w:bCs/>
          <w:color w:val="000000"/>
          <w:kern w:val="0"/>
          <w:sz w:val="28"/>
          <w:szCs w:val="28"/>
          <w:highlight w:val="none"/>
          <w:lang w:val="en-US" w:eastAsia="zh-CN" w:bidi="ar-SA"/>
        </w:rPr>
        <w:t>采购包1：供水管理技术服务项目</w:t>
      </w:r>
    </w:p>
    <w:p w14:paraId="356B1979">
      <w:pPr>
        <w:ind w:firstLine="562" w:firstLineChars="200"/>
        <w:rPr>
          <w:rFonts w:hint="eastAsia" w:ascii="仿宋_GB2312" w:hAnsi="仿宋_GB2312" w:eastAsia="仿宋_GB2312" w:cs="仿宋_GB2312"/>
          <w:b/>
          <w:bCs/>
          <w:color w:val="000000"/>
          <w:kern w:val="0"/>
          <w:sz w:val="28"/>
          <w:szCs w:val="28"/>
          <w:highlight w:val="none"/>
          <w:lang w:val="en-US" w:eastAsia="zh-CN" w:bidi="ar-SA"/>
        </w:rPr>
      </w:pPr>
      <w:r>
        <w:rPr>
          <w:rFonts w:hint="eastAsia" w:ascii="仿宋_GB2312" w:hAnsi="仿宋_GB2312" w:eastAsia="仿宋_GB2312" w:cs="仿宋_GB2312"/>
          <w:b/>
          <w:bCs/>
          <w:color w:val="000000"/>
          <w:kern w:val="0"/>
          <w:sz w:val="28"/>
          <w:szCs w:val="28"/>
          <w:highlight w:val="none"/>
          <w:lang w:val="en-US" w:eastAsia="zh-CN" w:bidi="ar-SA"/>
        </w:rPr>
        <w:t>一、项目概况</w:t>
      </w:r>
    </w:p>
    <w:p w14:paraId="7B3DC26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供水管理技术服务涵盖管理信息采集更新服务、城市供水水质抽检服务、城市供水管理服务（含供水管理技术服务、数据平台技术服务及二次供水设施验收备案技术支持服务）。</w:t>
      </w:r>
    </w:p>
    <w:p w14:paraId="13739F00">
      <w:pPr>
        <w:ind w:firstLine="562" w:firstLineChars="200"/>
        <w:rPr>
          <w:rFonts w:hint="eastAsia" w:ascii="仿宋_GB2312" w:hAnsi="仿宋_GB2312" w:eastAsia="仿宋_GB2312" w:cs="仿宋_GB2312"/>
          <w:b/>
          <w:bCs/>
          <w:color w:val="000000"/>
          <w:kern w:val="0"/>
          <w:sz w:val="28"/>
          <w:szCs w:val="28"/>
          <w:highlight w:val="none"/>
          <w:lang w:val="en-US" w:eastAsia="zh-CN" w:bidi="ar-SA"/>
        </w:rPr>
      </w:pPr>
      <w:r>
        <w:rPr>
          <w:rFonts w:hint="eastAsia" w:ascii="仿宋_GB2312" w:hAnsi="仿宋_GB2312" w:eastAsia="仿宋_GB2312" w:cs="仿宋_GB2312"/>
          <w:b/>
          <w:bCs/>
          <w:color w:val="000000"/>
          <w:kern w:val="0"/>
          <w:sz w:val="28"/>
          <w:szCs w:val="28"/>
          <w:highlight w:val="none"/>
          <w:lang w:val="en-US" w:eastAsia="zh-CN" w:bidi="ar-SA"/>
        </w:rPr>
        <w:t>二、具体服务要求</w:t>
      </w:r>
    </w:p>
    <w:p w14:paraId="461B85E7">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（一）管理信息采集更新服务</w:t>
      </w:r>
    </w:p>
    <w:p w14:paraId="091FB16D">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1、采集范围及点次</w:t>
      </w:r>
    </w:p>
    <w:p w14:paraId="3B5FA6F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本项目旨在对西安市城市供水管网末端用水户（含小区、企事业单位等）进行全面信息采集与更新，同步整合水质快检结果，构建“基础信息+动态水质”的立体化数据库。</w:t>
      </w:r>
    </w:p>
    <w:p w14:paraId="77997F0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依据西安市供水管理中心历年“城市供水管理信息采集服务工作内容（2017—2026年）”，并结合当前西安市供水管理工作实际，本项目计划采集末端供水小区1800个点次，同步完成每个点次的水质快检工作，重点监测余氯、浊度等指标。在抽样策略上，采用“分层随机抽样法”，按行政区划（主城区与郊区县严格遵循9:1比例）、建筑年代等维度进行配额分配；同时结合历史投诉数据与管网GIS信息，将高风险区域直接纳入必采清单，确保采集成果与水质数据具备广泛代表性。</w:t>
      </w:r>
    </w:p>
    <w:p w14:paraId="3AD5135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为保障数据的连续性与全域覆盖，采集点按4～5年轮换，并执行“30%保留+70%轮换”的动态管理策略：每年保留30%的关键点位（如医院、学校周边）以追踪水质变化趋势，其余70%点位从数据库剩余小区中滚动抽取。通过系统标记已采样ID，逐步实现平台已录入小区的100%全覆盖。</w:t>
      </w:r>
    </w:p>
    <w:p w14:paraId="5263D15B">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2、数据采集方式</w:t>
      </w:r>
    </w:p>
    <w:p w14:paraId="013E339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按照日常监督检查、开学前专项监督检查、夏/冬季供水保障监督检查、重大活动及节假日监督检查等类别，分类采集相关信息，实现监督检查精细化。</w:t>
      </w:r>
    </w:p>
    <w:p w14:paraId="176D0B0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（1）日常监督检查</w:t>
      </w:r>
    </w:p>
    <w:p w14:paraId="11FE71D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一是对当年新建并通过竣工验收备案的城市供水设施进行全面调查摸底，充实更新信息数据库台账，掌握全市供水管理信息统计与分析基础，支撑规范化管理。</w:t>
      </w:r>
    </w:p>
    <w:p w14:paraId="0E0D25B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二是全面摸排城市供水改造管理现状，完善信息动态更新机制，为供水设施（尤其是老旧小区）改造与管理提供依据。</w:t>
      </w:r>
    </w:p>
    <w:p w14:paraId="089813C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三是以消除安全隐患为目标，实时更新供水设施信息底图，为城市供水监管提供业务支撑。</w:t>
      </w:r>
    </w:p>
    <w:p w14:paraId="19B4871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（2）开学前专项监督检查</w:t>
      </w:r>
    </w:p>
    <w:p w14:paraId="163C924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项目周期内春、秋季开学前，对西安市中心城区不同区域学校开展供水情况抽查检查，重点对学校供水设施运行情况进行检查，对学校水质进行抽检，并进行信息数据采集。</w:t>
      </w:r>
    </w:p>
    <w:p w14:paraId="5FADF5C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采集标准与日常监督检查相同，主要采集基本信息、水质快速检测信息数据。对存在安全隐患问题的区域（或学校），及时下达整改通知并跟踪处置，直至整改到位后确认该点位信息数据采集完成。</w:t>
      </w:r>
    </w:p>
    <w:p w14:paraId="4AC01A6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（3）夏/冬季高峰供水保障监督检查</w:t>
      </w:r>
    </w:p>
    <w:p w14:paraId="523C186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夏季：结合用水高峰期及汛期强降雨影响（以地表水系统为主），易发水质不达标、水量水压不足、爆管等问题。供水管理中心需与供水企业建立联动机制，落实处置措施，保障高温时段供水安全。</w:t>
      </w:r>
    </w:p>
    <w:p w14:paraId="6C64191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冬季：针对寒冷天气易导致多层及老旧小区庭院管网、水表、高位水箱等冻损问题，对中心城区居民小区随机抽查。重点检查供水主体责任落实、水质安全保障、设施运行、安全管理措施等情况，并全面排查冬季供水保障方案、爆管应急措施、防寒防冻措施、抢修维修及备件储备情况。</w:t>
      </w:r>
    </w:p>
    <w:p w14:paraId="4470246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（4）重大活动及重大节假日监督检查</w:t>
      </w:r>
    </w:p>
    <w:p w14:paraId="7EBA681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当前，西安市正处于“一带一路”建设、国家中心城市、国际化大都市建设等黄金机遇叠加期，区位优势明显、交通发达便利，拥有欧亚经济论坛、丝绸之路国际博览会等国际交流平台，也是全国重要的旅游城市。做好会议场所、接待酒店、商场、公共场所等区域的供水安全保障至关重要。因此，在重大活动及节假日期间，本项目计划开展供水专项检查，以会议场所、星级酒店、大型商场、重要场所等为重点检查区域。</w:t>
      </w:r>
    </w:p>
    <w:p w14:paraId="0B9D4197">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3、数据采集内容</w:t>
      </w:r>
    </w:p>
    <w:p w14:paraId="0AE6021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末端供水信息采集有助于完善供水监管体系，通过定期采集和分析信息，能够对供水单位的运行管理情况进行有效监督，确保其严格遵守相关法律法规和标准规范，规范供水行为，维护供水市场秩序。信息采集内容包括但不限于以下内容：</w:t>
      </w:r>
    </w:p>
    <w:p w14:paraId="7F6A9E7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（1）供水设施信息</w:t>
      </w:r>
    </w:p>
    <w:p w14:paraId="5CDEA24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基本信息包括名称、位置、类型（如水箱、水泵、管网等）、规格型号、生产厂家、安装日期、投用时间、设计参数（如水箱容积、水泵扬程、流量等）、设施产权单位、管理维护单位等；设施的数量、分布情况及各设施之间的连接关系；设施的完好程度及损坏、锈蚀、渗漏等情况；设施的维护保养记录，包括维护时间、维护内容、维护单位、维护人员等。</w:t>
      </w:r>
    </w:p>
    <w:p w14:paraId="3C227DF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（2）水质信息</w:t>
      </w:r>
    </w:p>
    <w:p w14:paraId="0B3FF10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水质检测结果包括浑浊度、色度、嗅和味、pH值、水温、游离余氯等常规指标的检测数据；水质异常情况记录，如是否出现异色、异味、浑浊等现象，以及异常发生的时间、范围、原因等；水质消毒情况包括消毒方式、消毒药剂种类及用量、消毒频率等；水质监测频次及监测机构信息。</w:t>
      </w:r>
    </w:p>
    <w:p w14:paraId="57D804F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（3）供水运行信息</w:t>
      </w:r>
    </w:p>
    <w:p w14:paraId="18256CA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供水量包括每日、每月的供水量数据；水压信息包括管网压力、水箱水位等数据；供水时间主要指停水情况、停水原因、停水时长及恢复供水时间等信息。</w:t>
      </w:r>
    </w:p>
    <w:p w14:paraId="0E8D7EB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（4）管理信息</w:t>
      </w:r>
    </w:p>
    <w:p w14:paraId="670CC4A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二次供水单位的管理制度建立及执行情况；管理人员的配备情况，包括人员数量、资质证书等；应急预案的制定及演练情况。</w:t>
      </w:r>
    </w:p>
    <w:p w14:paraId="2B3893C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本项目周期为2026年7月至2027年6月，共12个月，采集点次总量约1800个，结合重点节假日（春节、劳动节、端午节、国庆节）、春秋开学季（3月、9月）、用水高峰季节（6—8月）等节点需求，差异化分配各月采集点次。在重要节点、月份通过增加采集点次强化对二次供水设施运行状态、水质指标、供水量水压等核心信息的采集密度，非重点月份按日常及定期采集基础频次开展工作，采集计划详见表1。采集点次分配需结合实际辖区内二次供水点位分布，优先保障居民集中区、学校、医院等重点区域在重要节点的采集覆盖面。</w:t>
      </w:r>
    </w:p>
    <w:p w14:paraId="30BA12B5">
      <w:pPr>
        <w:jc w:val="center"/>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表1 管理信息采集项目计划安排表</w:t>
      </w:r>
    </w:p>
    <w:tbl>
      <w:tblPr>
        <w:tblStyle w:val="3"/>
        <w:tblW w:w="10213" w:type="dxa"/>
        <w:tblInd w:w="-389"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432"/>
        <w:gridCol w:w="1519"/>
        <w:gridCol w:w="1408"/>
        <w:gridCol w:w="5854"/>
      </w:tblGrid>
      <w:tr w14:paraId="7F7DFB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tcBorders>
              <w:top w:val="single" w:color="000000" w:sz="4" w:space="0"/>
              <w:left w:val="single" w:color="000000" w:sz="4" w:space="0"/>
              <w:bottom w:val="single" w:color="000000" w:sz="4" w:space="0"/>
              <w:right w:val="single" w:color="000000" w:sz="4" w:space="0"/>
            </w:tcBorders>
            <w:tcMar>
              <w:top w:w="60" w:type="dxa"/>
              <w:left w:w="120" w:type="dxa"/>
              <w:bottom w:w="30" w:type="dxa"/>
              <w:right w:w="120" w:type="dxa"/>
            </w:tcMar>
            <w:vAlign w:val="center"/>
          </w:tcPr>
          <w:p w14:paraId="4BDC064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工作周期</w:t>
            </w:r>
          </w:p>
        </w:tc>
        <w:tc>
          <w:tcPr>
            <w:tcW w:w="1519" w:type="dxa"/>
            <w:tcBorders>
              <w:top w:val="single" w:color="000000" w:sz="4" w:space="0"/>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17A56A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采样日期</w:t>
            </w:r>
          </w:p>
        </w:tc>
        <w:tc>
          <w:tcPr>
            <w:tcW w:w="1408" w:type="dxa"/>
            <w:tcBorders>
              <w:top w:val="single" w:color="000000" w:sz="4" w:space="0"/>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D27F3D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采集点次</w:t>
            </w:r>
          </w:p>
        </w:tc>
        <w:tc>
          <w:tcPr>
            <w:tcW w:w="5854" w:type="dxa"/>
            <w:tcBorders>
              <w:top w:val="single" w:color="000000" w:sz="4" w:space="0"/>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13B9B3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频次调整说明</w:t>
            </w:r>
          </w:p>
        </w:tc>
      </w:tr>
      <w:tr w14:paraId="2F7583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restart"/>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775C607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2026年</w:t>
            </w: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BFA620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7月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69DC422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170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CEB77B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高温阶段，用水需求仍处高位，保持较高采集频次，重点增加对老旧小区二次供水设施锈蚀、渗漏情况的排查采集，强化水质异常情况跟踪记录</w:t>
            </w:r>
          </w:p>
        </w:tc>
      </w:tr>
      <w:tr w14:paraId="7D0AF5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continue"/>
            <w:tcBorders>
              <w:top w:val="nil"/>
              <w:left w:val="single" w:color="000000" w:sz="4" w:space="0"/>
              <w:bottom w:val="single" w:color="000000" w:sz="4" w:space="0"/>
              <w:right w:val="single" w:color="000000" w:sz="4" w:space="0"/>
            </w:tcBorders>
            <w:vAlign w:val="center"/>
          </w:tcPr>
          <w:p w14:paraId="68C16B6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EF46AA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8月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A11C05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160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0BB54C7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夏季用水高峰期，适当微调但仍保持较高频次，重点关注供水设施在长期高负荷运行后的损耗情况，增加维护保养记录的采集密度</w:t>
            </w:r>
          </w:p>
        </w:tc>
      </w:tr>
      <w:tr w14:paraId="7ACCA7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continue"/>
            <w:tcBorders>
              <w:top w:val="nil"/>
              <w:left w:val="single" w:color="000000" w:sz="4" w:space="0"/>
              <w:bottom w:val="single" w:color="000000" w:sz="4" w:space="0"/>
              <w:right w:val="single" w:color="000000" w:sz="4" w:space="0"/>
            </w:tcBorders>
            <w:vAlign w:val="center"/>
          </w:tcPr>
          <w:p w14:paraId="1F0F038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FA4B6A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9月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D40AA2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160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CE9A8C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秋季开学后，学校及周边居民区用水需求上升，增加采集点次，重点采集学校及周边区域二次供水设施运行信息、水质检测数据</w:t>
            </w:r>
          </w:p>
        </w:tc>
      </w:tr>
      <w:tr w14:paraId="4034E3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continue"/>
            <w:tcBorders>
              <w:top w:val="nil"/>
              <w:left w:val="single" w:color="000000" w:sz="4" w:space="0"/>
              <w:bottom w:val="single" w:color="000000" w:sz="4" w:space="0"/>
              <w:right w:val="single" w:color="000000" w:sz="4" w:space="0"/>
            </w:tcBorders>
            <w:vAlign w:val="center"/>
          </w:tcPr>
          <w:p w14:paraId="509D963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8E7077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7EAA1DA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150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0E41790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国庆假期期间，提高采集频次，重点关注旅游集中区域及居民区的供水压力、水质稳定性，加强设施故障应急信息的采集响应</w:t>
            </w:r>
          </w:p>
        </w:tc>
      </w:tr>
      <w:tr w14:paraId="394943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continue"/>
            <w:tcBorders>
              <w:top w:val="nil"/>
              <w:left w:val="single" w:color="000000" w:sz="4" w:space="0"/>
              <w:bottom w:val="single" w:color="000000" w:sz="4" w:space="0"/>
              <w:right w:val="single" w:color="000000" w:sz="4" w:space="0"/>
            </w:tcBorders>
            <w:vAlign w:val="center"/>
          </w:tcPr>
          <w:p w14:paraId="631ED89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0589C8A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11月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E6E9C4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130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900EB9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无重点节点，按定期采集要求推进，重点完成二次供水单位管理制度执行情况、管理人员配备情况的半年度采集任务</w:t>
            </w:r>
          </w:p>
        </w:tc>
      </w:tr>
      <w:tr w14:paraId="3B164F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continue"/>
            <w:tcBorders>
              <w:top w:val="nil"/>
              <w:left w:val="single" w:color="000000" w:sz="4" w:space="0"/>
              <w:bottom w:val="single" w:color="000000" w:sz="4" w:space="0"/>
              <w:right w:val="single" w:color="000000" w:sz="4" w:space="0"/>
            </w:tcBorders>
            <w:vAlign w:val="center"/>
          </w:tcPr>
          <w:p w14:paraId="12474CC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436431C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12月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FE6C8A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130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6513DC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冬季低温及元旦节前，同步梳理全年采集数据，重点采集设施年度维护总结信息</w:t>
            </w:r>
          </w:p>
        </w:tc>
      </w:tr>
      <w:tr w14:paraId="378F8E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restart"/>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7725D4A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2027年</w:t>
            </w: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74B129F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C63687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160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48AD81E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临近春节，增加对居民集中区域二次供水设施运行状态、水质常规指标的采集频次，重点关注水箱清洗消毒记录、水压稳定性等信息</w:t>
            </w:r>
          </w:p>
        </w:tc>
      </w:tr>
      <w:tr w14:paraId="6522A0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continue"/>
            <w:tcBorders>
              <w:top w:val="nil"/>
              <w:left w:val="single" w:color="000000" w:sz="4" w:space="0"/>
              <w:bottom w:val="single" w:color="000000" w:sz="4" w:space="0"/>
              <w:right w:val="single" w:color="000000" w:sz="4" w:space="0"/>
            </w:tcBorders>
            <w:vAlign w:val="center"/>
          </w:tcPr>
          <w:p w14:paraId="56493A0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6157337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7C162BA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160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DC6BA8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春节假期期间，居民用水需求集中，提高采集频次，加强对供水设施故障隐患、水质异常情况的排查采集</w:t>
            </w:r>
          </w:p>
        </w:tc>
      </w:tr>
      <w:tr w14:paraId="3097F9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continue"/>
            <w:tcBorders>
              <w:top w:val="nil"/>
              <w:left w:val="single" w:color="000000" w:sz="4" w:space="0"/>
              <w:bottom w:val="single" w:color="000000" w:sz="4" w:space="0"/>
              <w:right w:val="single" w:color="000000" w:sz="4" w:space="0"/>
            </w:tcBorders>
            <w:vAlign w:val="center"/>
          </w:tcPr>
          <w:p w14:paraId="69C87CC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622AB4A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52D68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120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666D32C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春季开学季，按日常及定期采集要求开展工作，重点完成供水设施完好程度、维护保养记录的季度采集任务</w:t>
            </w:r>
          </w:p>
        </w:tc>
      </w:tr>
      <w:tr w14:paraId="4A5FA5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continue"/>
            <w:tcBorders>
              <w:top w:val="nil"/>
              <w:left w:val="single" w:color="000000" w:sz="4" w:space="0"/>
              <w:bottom w:val="single" w:color="000000" w:sz="4" w:space="0"/>
              <w:right w:val="single" w:color="000000" w:sz="4" w:space="0"/>
            </w:tcBorders>
            <w:vAlign w:val="center"/>
          </w:tcPr>
          <w:p w14:paraId="17E4791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0F0951D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73C199C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140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6B17C5E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结合清明节假期，适当增加采集频次，重点采集水质消毒情况、供水量变化数据，关注假期前后用水波动对二次供水系统的影响</w:t>
            </w:r>
          </w:p>
        </w:tc>
      </w:tr>
      <w:tr w14:paraId="593950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continue"/>
            <w:tcBorders>
              <w:top w:val="nil"/>
              <w:left w:val="single" w:color="000000" w:sz="4" w:space="0"/>
              <w:bottom w:val="single" w:color="000000" w:sz="4" w:space="0"/>
              <w:right w:val="single" w:color="000000" w:sz="4" w:space="0"/>
            </w:tcBorders>
            <w:vAlign w:val="center"/>
          </w:tcPr>
          <w:p w14:paraId="5A070C6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251760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5月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4B2F0C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150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D93BC0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劳动节期间，提高采集点次，强化对水压、水质检测结果的采集，及时掌握用水高峰时段系统运行状况</w:t>
            </w:r>
          </w:p>
        </w:tc>
      </w:tr>
      <w:tr w14:paraId="7B8778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2" w:type="dxa"/>
            <w:vMerge w:val="continue"/>
            <w:tcBorders>
              <w:top w:val="nil"/>
              <w:left w:val="single" w:color="000000" w:sz="4" w:space="0"/>
              <w:bottom w:val="single" w:color="000000" w:sz="4" w:space="0"/>
              <w:right w:val="single" w:color="000000" w:sz="4" w:space="0"/>
            </w:tcBorders>
            <w:vAlign w:val="center"/>
          </w:tcPr>
          <w:p w14:paraId="28BA876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1519"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EE3BAA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6月</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C19FE6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170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6C3F0F9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进入夏季用水高峰，大幅增加采集频次，重点采集供水量、水压实时数据、水质微生物指标检测结果，加强对水泵运行状态、水箱水位的高频次监测</w:t>
            </w:r>
          </w:p>
        </w:tc>
      </w:tr>
      <w:tr w14:paraId="6C155F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1" w:type="dxa"/>
            <w:gridSpan w:val="2"/>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46260E1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合 计</w:t>
            </w:r>
          </w:p>
        </w:tc>
        <w:tc>
          <w:tcPr>
            <w:tcW w:w="1408"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1659A3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1800</w:t>
            </w:r>
          </w:p>
        </w:tc>
        <w:tc>
          <w:tcPr>
            <w:tcW w:w="5854"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489F2B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w:t>
            </w:r>
          </w:p>
        </w:tc>
      </w:tr>
    </w:tbl>
    <w:p w14:paraId="301873D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（5）采集信息处理要求</w:t>
      </w:r>
    </w:p>
    <w:p w14:paraId="3A9F724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一是采集信息内容须准确全面，避免引起歧义或存在明显逻辑错误，确因客观原因造成信息不全的，应在备注栏说明情况；</w:t>
      </w:r>
    </w:p>
    <w:p w14:paraId="528336A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二是将信息采集数据表、影像资料按要求编码、分类、汇总、成册、建档，完善后期采集资料整理相关工作，形成检查档案，构建完整的采集对象基础数据信息；</w:t>
      </w:r>
    </w:p>
    <w:p w14:paraId="15C2F56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三是拍摄的影像资料包括小区大门、小区环境、水泵房环境、设施重点部位、清洗消毒及水质情况，要求光线充足、拍摄清晰、格式一致。</w:t>
      </w:r>
    </w:p>
    <w:p w14:paraId="1B07AD66">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4、数据采集人员要求</w:t>
      </w:r>
    </w:p>
    <w:p w14:paraId="402ACBD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负责信息采集的人员应熟练掌握城市供水相关法律法规知识，沟通能力较强；业务水平较高，能够详细查看泵房情况，精准研判安全隐患，完善现场信息记录，熟练操作手持采集终端，对存在隐患指导物业整改；现场处置问题能力较强，实行首检负责制，填写城市供水管理信息采集表、安全管理监督检查表、水质检测表，对隐患下达整改通知单。</w:t>
      </w:r>
    </w:p>
    <w:p w14:paraId="5EB7050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数据采集人员不得少于2人同行。其中一人负责检查供水设施情况并对现场问题进行处置，对隐患下达整改通知单；另一人负责拍摄供水设施现场情况，并填写相关表格。</w:t>
      </w:r>
    </w:p>
    <w:p w14:paraId="19110F0E">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5、信息录入及分析</w:t>
      </w:r>
    </w:p>
    <w:p w14:paraId="310A90C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信息录入要求：采集回的城市供水基础信息须严格把关，经相关部门抽检后录入数据库更新已有信息。录入信息应及时对比分析，具体包括：</w:t>
      </w:r>
    </w:p>
    <w:p w14:paraId="254E3D4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（1）城市供水基础台账总量变化分析；</w:t>
      </w:r>
    </w:p>
    <w:p w14:paraId="5859DEA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（2）按行政区划的总量变化分析；</w:t>
      </w:r>
    </w:p>
    <w:p w14:paraId="49B85E8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（3）供水方式总量变化分析；</w:t>
      </w:r>
    </w:p>
    <w:p w14:paraId="60F5D3A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（4）供水设施具体情况分析（为日常工作检查、重点监管任务、周报月报提供数据支撑）。</w:t>
      </w:r>
    </w:p>
    <w:p w14:paraId="3F40E68D">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6、水质快检要求</w:t>
      </w:r>
    </w:p>
    <w:p w14:paraId="23CCA56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（1）水质快检流程</w:t>
      </w:r>
    </w:p>
    <w:p w14:paraId="7C6E9C0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第一步：检测前准备</w:t>
      </w:r>
    </w:p>
    <w:p w14:paraId="7342ECC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设备与药剂准备：检测人员在出发前，需检查便携式水质检测设备的电量及性能是否正常，确保设备能够正常工作。同时，核对所需药剂的种类、数量及有效期，保证药剂符合检测要求。</w:t>
      </w:r>
    </w:p>
    <w:p w14:paraId="386FFAE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点位规划：根据日常检查计划，确定需要检测的水质点位，除常规监测点位外，应重点选择居民家庭、公共场所（如学校、医院、商场等）的常用水箱出水口或水龙头作为检测点位，明确每个点位的检测项目。</w:t>
      </w:r>
    </w:p>
    <w:p w14:paraId="21C14F3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第二步：现场检测</w:t>
      </w:r>
    </w:p>
    <w:p w14:paraId="364C73B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多人多次检测：到达检测点位后，对于常用水龙头，应先打开水龙头放水3～5分钟，待管道内滞留水排空后再进行检测。由多名检测人员按照规定的操作步骤，对同一项目进行多次检测。检测过程中严格遵守操作规程，避免因操作不当影响检测结果。</w:t>
      </w:r>
    </w:p>
    <w:p w14:paraId="7ADD939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数据采集：便携式水质检测设备得出数据结果后，检测人员及时记录每次检测的数据，包括检测点位（注明具体水龙头位置）、检测项目、检测时间、检测数值等信息。对于感官指标（如臭和味、肉眼可见物等），需详细描述实际情况。</w:t>
      </w:r>
    </w:p>
    <w:p w14:paraId="1BBB0B1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第三步：数据处理与表格填写</w:t>
      </w:r>
    </w:p>
    <w:p w14:paraId="4372D37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检测人员对采集到的多次检测数据进行整理和分析，计算平均值等统计量，作为该点位该项目的倾向性判断依据。对于感官指标，汇总描述结果。</w:t>
      </w:r>
    </w:p>
    <w:p w14:paraId="6838948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按照要求填写水质信息采集检测表，将检测点位、检测项目、检测时间、各次检测数值、统计量、感官指标描述等信息准确、完整地记录在表格中，并签字确认。</w:t>
      </w:r>
    </w:p>
    <w:p w14:paraId="73BCBD6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（2）异常情况处理</w:t>
      </w:r>
    </w:p>
    <w:p w14:paraId="7AADC11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当检测数值超出正常值范围，或感官指标出现异常（如存在明显异臭异味、肉眼可见物等），显示有污染倾向时，检测人员应立即停止该点位的检测工作，并进行复核检测，确认检测结果的准确性。</w:t>
      </w:r>
    </w:p>
    <w:p w14:paraId="68A8772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若复核检测结果仍显示有污染倾向，检测人员需及时向相关负责人汇报，并按照规定流程委托有资质的第三方检测机构加急对该点位水质进行检测。</w:t>
      </w:r>
    </w:p>
    <w:p w14:paraId="7BD7BC1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第三方检测机构出具水质检测报告后，检测人员应及时将报告上报上级单位，由专家进行研判，确定后续处理措施。</w:t>
      </w:r>
    </w:p>
    <w:p w14:paraId="5DD746B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（3）检测人员要求</w:t>
      </w:r>
    </w:p>
    <w:p w14:paraId="0C47BE4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检测人员需熟练掌握便携式水质监测仪及相关药剂的使用方法，确保操作规范。严格按照检测流程进行现场检测、数据记录和表格填写。对检测过程中出现的异常情况及时上报，并配合后续的第三方检测及专家研判等工作。负责妥善保管检测设备和药剂，定期进行维护和校准，保证设备的正常运行。</w:t>
      </w:r>
    </w:p>
    <w:p w14:paraId="376B8F2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（4）质量控制要求</w:t>
      </w:r>
    </w:p>
    <w:p w14:paraId="06ECF54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定期对便携式水质检测设备进行校准和维护，确保设备检测精度符合要求；严格控制药剂的储存和使用条件，避免药剂失效影响检测结果；对检测人员进行定期培训和考核，提高操作技能和责任意识，确保检测过程规范、数据准确，尤其对于感官指标的判断要保持一致性。</w:t>
      </w:r>
    </w:p>
    <w:p w14:paraId="7E16AB9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（5）质量保障措施</w:t>
      </w:r>
    </w:p>
    <w:p w14:paraId="7221BFFE">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配备充足的便携式水质检测设备、药剂及相关耗材，满足日常检测工作的需求；建立健全设备管理制度和药剂管理制度，明确管理责任，确保设备和药剂的合理使用和妥善保管；设立应急处理机制，对突发的水质异常情况能够迅速响应，及时采取有效的处理措施。</w:t>
      </w:r>
    </w:p>
    <w:p w14:paraId="4FADDD5A">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（二）城市供水水质抽检服务</w:t>
      </w:r>
    </w:p>
    <w:p w14:paraId="6884709E">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依据《传染病防治法》《水污染防治法》《生活饮用水卫生监督管理办法》等法律法规及省、市水污染防治工作部署，委托具备CMA资质第三方检测单位，对西安市主城区及远郊区县开展水质专项检测。本次抽检严格遵循“问题导向、风险预警、全面覆盖”原则，科学优化监测点位布局，实施差异化、精准化布点管控，重点聚焦三大高风险核心监测区域并加密布设监测点位：一是医院、学校、养老院等重点公用建筑用水点位，全力保障特殊易感人群用水安全；二是群众投诉集中、水质异常频发区域，加密监测点位，精准溯源水质问题，闭环落实整改核验；三是水厂服务边界、地势较高的管网末梢及老旧小区，补齐管网末端监测短板，有效消除城郊及末梢管网水质监管盲区。</w:t>
      </w:r>
    </w:p>
    <w:p w14:paraId="3BD3E9A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检测服务实行全流程闭环管理，涵盖科学布点、现场取样、实验室分析、出具CMA认证报告及专项水质分析总结。检测全过程严格执行国家技术标准，依托第三方机构完善的实验室设施与专业团队，确保样本代表性与结果准确性，旨在通过精准的数据支撑，为市供水管理中心实施靶向治理、消除供水隐患提供科学依据。</w:t>
      </w:r>
    </w:p>
    <w:p w14:paraId="348ADD5B">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1、检测指标及点次</w:t>
      </w:r>
    </w:p>
    <w:p w14:paraId="05F0804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根据市水务局对城市供水水质保障工作的高度重视，同时考虑到部分末端用水户尤其在夏季水质投诉相对较多的实际情况，为进一步提升城市供水水质管理水平，本项目在参照西安市供水管理中心2017—2026年城市供水管理项目水质专项检测服务工作内容的基础上，将抽检点次增加至920点次，以更全面、及时地掌握城市供水水质状况，切实保障居民用水安全。</w:t>
      </w:r>
    </w:p>
    <w:p w14:paraId="0E8C7C4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专项水质检测指标依据《二次供水设施卫生规范》(GB 17051-2025)、《生活饮用水卫生标准》（GB 5749-2022）选取，分为两类：</w:t>
      </w:r>
    </w:p>
    <w:p w14:paraId="35C00D2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水质常规指标及扩展指标检测（39项）（A）：20点次。因检测点次较少，不具备按月排布的可行性，本类别不纳入月度检测计划，仅作为针对特定区域的专项抽查任务。鉴于长安、临潼等区域近期水质反馈较为强烈，该20点次将重点倾斜于上述水质敏感区域，实施精准诊断与深度排查。</w:t>
      </w:r>
    </w:p>
    <w:p w14:paraId="0A8D49F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水质常规指标检测（10项）（B）：900点次。该10项指标依据新版《二次供水设施卫生规范》制定，并结合二次供水特点，取消了仅在总大肠菌群检出后才需测定的大肠埃希氏菌指标，新增余氯指标，以直观反映水体消毒效果与管网水质稳定性。该900点次将严格按照检测计划执行，按月度及重点时段排布，确保覆盖面与时效性。</w:t>
      </w:r>
    </w:p>
    <w:p w14:paraId="1B5180A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检测频次紧密结合用水场景特点与水质风险规律，以精准防控安全隐患。节假日期间（春节、劳动节、国庆节等），因居民用水需求波动大且小区物业管理易出现松懈，需针对性强化监测；春秋开学季人员集中返校，校园及周边用水负荷骤增，用水人群密集，需同步加密水质检测；夏季（6～8月）气温高导致微生物污染风险攀升，冬季（12月至次年1月）因水温低可能改变供水设施运行状态，需加强检测频次。具体检测任务频次及检测项目安排见表2。</w:t>
      </w:r>
    </w:p>
    <w:p w14:paraId="603C99F5">
      <w:pPr>
        <w:jc w:val="center"/>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表2  水质常规指标检测（39项）项目计划安排表</w:t>
      </w:r>
    </w:p>
    <w:tbl>
      <w:tblPr>
        <w:tblStyle w:val="3"/>
        <w:tblW w:w="9408" w:type="dxa"/>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875"/>
        <w:gridCol w:w="2742"/>
        <w:gridCol w:w="2791"/>
      </w:tblGrid>
      <w:tr w14:paraId="487697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tcBorders>
              <w:top w:val="single" w:color="000000" w:sz="4" w:space="0"/>
              <w:left w:val="single" w:color="000000" w:sz="4" w:space="0"/>
              <w:bottom w:val="single" w:color="000000" w:sz="4" w:space="0"/>
              <w:right w:val="single" w:color="000000" w:sz="4" w:space="0"/>
            </w:tcBorders>
            <w:tcMar>
              <w:top w:w="60" w:type="dxa"/>
              <w:left w:w="120" w:type="dxa"/>
              <w:bottom w:w="30" w:type="dxa"/>
              <w:right w:w="120" w:type="dxa"/>
            </w:tcMar>
            <w:vAlign w:val="center"/>
          </w:tcPr>
          <w:p w14:paraId="4CD9EA7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工作周期</w:t>
            </w:r>
          </w:p>
        </w:tc>
        <w:tc>
          <w:tcPr>
            <w:tcW w:w="2742" w:type="dxa"/>
            <w:tcBorders>
              <w:top w:val="single" w:color="000000" w:sz="4" w:space="0"/>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C8F6EB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点数</w:t>
            </w:r>
          </w:p>
        </w:tc>
        <w:tc>
          <w:tcPr>
            <w:tcW w:w="2791" w:type="dxa"/>
            <w:tcBorders>
              <w:top w:val="single" w:color="000000" w:sz="4" w:space="0"/>
              <w:left w:val="single" w:color="000000" w:sz="4" w:space="0"/>
              <w:bottom w:val="single" w:color="000000" w:sz="4" w:space="0"/>
              <w:right w:val="single" w:color="000000" w:sz="4" w:space="0"/>
            </w:tcBorders>
            <w:tcMar>
              <w:top w:w="60" w:type="dxa"/>
              <w:left w:w="120" w:type="dxa"/>
              <w:bottom w:w="30" w:type="dxa"/>
              <w:right w:w="120" w:type="dxa"/>
            </w:tcMar>
            <w:vAlign w:val="center"/>
          </w:tcPr>
          <w:p w14:paraId="2368BE0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采样日期</w:t>
            </w:r>
          </w:p>
        </w:tc>
      </w:tr>
      <w:tr w14:paraId="688F9E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restart"/>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28F335E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2026年</w:t>
            </w: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672FEA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80</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1BD95E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7月</w:t>
            </w:r>
          </w:p>
        </w:tc>
      </w:tr>
      <w:tr w14:paraId="0BDB3E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continue"/>
            <w:tcBorders>
              <w:top w:val="nil"/>
              <w:left w:val="single" w:color="000000" w:sz="4" w:space="0"/>
              <w:bottom w:val="single" w:color="000000" w:sz="4" w:space="0"/>
              <w:right w:val="single" w:color="000000" w:sz="4" w:space="0"/>
            </w:tcBorders>
            <w:vAlign w:val="center"/>
          </w:tcPr>
          <w:p w14:paraId="71CF628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66ECD3D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80</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7B3CABB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8月</w:t>
            </w:r>
          </w:p>
        </w:tc>
      </w:tr>
      <w:tr w14:paraId="2BFE60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continue"/>
            <w:tcBorders>
              <w:top w:val="nil"/>
              <w:left w:val="single" w:color="000000" w:sz="4" w:space="0"/>
              <w:bottom w:val="single" w:color="000000" w:sz="4" w:space="0"/>
              <w:right w:val="single" w:color="000000" w:sz="4" w:space="0"/>
            </w:tcBorders>
            <w:vAlign w:val="center"/>
          </w:tcPr>
          <w:p w14:paraId="57FC8C4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F3693F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90</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7178652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9月</w:t>
            </w:r>
          </w:p>
        </w:tc>
      </w:tr>
      <w:tr w14:paraId="309726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continue"/>
            <w:tcBorders>
              <w:top w:val="nil"/>
              <w:left w:val="single" w:color="000000" w:sz="4" w:space="0"/>
              <w:bottom w:val="single" w:color="000000" w:sz="4" w:space="0"/>
              <w:right w:val="single" w:color="000000" w:sz="4" w:space="0"/>
            </w:tcBorders>
            <w:vAlign w:val="center"/>
          </w:tcPr>
          <w:p w14:paraId="753D02E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2BC27C4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85</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2E6A142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10月</w:t>
            </w:r>
          </w:p>
        </w:tc>
      </w:tr>
      <w:tr w14:paraId="365783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continue"/>
            <w:tcBorders>
              <w:top w:val="nil"/>
              <w:left w:val="single" w:color="000000" w:sz="4" w:space="0"/>
              <w:bottom w:val="single" w:color="000000" w:sz="4" w:space="0"/>
              <w:right w:val="single" w:color="000000" w:sz="4" w:space="0"/>
            </w:tcBorders>
            <w:vAlign w:val="center"/>
          </w:tcPr>
          <w:p w14:paraId="6F5E738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4661DF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45</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01C6912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11月</w:t>
            </w:r>
          </w:p>
        </w:tc>
      </w:tr>
      <w:tr w14:paraId="3A7C1D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continue"/>
            <w:tcBorders>
              <w:top w:val="nil"/>
              <w:left w:val="single" w:color="000000" w:sz="4" w:space="0"/>
              <w:bottom w:val="single" w:color="000000" w:sz="4" w:space="0"/>
              <w:right w:val="single" w:color="000000" w:sz="4" w:space="0"/>
            </w:tcBorders>
            <w:vAlign w:val="center"/>
          </w:tcPr>
          <w:p w14:paraId="4A88F27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79A91EA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75</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2B40630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12月</w:t>
            </w:r>
          </w:p>
        </w:tc>
      </w:tr>
      <w:tr w14:paraId="61FD3A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restart"/>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30959E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2027年</w:t>
            </w: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6D20B75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60</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682492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1月</w:t>
            </w:r>
          </w:p>
        </w:tc>
      </w:tr>
      <w:tr w14:paraId="5C6B34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continue"/>
            <w:tcBorders>
              <w:top w:val="nil"/>
              <w:left w:val="single" w:color="000000" w:sz="4" w:space="0"/>
              <w:bottom w:val="single" w:color="000000" w:sz="4" w:space="0"/>
              <w:right w:val="single" w:color="000000" w:sz="4" w:space="0"/>
            </w:tcBorders>
            <w:vAlign w:val="center"/>
          </w:tcPr>
          <w:p w14:paraId="2E8C9A2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41E227C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85</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7533259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2月</w:t>
            </w:r>
          </w:p>
        </w:tc>
      </w:tr>
      <w:tr w14:paraId="4BFC12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continue"/>
            <w:tcBorders>
              <w:top w:val="nil"/>
              <w:left w:val="single" w:color="000000" w:sz="4" w:space="0"/>
              <w:bottom w:val="single" w:color="000000" w:sz="4" w:space="0"/>
              <w:right w:val="single" w:color="000000" w:sz="4" w:space="0"/>
            </w:tcBorders>
            <w:vAlign w:val="center"/>
          </w:tcPr>
          <w:p w14:paraId="36AD884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5FA188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90</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4137CFE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3月</w:t>
            </w:r>
          </w:p>
        </w:tc>
      </w:tr>
      <w:tr w14:paraId="79BC14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continue"/>
            <w:tcBorders>
              <w:top w:val="nil"/>
              <w:left w:val="single" w:color="000000" w:sz="4" w:space="0"/>
              <w:bottom w:val="single" w:color="000000" w:sz="4" w:space="0"/>
              <w:right w:val="single" w:color="000000" w:sz="4" w:space="0"/>
            </w:tcBorders>
            <w:vAlign w:val="center"/>
          </w:tcPr>
          <w:p w14:paraId="4BD1690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C8DB27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45</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535AED9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4月</w:t>
            </w:r>
          </w:p>
        </w:tc>
      </w:tr>
      <w:tr w14:paraId="40D30E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continue"/>
            <w:tcBorders>
              <w:top w:val="nil"/>
              <w:left w:val="single" w:color="000000" w:sz="4" w:space="0"/>
              <w:bottom w:val="single" w:color="000000" w:sz="4" w:space="0"/>
              <w:right w:val="single" w:color="000000" w:sz="4" w:space="0"/>
            </w:tcBorders>
            <w:vAlign w:val="center"/>
          </w:tcPr>
          <w:p w14:paraId="1019248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07E41D3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85</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2167252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5月</w:t>
            </w:r>
          </w:p>
        </w:tc>
      </w:tr>
      <w:tr w14:paraId="316A98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vMerge w:val="continue"/>
            <w:tcBorders>
              <w:top w:val="nil"/>
              <w:left w:val="single" w:color="000000" w:sz="4" w:space="0"/>
              <w:bottom w:val="single" w:color="000000" w:sz="4" w:space="0"/>
              <w:right w:val="single" w:color="000000" w:sz="4" w:space="0"/>
            </w:tcBorders>
            <w:vAlign w:val="center"/>
          </w:tcPr>
          <w:p w14:paraId="325246D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1664622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80</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BD8B73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6月</w:t>
            </w:r>
          </w:p>
        </w:tc>
      </w:tr>
      <w:tr w14:paraId="3CF2AF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75"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36EC57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合计</w:t>
            </w:r>
          </w:p>
        </w:tc>
        <w:tc>
          <w:tcPr>
            <w:tcW w:w="2742"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6F519A8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900</w:t>
            </w:r>
          </w:p>
        </w:tc>
        <w:tc>
          <w:tcPr>
            <w:tcW w:w="2791" w:type="dxa"/>
            <w:tcBorders>
              <w:top w:val="nil"/>
              <w:left w:val="single" w:color="000000" w:sz="4" w:space="0"/>
              <w:bottom w:val="single" w:color="000000" w:sz="4" w:space="0"/>
              <w:right w:val="single" w:color="000000" w:sz="4" w:space="0"/>
            </w:tcBorders>
            <w:tcMar>
              <w:top w:w="60" w:type="dxa"/>
              <w:left w:w="120" w:type="dxa"/>
              <w:bottom w:w="30" w:type="dxa"/>
              <w:right w:w="120" w:type="dxa"/>
            </w:tcMar>
            <w:vAlign w:val="center"/>
          </w:tcPr>
          <w:p w14:paraId="29F15B3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p>
        </w:tc>
      </w:tr>
    </w:tbl>
    <w:p w14:paraId="44036BD4">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2、制定采样计划</w:t>
      </w:r>
    </w:p>
    <w:p w14:paraId="49A2E05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采样计划应明确以下内容：采样目的、检验指标、采样时间、采样地点、采样方法、采样频率、采样数量、采样容器与清洗要求、采样体积、样品保存方法、样品标签、现场测定指标、采样质量控制、样品运输工具和贮存条件等。</w:t>
      </w:r>
    </w:p>
    <w:p w14:paraId="5718A58B">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3、确定采样工作流程</w:t>
      </w:r>
    </w:p>
    <w:p w14:paraId="22DFAEE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根据水样采集计划，提前与供水主体管理单位对接沟通，确定水样采集工作的相关流程：</w:t>
      </w:r>
    </w:p>
    <w:p w14:paraId="5344ADF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（1）确定好水样采集点位和时间后，做好现场水样采集及采样信息登记；</w:t>
      </w:r>
    </w:p>
    <w:p w14:paraId="69D025C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（2）取样过程中完成现场水样采集、水样封存等工作，确保所取样品符合《生活饮用水标准检验方法水样的采集和保存》（GB/T 5750.2-2023）标准；</w:t>
      </w:r>
    </w:p>
    <w:p w14:paraId="1E4ACE5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（3）做好取样现场影像资料留存、采样信息登记表填写、样品编号等工作；</w:t>
      </w:r>
    </w:p>
    <w:p w14:paraId="5312014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（4）水样采集工作完成后，将水样运送至检测实验室，现场对采集的水样进行信息核实并完成样品移交手续，及时对移交水样进行保管、封存；</w:t>
      </w:r>
    </w:p>
    <w:p w14:paraId="1F7158FE">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（5）按照《生活饮用水标准检验方法》（GB/T 5750.1-2023）的要求，及时对水质进行检测，并出具水质检测报告。</w:t>
      </w:r>
    </w:p>
    <w:p w14:paraId="0FC27732">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4、检测项目指标及限值</w:t>
      </w:r>
    </w:p>
    <w:p w14:paraId="2FAA47A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由专业检测公司取水样检测并出具正式检测报告，检测项目及限值详见表3、表4、表5。</w:t>
      </w:r>
    </w:p>
    <w:p w14:paraId="054E49D6">
      <w:pPr>
        <w:jc w:val="center"/>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表3  水质常规指标检测（10项）及限值</w:t>
      </w:r>
    </w:p>
    <w:tbl>
      <w:tblPr>
        <w:tblStyle w:val="3"/>
        <w:tblW w:w="9260"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09"/>
        <w:gridCol w:w="4865"/>
        <w:gridCol w:w="3286"/>
      </w:tblGrid>
      <w:tr w14:paraId="5E6C0E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272546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序号</w:t>
            </w:r>
          </w:p>
        </w:tc>
        <w:tc>
          <w:tcPr>
            <w:tcW w:w="486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221BA2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指标</w:t>
            </w:r>
          </w:p>
        </w:tc>
        <w:tc>
          <w:tcPr>
            <w:tcW w:w="328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B22A72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限值</w:t>
            </w:r>
          </w:p>
        </w:tc>
      </w:tr>
      <w:tr w14:paraId="04878B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AF019D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w:t>
            </w:r>
          </w:p>
        </w:tc>
        <w:tc>
          <w:tcPr>
            <w:tcW w:w="486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328048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色度(铂钻色度单位)/度</w:t>
            </w:r>
          </w:p>
        </w:tc>
        <w:tc>
          <w:tcPr>
            <w:tcW w:w="328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D71D59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15</w:t>
            </w:r>
          </w:p>
        </w:tc>
      </w:tr>
      <w:tr w14:paraId="72540F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206D8F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w:t>
            </w:r>
          </w:p>
        </w:tc>
        <w:tc>
          <w:tcPr>
            <w:tcW w:w="486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004EC2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浑浊度(散射浑浊度单位)/NTU</w:t>
            </w:r>
          </w:p>
        </w:tc>
        <w:tc>
          <w:tcPr>
            <w:tcW w:w="328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59CD40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w:t>
            </w:r>
          </w:p>
        </w:tc>
      </w:tr>
      <w:tr w14:paraId="7C036E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88888E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w:t>
            </w:r>
          </w:p>
        </w:tc>
        <w:tc>
          <w:tcPr>
            <w:tcW w:w="486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F9E619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嗅味</w:t>
            </w:r>
          </w:p>
        </w:tc>
        <w:tc>
          <w:tcPr>
            <w:tcW w:w="328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B9E764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无异臭、异味</w:t>
            </w:r>
          </w:p>
        </w:tc>
      </w:tr>
      <w:tr w14:paraId="19A62B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715A89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w:t>
            </w:r>
          </w:p>
        </w:tc>
        <w:tc>
          <w:tcPr>
            <w:tcW w:w="486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49F248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肉眼可见物</w:t>
            </w:r>
          </w:p>
        </w:tc>
        <w:tc>
          <w:tcPr>
            <w:tcW w:w="328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D867E5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无</w:t>
            </w:r>
          </w:p>
        </w:tc>
      </w:tr>
      <w:tr w14:paraId="243259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A49162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5</w:t>
            </w:r>
          </w:p>
        </w:tc>
        <w:tc>
          <w:tcPr>
            <w:tcW w:w="486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93C92A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pH</w:t>
            </w:r>
          </w:p>
        </w:tc>
        <w:tc>
          <w:tcPr>
            <w:tcW w:w="328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9F334E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6.5～8.5</w:t>
            </w:r>
          </w:p>
        </w:tc>
      </w:tr>
      <w:tr w14:paraId="2C6E75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4F698F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6</w:t>
            </w:r>
          </w:p>
        </w:tc>
        <w:tc>
          <w:tcPr>
            <w:tcW w:w="486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F8753F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总大肠菌群（MPN/100mL或CFU/100mL）</w:t>
            </w:r>
          </w:p>
        </w:tc>
        <w:tc>
          <w:tcPr>
            <w:tcW w:w="328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E30B20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不应检出</w:t>
            </w:r>
          </w:p>
        </w:tc>
      </w:tr>
      <w:tr w14:paraId="762454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58F70E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7</w:t>
            </w:r>
          </w:p>
        </w:tc>
        <w:tc>
          <w:tcPr>
            <w:tcW w:w="486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9EAC11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菌落总数（MPN/mL或CFU/mL）</w:t>
            </w:r>
          </w:p>
        </w:tc>
        <w:tc>
          <w:tcPr>
            <w:tcW w:w="328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93B2F0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100</w:t>
            </w:r>
          </w:p>
        </w:tc>
      </w:tr>
      <w:tr w14:paraId="5114A5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E970A5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8</w:t>
            </w:r>
          </w:p>
        </w:tc>
        <w:tc>
          <w:tcPr>
            <w:tcW w:w="486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090A59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余氯</w:t>
            </w:r>
          </w:p>
        </w:tc>
        <w:tc>
          <w:tcPr>
            <w:tcW w:w="328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007F3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≥0.05mg/L（末梢水）</w:t>
            </w:r>
          </w:p>
        </w:tc>
      </w:tr>
      <w:tr w14:paraId="212048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E96200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9</w:t>
            </w:r>
          </w:p>
        </w:tc>
        <w:tc>
          <w:tcPr>
            <w:tcW w:w="486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572A54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高锰酸盐指数（以O2计）（mg/L）</w:t>
            </w:r>
          </w:p>
        </w:tc>
        <w:tc>
          <w:tcPr>
            <w:tcW w:w="328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0C443A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w:t>
            </w:r>
          </w:p>
        </w:tc>
      </w:tr>
      <w:tr w14:paraId="0B58D3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75A2BC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w:t>
            </w:r>
          </w:p>
        </w:tc>
        <w:tc>
          <w:tcPr>
            <w:tcW w:w="486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66538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氨（以N计）（mg/L）</w:t>
            </w:r>
          </w:p>
        </w:tc>
        <w:tc>
          <w:tcPr>
            <w:tcW w:w="328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886FA4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0.5</w:t>
            </w:r>
          </w:p>
        </w:tc>
      </w:tr>
    </w:tbl>
    <w:p w14:paraId="7B0EBDEE">
      <w:pPr>
        <w:jc w:val="center"/>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表4  水质常规指标及扩展指标检测（39项）及限值</w:t>
      </w:r>
    </w:p>
    <w:tbl>
      <w:tblPr>
        <w:tblStyle w:val="3"/>
        <w:tblW w:w="9297"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85"/>
        <w:gridCol w:w="3236"/>
        <w:gridCol w:w="5076"/>
      </w:tblGrid>
      <w:tr w14:paraId="1D94C6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A1053A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序号</w:t>
            </w:r>
          </w:p>
        </w:tc>
        <w:tc>
          <w:tcPr>
            <w:tcW w:w="323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7CC9A3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指标</w:t>
            </w:r>
          </w:p>
        </w:tc>
        <w:tc>
          <w:tcPr>
            <w:tcW w:w="507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2287CC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限值</w:t>
            </w:r>
          </w:p>
        </w:tc>
      </w:tr>
      <w:tr w14:paraId="7B6B2D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297" w:type="dxa"/>
            <w:gridSpan w:val="3"/>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ABB814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一、微生物指标</w:t>
            </w:r>
          </w:p>
        </w:tc>
      </w:tr>
      <w:tr w14:paraId="39F7D3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BDC584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w:t>
            </w:r>
          </w:p>
        </w:tc>
        <w:tc>
          <w:tcPr>
            <w:tcW w:w="323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A59C36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总大肠菌群（MPN/100mL或CFU/100mL）</w:t>
            </w:r>
          </w:p>
        </w:tc>
        <w:tc>
          <w:tcPr>
            <w:tcW w:w="507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C75D2C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不应检出</w:t>
            </w:r>
          </w:p>
        </w:tc>
      </w:tr>
      <w:tr w14:paraId="23D22C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164D7D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B482CC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大肠埃希氏菌（MPN/100mL或CFU/100mL）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517524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不应检出</w:t>
            </w:r>
          </w:p>
        </w:tc>
      </w:tr>
      <w:tr w14:paraId="0F30FE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55E3CC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BD5B43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菌落总数（MPN/mL或CFU/mL）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F0F620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100</w:t>
            </w:r>
          </w:p>
        </w:tc>
      </w:tr>
      <w:tr w14:paraId="0D41DE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297" w:type="dxa"/>
            <w:gridSpan w:val="3"/>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B377E0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二、毒理指标</w:t>
            </w:r>
          </w:p>
        </w:tc>
      </w:tr>
      <w:tr w14:paraId="754937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E59BA1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w:t>
            </w:r>
          </w:p>
        </w:tc>
        <w:tc>
          <w:tcPr>
            <w:tcW w:w="323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23EE7F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砷（mg/L）</w:t>
            </w:r>
          </w:p>
        </w:tc>
        <w:tc>
          <w:tcPr>
            <w:tcW w:w="507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06D90E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0.01</w:t>
            </w:r>
          </w:p>
        </w:tc>
      </w:tr>
      <w:tr w14:paraId="7D9187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EF6153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5</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73E2E1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镉（mg/L）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C95AB5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0.005</w:t>
            </w:r>
          </w:p>
        </w:tc>
      </w:tr>
      <w:tr w14:paraId="3ABD3A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986731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6</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2EFE56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铬（六价，mg/L）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074A4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0.05</w:t>
            </w:r>
          </w:p>
        </w:tc>
      </w:tr>
      <w:tr w14:paraId="01CE4A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A91A65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7</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DAA0B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铅（mg/L）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592022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0.01</w:t>
            </w:r>
          </w:p>
        </w:tc>
      </w:tr>
      <w:tr w14:paraId="5C340C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AF18DE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8</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ED4234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汞（mg/L）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57C5D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0.001</w:t>
            </w:r>
          </w:p>
        </w:tc>
      </w:tr>
      <w:tr w14:paraId="342894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8079BE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9</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4580ED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氰化物（mg/L）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83064B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0.05</w:t>
            </w:r>
          </w:p>
        </w:tc>
      </w:tr>
      <w:tr w14:paraId="4A2D34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68E2B7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359C2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氟化物（mg/L）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A23F73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w:t>
            </w:r>
          </w:p>
        </w:tc>
      </w:tr>
      <w:tr w14:paraId="76A61F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FB24BE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11</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4D4FEA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硝酸盐（以N计，mg/L）b</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2D6772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w:t>
            </w:r>
          </w:p>
        </w:tc>
      </w:tr>
      <w:tr w14:paraId="20F982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59947E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12</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DE4C3A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三氯甲烷（mg/L）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53DE5C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0.06</w:t>
            </w:r>
          </w:p>
        </w:tc>
      </w:tr>
      <w:tr w14:paraId="1747B8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208A0F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13</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C0D6D5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一氯二溴甲烷（mg/L）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86B195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0.1</w:t>
            </w:r>
          </w:p>
        </w:tc>
      </w:tr>
      <w:tr w14:paraId="674193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895763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14</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BFC312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二氯一溴甲烷（mg/L）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83DC0B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0.06</w:t>
            </w:r>
          </w:p>
        </w:tc>
      </w:tr>
      <w:tr w14:paraId="432FC6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3DE2DE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15</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D22B29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三溴甲烷（mg/L）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5F37F0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0.1</w:t>
            </w:r>
          </w:p>
        </w:tc>
      </w:tr>
      <w:tr w14:paraId="730DE6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A5C996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16</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B7C51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三卤甲烷（三氯甲烷、一氯二溴甲烷、二氯一溴甲烷、三溴甲烷的总和）</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D6834F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该类化合物中各种化合物的实测浓度与其各自限值的比值之和不超过1</w:t>
            </w:r>
          </w:p>
        </w:tc>
      </w:tr>
      <w:tr w14:paraId="139A1D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7B2943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17</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756095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二氯一酸（mg/L）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C18919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0.05</w:t>
            </w:r>
          </w:p>
        </w:tc>
      </w:tr>
      <w:tr w14:paraId="749ED2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F6B097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18</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8DEC16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三氯一酸（mg/L）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68BCD6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0.1</w:t>
            </w:r>
          </w:p>
        </w:tc>
      </w:tr>
      <w:tr w14:paraId="2BFC8A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DE399C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19</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01E8C5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溴酸盐（mg/L）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373B13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0.01</w:t>
            </w:r>
          </w:p>
        </w:tc>
      </w:tr>
      <w:tr w14:paraId="686175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8E562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20</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78D277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亚氯酸盐（mg/L）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FDE86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0.7</w:t>
            </w:r>
          </w:p>
        </w:tc>
      </w:tr>
      <w:tr w14:paraId="42D2ED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5FF0FD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21</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BE1FB6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氯酸盐（mg/L）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C89A43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0.7</w:t>
            </w:r>
          </w:p>
        </w:tc>
      </w:tr>
      <w:tr w14:paraId="3825B6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297" w:type="dxa"/>
            <w:gridSpan w:val="3"/>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146AC4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三、感官性状和一般化学指标</w:t>
            </w:r>
          </w:p>
        </w:tc>
      </w:tr>
      <w:tr w14:paraId="5B7BBE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AABF69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22</w:t>
            </w:r>
          </w:p>
        </w:tc>
        <w:tc>
          <w:tcPr>
            <w:tcW w:w="323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A98004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色度（铂钴色度单位）</w:t>
            </w:r>
          </w:p>
        </w:tc>
        <w:tc>
          <w:tcPr>
            <w:tcW w:w="507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DA1AB1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15</w:t>
            </w:r>
          </w:p>
        </w:tc>
      </w:tr>
      <w:tr w14:paraId="0631AD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A2059D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23</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E4C97E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浑浊度（NTU-散射浊度单位）</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D204B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w:t>
            </w:r>
          </w:p>
        </w:tc>
      </w:tr>
      <w:tr w14:paraId="4C0BF3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CB4E2B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24</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10345E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臭和味</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576AA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无异臭、异味</w:t>
            </w:r>
          </w:p>
        </w:tc>
      </w:tr>
      <w:tr w14:paraId="10F5DE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7D229E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25</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2FB009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肉眼可见物</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F6B169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无</w:t>
            </w:r>
          </w:p>
        </w:tc>
      </w:tr>
      <w:tr w14:paraId="283584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9FAD87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26</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5F482A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pH（pH单位）</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1C6598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不小于6.5且不大于8.5</w:t>
            </w:r>
          </w:p>
        </w:tc>
      </w:tr>
      <w:tr w14:paraId="020CBB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45E356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27</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B45431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铝（mg/L）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A7B592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0.2</w:t>
            </w:r>
          </w:p>
        </w:tc>
      </w:tr>
      <w:tr w14:paraId="0AE2FF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40178F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28</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B84527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铁（mg/L）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753B10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0.3</w:t>
            </w:r>
          </w:p>
        </w:tc>
      </w:tr>
      <w:tr w14:paraId="602590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27368F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29</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CEF268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锰（mg/L）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873588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0.1</w:t>
            </w:r>
          </w:p>
        </w:tc>
      </w:tr>
      <w:tr w14:paraId="19772E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2586DF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30</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F9C5A0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铜（mg/L）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178BE0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w:t>
            </w:r>
          </w:p>
        </w:tc>
      </w:tr>
      <w:tr w14:paraId="31ECE4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8C7F01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31</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38801D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锌（mg/L）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FA6D23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w:t>
            </w:r>
          </w:p>
        </w:tc>
      </w:tr>
      <w:tr w14:paraId="2E283F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306551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32</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04062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氯化物（mg/L）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8436DE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250</w:t>
            </w:r>
          </w:p>
        </w:tc>
      </w:tr>
      <w:tr w14:paraId="2E438B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F895B3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33</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6A91A5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硫酸盐（mg/L）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938F36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250</w:t>
            </w:r>
          </w:p>
        </w:tc>
      </w:tr>
      <w:tr w14:paraId="11EE55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A0A850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34</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1F04D5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溶解性总固体（mg/L）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3F806D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1000</w:t>
            </w:r>
          </w:p>
        </w:tc>
      </w:tr>
      <w:tr w14:paraId="3D0825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53C152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35</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17821E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总硬度(以CaCO3计，mg/L）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C112E8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450</w:t>
            </w:r>
          </w:p>
        </w:tc>
      </w:tr>
      <w:tr w14:paraId="3D509B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D32E94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36</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0B4673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高锰酸盐指数（以O2计，mg/L）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9CDADD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w:t>
            </w:r>
          </w:p>
        </w:tc>
      </w:tr>
      <w:tr w14:paraId="25C880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468EF4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37</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1910EC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氨（以N计，mg/L）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24E1B7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0.5</w:t>
            </w:r>
          </w:p>
        </w:tc>
      </w:tr>
      <w:tr w14:paraId="4703AE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297" w:type="dxa"/>
            <w:gridSpan w:val="3"/>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2340DB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四、放射性指标</w:t>
            </w:r>
          </w:p>
        </w:tc>
      </w:tr>
      <w:tr w14:paraId="38F4E6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8CF9D2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38</w:t>
            </w:r>
          </w:p>
        </w:tc>
        <w:tc>
          <w:tcPr>
            <w:tcW w:w="323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40EFDB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总α放射性（Bq/L）</w:t>
            </w:r>
          </w:p>
        </w:tc>
        <w:tc>
          <w:tcPr>
            <w:tcW w:w="507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3C9030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0.5（指导值）</w:t>
            </w:r>
          </w:p>
        </w:tc>
      </w:tr>
      <w:tr w14:paraId="3F8B07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B4CBC4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39</w:t>
            </w:r>
          </w:p>
        </w:tc>
        <w:tc>
          <w:tcPr>
            <w:tcW w:w="323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C05594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总β放射性（Bq/L）</w:t>
            </w:r>
          </w:p>
        </w:tc>
        <w:tc>
          <w:tcPr>
            <w:tcW w:w="50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0C6FBD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1（指导值）</w:t>
            </w:r>
          </w:p>
        </w:tc>
      </w:tr>
    </w:tbl>
    <w:p w14:paraId="193F09D9">
      <w:pPr>
        <w:jc w:val="center"/>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表5  饮用水中消毒剂常规指标及要求</w:t>
      </w:r>
    </w:p>
    <w:tbl>
      <w:tblPr>
        <w:tblStyle w:val="3"/>
        <w:tblW w:w="9358"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10"/>
        <w:gridCol w:w="710"/>
        <w:gridCol w:w="1825"/>
        <w:gridCol w:w="1951"/>
        <w:gridCol w:w="2001"/>
        <w:gridCol w:w="2161"/>
      </w:tblGrid>
      <w:tr w14:paraId="001658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987FC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序号</w:t>
            </w:r>
          </w:p>
        </w:tc>
        <w:tc>
          <w:tcPr>
            <w:tcW w:w="7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203EA9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指标</w:t>
            </w:r>
          </w:p>
        </w:tc>
        <w:tc>
          <w:tcPr>
            <w:tcW w:w="182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E4A547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与水接触时间</w:t>
            </w:r>
          </w:p>
          <w:p w14:paraId="5028415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（min）</w:t>
            </w:r>
          </w:p>
        </w:tc>
        <w:tc>
          <w:tcPr>
            <w:tcW w:w="195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0F6964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出厂水中限值</w:t>
            </w:r>
          </w:p>
          <w:p w14:paraId="0B5196F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（mg/L）</w:t>
            </w:r>
          </w:p>
        </w:tc>
        <w:tc>
          <w:tcPr>
            <w:tcW w:w="200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9C70D4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出厂水中余量</w:t>
            </w:r>
          </w:p>
          <w:p w14:paraId="497846D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（mg/L）</w:t>
            </w:r>
          </w:p>
        </w:tc>
        <w:tc>
          <w:tcPr>
            <w:tcW w:w="21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5D715A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末梢水中余量</w:t>
            </w:r>
          </w:p>
          <w:p w14:paraId="111DE61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（mg/L）</w:t>
            </w:r>
          </w:p>
        </w:tc>
      </w:tr>
      <w:tr w14:paraId="568D2B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BFCBDA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w:t>
            </w:r>
          </w:p>
        </w:tc>
        <w:tc>
          <w:tcPr>
            <w:tcW w:w="7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9999CC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游离氯</w:t>
            </w:r>
          </w:p>
        </w:tc>
        <w:tc>
          <w:tcPr>
            <w:tcW w:w="18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948AD4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≥30</w:t>
            </w:r>
          </w:p>
        </w:tc>
        <w:tc>
          <w:tcPr>
            <w:tcW w:w="19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F430D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w:t>
            </w:r>
          </w:p>
        </w:tc>
        <w:tc>
          <w:tcPr>
            <w:tcW w:w="200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37762D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≥0.3</w:t>
            </w:r>
          </w:p>
        </w:tc>
        <w:tc>
          <w:tcPr>
            <w:tcW w:w="216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5065B4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≥0.05</w:t>
            </w:r>
          </w:p>
        </w:tc>
      </w:tr>
      <w:tr w14:paraId="5945CC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CE42FD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w:t>
            </w:r>
          </w:p>
        </w:tc>
        <w:tc>
          <w:tcPr>
            <w:tcW w:w="7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7CA22B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总氯</w:t>
            </w:r>
          </w:p>
        </w:tc>
        <w:tc>
          <w:tcPr>
            <w:tcW w:w="18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6F3AD4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≥120</w:t>
            </w:r>
          </w:p>
        </w:tc>
        <w:tc>
          <w:tcPr>
            <w:tcW w:w="19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F49902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w:t>
            </w:r>
          </w:p>
        </w:tc>
        <w:tc>
          <w:tcPr>
            <w:tcW w:w="200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7D2AD2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≥0.5</w:t>
            </w:r>
          </w:p>
        </w:tc>
        <w:tc>
          <w:tcPr>
            <w:tcW w:w="216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4EA899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≥0.05</w:t>
            </w:r>
          </w:p>
        </w:tc>
      </w:tr>
      <w:tr w14:paraId="1FB686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D58AF3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w:t>
            </w:r>
          </w:p>
        </w:tc>
        <w:tc>
          <w:tcPr>
            <w:tcW w:w="7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2CCDE2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臭氧</w:t>
            </w:r>
          </w:p>
        </w:tc>
        <w:tc>
          <w:tcPr>
            <w:tcW w:w="18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69A9D0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≥12</w:t>
            </w:r>
          </w:p>
        </w:tc>
        <w:tc>
          <w:tcPr>
            <w:tcW w:w="19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B10637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≤0.3</w:t>
            </w:r>
          </w:p>
        </w:tc>
        <w:tc>
          <w:tcPr>
            <w:tcW w:w="200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16FFC2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w:t>
            </w:r>
          </w:p>
        </w:tc>
        <w:tc>
          <w:tcPr>
            <w:tcW w:w="216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76746E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≥0.02</w:t>
            </w:r>
          </w:p>
        </w:tc>
      </w:tr>
      <w:tr w14:paraId="7074F2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2D7C23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w:t>
            </w:r>
          </w:p>
        </w:tc>
        <w:tc>
          <w:tcPr>
            <w:tcW w:w="7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3A146A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二氧化氯</w:t>
            </w:r>
          </w:p>
        </w:tc>
        <w:tc>
          <w:tcPr>
            <w:tcW w:w="18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243A5A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≥30</w:t>
            </w:r>
          </w:p>
        </w:tc>
        <w:tc>
          <w:tcPr>
            <w:tcW w:w="19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D6EB95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≤0.8</w:t>
            </w:r>
          </w:p>
        </w:tc>
        <w:tc>
          <w:tcPr>
            <w:tcW w:w="200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00A3D6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≥0.1</w:t>
            </w:r>
          </w:p>
        </w:tc>
        <w:tc>
          <w:tcPr>
            <w:tcW w:w="216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494307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≥0.02</w:t>
            </w:r>
          </w:p>
        </w:tc>
      </w:tr>
    </w:tbl>
    <w:p w14:paraId="45AD9E4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注：常规检测和必检项检测时，需根据消毒方式分类选择消毒剂常规指标检测。如采用其他协同消毒方式，消毒剂限值及余量应满足相应要求。</w:t>
      </w:r>
    </w:p>
    <w:p w14:paraId="442AC4F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根据检测结果，形成城市供水专项水质台账；对水质不符合国家标准的点位，及时反馈属地管理部门、卫生部门和主体管理单位，协助进行成因研判，监督整改；上报市水行政主管部门研判处理。</w:t>
      </w:r>
    </w:p>
    <w:p w14:paraId="094564FC">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（三）供水管理技术推广服务</w:t>
      </w:r>
    </w:p>
    <w:p w14:paraId="38F4435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为深化供水行业地方标准落地见效，强化对供水企业、设施建设及管理单位的业务指导，采购人拟通过委托第三方专业机构开展系统性培训，提升从业人员专业能力与标准适配性，推动城市供水行业规范化管理与高质量发展，全面提升西安市供水行业的安全保障能力和服务质量，为构建现代化供水体系奠定坚实的人才基础。</w:t>
      </w:r>
    </w:p>
    <w:p w14:paraId="20FD3EBB">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1、方案制定与审批</w:t>
      </w:r>
    </w:p>
    <w:p w14:paraId="64A4134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（1）方案编制</w:t>
      </w:r>
    </w:p>
    <w:p w14:paraId="7063D9A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第三方服务单位牵头制定完整培训方案，明确培训目标、实施流程、核心内容、专家授课安排及预期成效，方案需涵盖政策解读、案例分析、实操指导等三大模块。</w:t>
      </w:r>
    </w:p>
    <w:p w14:paraId="60434EA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（2）审核发布</w:t>
      </w:r>
    </w:p>
    <w:p w14:paraId="088C766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培训方案报市供水管理中心审核通过后，由市供水管理中心统一发布培训通知，同步协调参训单位报名、宣讲场地及时间安排，确保各方联动顺畅。</w:t>
      </w:r>
    </w:p>
    <w:p w14:paraId="080A6356">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2、组织实施流程</w:t>
      </w:r>
    </w:p>
    <w:p w14:paraId="6F88F38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第一阶段：筹备阶段</w:t>
      </w:r>
    </w:p>
    <w:p w14:paraId="0CAFDF4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（1）目标与方案细化</w:t>
      </w:r>
    </w:p>
    <w:p w14:paraId="0BD0C43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聚焦标准宣贯与技术提升，制定含具体议程、内容框架、时间节点及专家授课计划的详细执行方案，明确各环节责任主体。同时，细化专家的选用、会商等工作机制，确保能高效发挥专家作用。</w:t>
      </w:r>
    </w:p>
    <w:p w14:paraId="010EFF9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（2）场地与物资保障</w:t>
      </w:r>
    </w:p>
    <w:p w14:paraId="6C81EDD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按《西安市财政局关于加强市级机关会议经费管理的通知》四类会议标准，预订中小型会议室或培训中心作为场地，签订合同明确设备配置（高清投影仪、音响系统、无线麦克风等）、场地布置及费用标准；筹备培训讲义、签到表、培训手册、笔及瓶装饮用水等物资，提前完成设备调试，确保运行正常。</w:t>
      </w:r>
    </w:p>
    <w:p w14:paraId="2B593A4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（3）人员与专家协调</w:t>
      </w:r>
    </w:p>
    <w:p w14:paraId="52A3243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确定参训人员范围：涵盖供水行政管理人员、物业管理人员、供水行业建设设计及运管人员等；宣讲对象包括居民、企事业单位及用水大户。</w:t>
      </w:r>
    </w:p>
    <w:p w14:paraId="144DCF1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通过内部邮件、公告栏等渠道发布培训通知，明确参训要求及报名方式。</w:t>
      </w:r>
    </w:p>
    <w:p w14:paraId="69DF9B3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筛选授课专家，明确授课内容、时间及待遇标准，提前沟通课件需求。所选用的专家严格遵循资格要求。</w:t>
      </w:r>
    </w:p>
    <w:p w14:paraId="3026931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第二阶段：实施阶段</w:t>
      </w:r>
    </w:p>
    <w:p w14:paraId="6EA13B2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（1）签到与开场</w:t>
      </w:r>
    </w:p>
    <w:p w14:paraId="315C243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培训当日设置签到台，工作人员负责纸质签到登记，发放培训手册、资料及瓶装饮用水；主持人开场介绍培训主题、议程、授课专家及纪律要求，营造规范有序的培训氛围。</w:t>
      </w:r>
    </w:p>
    <w:p w14:paraId="45C9379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（2）培训内容及方式</w:t>
      </w:r>
    </w:p>
    <w:p w14:paraId="57FEA3B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专家按计划授课，上午聚焦政策理论解读与行业标准讲解，下午开展案例研讨、实操演示等互动环节，强化理论与实践结合。</w:t>
      </w:r>
    </w:p>
    <w:p w14:paraId="37A8531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针对居民、企事业单位等宣讲对象，采用政策解读、知识普及等通俗易懂的方式开展宣讲，确保受众理解到位。</w:t>
      </w:r>
    </w:p>
    <w:p w14:paraId="461B0D7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（3）答疑</w:t>
      </w:r>
    </w:p>
    <w:p w14:paraId="1007F3C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培训尾声安排专家答疑环节，解决参训人员疑问。培训结束后，工作人员引导有序离场，并同步检查场地设备。</w:t>
      </w:r>
    </w:p>
    <w:p w14:paraId="53C249E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（4）资料归档与评估</w:t>
      </w:r>
    </w:p>
    <w:p w14:paraId="065FCB3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收集签到表、培训记录、影音资料，由第三方单位整理后移交市供水管理中心存档；通过问卷调查、现场测试结果分析、学员代表反馈会等方式开展效果评估，梳理意见建议并撰写总结报告，为后续培训优化提供依据。同时，对专家参与各项工作的情况进行记录和评估，作为后续选用专家的重要参考。</w:t>
      </w:r>
    </w:p>
    <w:p w14:paraId="003609B9">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3、服务质量保障</w:t>
      </w:r>
    </w:p>
    <w:p w14:paraId="305F519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第一方面：专家邀请标准</w:t>
      </w:r>
    </w:p>
    <w:p w14:paraId="369AD01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（1）资格要求</w:t>
      </w:r>
    </w:p>
    <w:p w14:paraId="79EA74F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单次培训邀请的专家人数不少于4人，专家应具备供水行业相关专业高级及以上职称或拥有多年供水行业从业经验，并有一线技术或管理经验；优先选择参与过西安市供水项目规划、建设或运维的专家，确保培训内容贴合本地实际工况。</w:t>
      </w:r>
    </w:p>
    <w:p w14:paraId="1D61A7BE">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（2）授课内容</w:t>
      </w:r>
    </w:p>
    <w:p w14:paraId="1990E58E">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专家需提前提交标准化课件，内容涵盖政策解读、近3年国内典型供水案例分析及实操要点三大模块；授课过程中设置互动答疑环节，增强培训针对性与实效性。</w:t>
      </w:r>
    </w:p>
    <w:p w14:paraId="7AEFA1F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第二方面：受训人员管理</w:t>
      </w:r>
    </w:p>
    <w:p w14:paraId="62D32F4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（1）人员构成</w:t>
      </w:r>
    </w:p>
    <w:p w14:paraId="229F794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按报名人数确定培训计划，按岗位、区域或单位均衡分配参训人员，确保覆盖全面。项目周期内计划培训2次，总人数不低于400人。</w:t>
      </w:r>
    </w:p>
    <w:p w14:paraId="49ECA54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（2）参训要求</w:t>
      </w:r>
    </w:p>
    <w:p w14:paraId="12E8944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各单位提前确认参训人员名单，严格保障全程参训；考核未通过者需参加补训，直至达标。</w:t>
      </w:r>
    </w:p>
    <w:p w14:paraId="3A4EA72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第三方面：场地选择标准</w:t>
      </w:r>
    </w:p>
    <w:p w14:paraId="2888AF2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（1）硬件配置</w:t>
      </w:r>
    </w:p>
    <w:p w14:paraId="5C7CF3B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培训场地应符合四类会议场地要求，可容纳额定受训人数，且配备高清投影仪、音响系统、无线麦克风、白板等基础设备。</w:t>
      </w:r>
    </w:p>
    <w:p w14:paraId="6BCE6C7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（2）区位与环境</w:t>
      </w:r>
    </w:p>
    <w:p w14:paraId="019D22C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选址优先考虑交通枢纽地带或地铁沿线，周边具备充足的公共停车资源，便于各单位人员集散。</w:t>
      </w:r>
    </w:p>
    <w:p w14:paraId="52DE507B">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4、会议组织细则</w:t>
      </w:r>
    </w:p>
    <w:p w14:paraId="4CC2FEB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（1）时间安排</w:t>
      </w:r>
    </w:p>
    <w:p w14:paraId="5A45C62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单次培训时长按1天考虑，所有培训日期需提前15天确定，并通知所有参训人员。</w:t>
      </w:r>
    </w:p>
    <w:p w14:paraId="432EA44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（2）人员保障</w:t>
      </w:r>
    </w:p>
    <w:p w14:paraId="69C405D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第三方单位按规模配备工作人员，全程负责设备调试、资料分发、秩序维护及应急协调等工作，确保培训顺畅进行。</w:t>
      </w:r>
    </w:p>
    <w:p w14:paraId="7D43ADF9">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（四）数据平台技术服务</w:t>
      </w:r>
    </w:p>
    <w:p w14:paraId="3F6421E0">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1、供水业务提醒服务</w:t>
      </w:r>
    </w:p>
    <w:p w14:paraId="0E7A37A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利用现有供水管理信息平台短信发送系统，向城市供水设施管理单位主管和从业人员、部分房地产建设公司项目主管、行业其他相关人员推送城市供水政策法规和标准规范要求、疫情防控要求、供水设施设备应急处置步骤等，指导其做好城市供水管理。定期更新人员白名单，发送不少于5000条次业务提醒短信。</w:t>
      </w:r>
    </w:p>
    <w:p w14:paraId="26ACB5A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（1）业务提醒服务内容</w:t>
      </w:r>
    </w:p>
    <w:p w14:paraId="45AB651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主要内容：二次供水设施清洗消毒提醒、二次供水设施管理须知、二次供水日常安全隐患通知、西安市地方标准推广等，涉及西安市二次供水地方标准、法规以及国家、省、市二次供水管理工作等要求。</w:t>
      </w:r>
    </w:p>
    <w:p w14:paraId="4536502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具体内容：二次供水建设标准、运维管理、水质保障、安全管理、应急处置、清洗消毒管理、创卫管理等。例如：提醒类短信——“为确保二次供水水质与安全，二次供水设施管理单位应切实加强二次供水设施日常运行、维护管理；对二次供水泵房进行全面彻底的安全检查，每半年应对供水设施清洗消毒。由二次供水设施单位自主选择依法设立的专业清洗公司承担，并委托有资质的单位对水质进行检测，严禁泵房内堆放杂物、垃圾、药剂等污染源。各二次供水管理单位在设施改造、泵房提升、设备运行管理中如有疑问，中心可提供技术咨询与指导，帮助运行单位做好二次供水管理。”</w:t>
      </w:r>
    </w:p>
    <w:p w14:paraId="3369B64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（2）二次供水业务提醒对象及方式</w:t>
      </w:r>
    </w:p>
    <w:p w14:paraId="07AC958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业务提醒对象：西安市主城区（开发区）从事居民/非居民小区二次供水设施管理的单位主管和从业人员、部分房地产建设公司项目主管、行业其他相关人员。</w:t>
      </w:r>
    </w:p>
    <w:p w14:paraId="3501EFD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业务提醒方式：通过西安市二次供水信息管理平台的短信功能进行编辑及群发。</w:t>
      </w:r>
    </w:p>
    <w:p w14:paraId="304C5F1F">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2、视频会商系统运维服务</w:t>
      </w:r>
    </w:p>
    <w:p w14:paraId="1C5377B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为保障视频会商系统的安全与稳定运行，委托专业的第三方运维单位，对系统核心软硬件实施全周期技术保障。运维服务将重点覆盖拼接大屏、多屏处理器、管理主机、视频会商MCU、高清视频终端等关键设备，通过建立定期巡检、预防性维护和快速应急响应机制，最大限度降低系统故障率。</w:t>
      </w:r>
    </w:p>
    <w:p w14:paraId="40E9C55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服务内容包括但不限于：对拼接大屏及显示单元进行色彩校正与模组状态监测；对多屏处理器及管理主机进行性能优化与系统升级；对视频会商MCU及高清终端进行信令诊断与音视频质量调优；以及针对高清摄像机、语音网关等外设的日常保养。确保在系统发生异常时，运维团队能够快速定位故障根源，及时排除隐患，保障全市供水调度视频会商业务的连续性与通畅性。</w:t>
      </w:r>
    </w:p>
    <w:p w14:paraId="5122416C">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（五）二次供水设施验收备案技术支持服务</w:t>
      </w:r>
    </w:p>
    <w:p w14:paraId="746416D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为落实《西安市生活饮用水城市供水管理和卫生监督规定》及新版《供水条例》中关于“强化供水设施安全管理”的法定要求，西安市供水管理中心开展新建及改造项目二次供水设施验收备案技术支持服务。鉴于辖区内二次供水设施点位多、技术复杂度高，且验收工作需兼顾专业性、公正性与数据可追溯性，特委托第三方专业技术单位提供全过程技术支持服务。</w:t>
      </w:r>
    </w:p>
    <w:p w14:paraId="14C9D26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本项目服务聚焦辖区内100个二次供水设施点位，通过现场核查、资料核验、信息采集与数据规整，全面审查设施建设的合规性、设备运行的完备性及档案资料的完整性。为供水中心开展二次供水设施竣工验收、备案归档、智慧监管入库提供真实、有效、可追溯的技术数据和成果支撑，助力完善辖区二次供水设施全生命周期监管体系。</w:t>
      </w:r>
    </w:p>
    <w:p w14:paraId="676188C5">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1、服务范围</w:t>
      </w:r>
    </w:p>
    <w:p w14:paraId="6F86CF6E">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本次技术支持服务范围为西安市城六区范围内所有纳入验收备案的二次供水设施点位，共计100个点位。服务覆盖各点位二次供水设施的全套建设资料核查、现场设备工况核查、全维度信息采集、数据标准化整理及验收备案全过程技术配合工作。</w:t>
      </w:r>
    </w:p>
    <w:p w14:paraId="34A813F8">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2、服务内容</w:t>
      </w:r>
    </w:p>
    <w:p w14:paraId="5D632AC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第三方服务单位全程配合供水中心开展二次供水设施竣工验收备案工作，承担资料核验、现场信息采集、数据整理归档、技术咨询整改、成果汇总交付等全流程技术支持工作，具体内容如下：</w:t>
      </w:r>
    </w:p>
    <w:p w14:paraId="1B7E6B8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（1）现场资料核验</w:t>
      </w:r>
    </w:p>
    <w:p w14:paraId="62036F4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对照国家、行业及西安市现行二次供水相关规范标准，对100个项目点位的全套二次供水建设资料进行逐项核验。重点核查项目立项、设计、施工、监理、设备采购、检测验收、消毒清洗、水质检测等全套资料，逐一排查资料缺失、内容不符、流程不合规、签字盖章不全等问题。详细记录资料缺陷清单，明确整改要求，确保所有备案资料完整、规范、合规，满足竣工验收备案归档要求。</w:t>
      </w:r>
    </w:p>
    <w:p w14:paraId="43D85B3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（2）现场信息采集</w:t>
      </w:r>
    </w:p>
    <w:p w14:paraId="1CDA47A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第三方技术人员配合供水中心现场验收人员开展实地信息采集工作。现场核查判定标准、信息采集维度、现场验收流程均严格依据现行规范文件及供水中心现场验收工作要求执行，全面核实二次供水设施建设安装质量、设备运行工况、配套设施配置合规性，确保现场建设情况符合设计标准及供水管理要求。核心核查采集内容包括但不限于：项目基本信息、二次供水泵房、生活水箱（水池）、水泵机组、管道阀门、消毒设备、电气控制、安防门禁、视频监控、水质在线监测等。</w:t>
      </w:r>
    </w:p>
    <w:p w14:paraId="2A032F4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（3）标准化数据整理</w:t>
      </w:r>
    </w:p>
    <w:p w14:paraId="254E90D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按照供水中心标准化管理要求，对所有点位采集的现场数据、资料信息、核查结果进行统一梳理、分类、规整。严格执行“一点位一档”管理标准，建立独立电子档案，将项目资料、现场影像、设备参数、核查记录、问题清单等信息标准化录入指定监管信息平台及数据库，实现所有点位数据规范化、数字化、可查询、可追溯，适配供水中心智慧监管及备案管理工作需求。</w:t>
      </w:r>
    </w:p>
    <w:p w14:paraId="551869F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（4）技术支持与配合</w:t>
      </w:r>
    </w:p>
    <w:p w14:paraId="2C4E0C7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全程配合供水中心开展竣工验收、现场核查、资料审核、备案评审等各项工作。针对验收过程中发现的设施建设不规范、设备配置缺失、资料不完善、运行隐患等问题，提供专业技术咨询服务，出具整改建议，指导建设单位完成闭环整改，同步完成数据核对、成果修正、资料补录等工作，保障所有点位顺利通过竣工验收备案。</w:t>
      </w:r>
    </w:p>
    <w:p w14:paraId="3F7A819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（5）全套成果汇总交付</w:t>
      </w:r>
    </w:p>
    <w:p w14:paraId="16165B8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项目工作完成后，按照供水中心统一成果交付标准、归档规范，汇总整编全套验收技术成果，审核无误后统一提交。交付成果包含但不限于：各点位原始现场采集记录表、现场影像资料、核验资料扫描件、“一点位一档”电子台账、问题整改技术资料、竣工验收核查结果、项目整体数据汇总分析报告等。所有成果格式、内容、归档形式均贴合供水中心备案及日常监管使用需求。</w:t>
      </w:r>
    </w:p>
    <w:p w14:paraId="378820C2">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3、服务质量标准与工作要求</w:t>
      </w:r>
    </w:p>
    <w:p w14:paraId="3DC566D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（1）人员专业要求</w:t>
      </w:r>
    </w:p>
    <w:p w14:paraId="022FEED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本次服务所有派驻工作人员需具备给排水、市政工程、机电安装、水务运维等相关专业从业背景，熟悉西安市二次供水设施建设标准、泵房现场工况及常见合规隐患判定准则，具备独立完成外业核查、资料核验、台账编制、技术答疑的专业能力，熟练掌握二次供水验收备案全流程工作要求。</w:t>
      </w:r>
    </w:p>
    <w:p w14:paraId="3F5B8C7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（2）规范执行标准</w:t>
      </w:r>
    </w:p>
    <w:p w14:paraId="76C7F99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本次所有现场核查、合规判定、资料核验、数据整理、成果归档工作，均以《生活饮用水卫生标准》（GB 5749-2022）、《二次供水工程技术规程》（CJJ 140）等国家、行业及西安市地方现行规范为基础依据，最终以供水中心各项验收制度、文件要求、执行标准为核心准则，严格对标执行，确保验收判定、成果整理完全契合供水中心监管及备案要求。</w:t>
      </w:r>
    </w:p>
    <w:p w14:paraId="3989AAF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（3）成果质量要求</w:t>
      </w:r>
    </w:p>
    <w:p w14:paraId="1BBE67E7">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所有现场采集数据、影像资料、核查记录真实、完整、准确，无虚假填报、遗漏缺失、数据错误等问题；</w:t>
      </w:r>
    </w:p>
    <w:p w14:paraId="5C6568E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电子台账分类清晰、信息齐全、格式统一，完全适配供水中心监管平台录入及备案要求；</w:t>
      </w:r>
    </w:p>
    <w:p w14:paraId="08D3C80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问题排查全面无遗漏，整改建议专业可行，可有效指导项目完成合规整改；</w:t>
      </w:r>
    </w:p>
    <w:p w14:paraId="12094AC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全套交付成果规范规整、可查可溯，完全满足竣工验收备案、档案归档、智慧化监管使用需求。</w:t>
      </w:r>
    </w:p>
    <w:p w14:paraId="0B85B71D">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4、工作保障措施</w:t>
      </w:r>
    </w:p>
    <w:p w14:paraId="55DF6697">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（1）人员保障</w:t>
      </w:r>
    </w:p>
    <w:p w14:paraId="0FCB0A6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组建专项服务工作组，明确岗位职责、分工协作，保障100个点位核查工作高效推进，按期完成全部服务内容。</w:t>
      </w:r>
    </w:p>
    <w:p w14:paraId="503AC7A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（2）质量管控保障</w:t>
      </w:r>
    </w:p>
    <w:p w14:paraId="61D95DD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建立“外业核查—内部复核—终审校验”三级质量管控机制，对现场采集数据、资料核验结果、台账录入信息进行层层审核，杜绝数据偏差、资料遗漏、判定失误，保障服务成果质量。</w:t>
      </w:r>
    </w:p>
    <w:p w14:paraId="0C5A170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（3）服务配合保障</w:t>
      </w:r>
    </w:p>
    <w:p w14:paraId="625D039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全程对接采购人工作安排，及时响应验收工作需求，主动配合现场核查、资料评审、问题整改、数据修正等工作，随时提供技术答疑，确保验收备案工作高效闭环。</w:t>
      </w:r>
    </w:p>
    <w:p w14:paraId="0E89C361">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三、商务要求</w:t>
      </w:r>
    </w:p>
    <w:p w14:paraId="13CE66C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（一）服务期：12个月，自2026年7月1日至2027年6月30日止。</w:t>
      </w:r>
    </w:p>
    <w:p w14:paraId="19A87EA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（二）服务地点：西安市范围内，具体以采购人安排为准。</w:t>
      </w:r>
    </w:p>
    <w:p w14:paraId="4DBFDECD">
      <w:pPr>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br w:type="page"/>
      </w:r>
    </w:p>
    <w:p w14:paraId="62F4FAAA">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采购包2：重点区域水质监测服务项目</w:t>
      </w:r>
    </w:p>
    <w:p w14:paraId="55B69E6C">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一、项目概况</w:t>
      </w:r>
    </w:p>
    <w:p w14:paraId="0E1E49E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为推进行业水质精细化管理，保障末端供水安全，结合市域供水管网分布特征，运用现代化监管手段，采取先行先试方式，由西安市供水管理中心委托专业第三方单位，在现有建设基础上进一步设置水质监测点位。重点覆盖市政管网末梢、多水源末端交汇区及水质波动较大等敏感区域。通过集成多参数传感器实时监测余氯、二氧化氯、pH值、浊度等关键指标，经数据采集传输、处理分析后实现多终端展示与异常预警；同时基于实时数据通过计量泵等设备对二氧化氯消毒剂精准投加。从而实现二次供水水质24小时连续监控，从“被动监督”转为“主动预警”和“实时治理”，实时掌握片区水质变化情况，并提供配套治理服务，即“水质监测+服务治理”模式，切实保障居民饮用水安全。</w:t>
      </w:r>
    </w:p>
    <w:p w14:paraId="51DE6BC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该项目为重点区域试点示范项目，后期可根据需要逐步在市域其他片区加密监测点位，最终形成供水管网水质监测服务“全覆盖”格局。</w:t>
      </w:r>
    </w:p>
    <w:p w14:paraId="45E19AAE">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二、点位选取范围及要求</w:t>
      </w:r>
    </w:p>
    <w:p w14:paraId="4C32C3B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城市供水水质安全投诉约80%集中在末梢管网及二次供水环节。随着西安市“南控”向“南拓”发展重心的转移，西南片区（涵盖雁塔南片及高新区核心区）已成为我市人口导入最快、居住密度最高的区域之一。</w:t>
      </w:r>
    </w:p>
    <w:p w14:paraId="5492898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近年来，市民热线及供水服务热线关于该区域“黄水、浑水、水压不稳及异味”的投诉占比持续偏高，尤其在夏季高峰供水期，居民对改善水质的需求极为迫切。因此，本次将技术支持服务聚焦于西南片区，旨在通过精准的现场核查与技术治理，切实解决“最后一公里”的水质痛点，回应民生关切，提升辖区居民的用水安全感与满意度。</w:t>
      </w:r>
    </w:p>
    <w:p w14:paraId="689724BA">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三、点位选取原则</w:t>
      </w:r>
    </w:p>
    <w:p w14:paraId="33DCA52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依据市政供水管网分布情况，保证水质监测点位能够真实反映区域水质状况。水质监测点位选取应符合但不限于以下原则：</w:t>
      </w:r>
    </w:p>
    <w:p w14:paraId="66A3576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（1）市政供水管网末梢区域；</w:t>
      </w:r>
    </w:p>
    <w:p w14:paraId="39B16EF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（2）多水源末端交汇区域；</w:t>
      </w:r>
    </w:p>
    <w:p w14:paraId="5818605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（3）水质波动较大区域；</w:t>
      </w:r>
    </w:p>
    <w:p w14:paraId="1E1CC54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（4）具有代表性、典型性的用水区域。</w:t>
      </w:r>
    </w:p>
    <w:p w14:paraId="7F0E9E7E">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根据上述选点原则，结合区域的供水特点及“二次供水设施陈旧、人口密集、水质投诉多”的核心问题，在西安市西南片区选取18个点位。</w:t>
      </w:r>
    </w:p>
    <w:p w14:paraId="0E42327C">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四、技术方案内容</w:t>
      </w:r>
    </w:p>
    <w:p w14:paraId="506CC0D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为全面提升西安市西南片区二次供水水质安全管理水平，按照“数据驱动、分区施策、闭环管控”的智慧化运维体系，依托物联网与自动控制技术，通过在市政进水端布设高度集成的多参数传感器模块，对余氯、二氧化氯、pH值、浊度、水温等关键指标实施7×24小时实时监测，并确保所有传感器在出厂及运维阶段经过严格校准，从源头保障数据的准确性与可靠性。</w:t>
      </w:r>
    </w:p>
    <w:p w14:paraId="02651A5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针对不同小区的供水设施差异，采取“单点闭环”与“多点协同”相结合的技术路径：对单水箱场景实施精细化独立管控，对多水箱连通场景推行集约化同步治理，可具备但不限于以下功能，包含数据采集、上传、存储、调用、安全分级管控、分类识别等功能，开展区域水质趋势研判与异常识别。</w:t>
      </w:r>
    </w:p>
    <w:p w14:paraId="6600F097">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在运行机制上，可针对供水水质变化情况，实施全流程自动化治理：当水质指标或设备运行发生异常时，系统即刻启动预警，并向供水设施水管人员远程推送预警信息，系统同步留存完整台账和相关实时记录，实现回溯复盘。</w:t>
      </w:r>
    </w:p>
    <w:p w14:paraId="622478FB">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（一）二次供水设施采用单水箱供水场景</w:t>
      </w:r>
    </w:p>
    <w:p w14:paraId="7851757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于市政给水管网接入水箱的进水管附近布设多参数传感器，实时监测pH、余氯、浊度及水温等关键指标，数据同步上传存储，可作为评估片区市政管网整体水质的真实依据；</w:t>
      </w:r>
    </w:p>
    <w:p w14:paraId="7B902E7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系统基于进水水质实施动态治理，当监测到进水余氯不足时，自动触发加药装置精准投加二氧化氯，强化箱体内水质安全保障；</w:t>
      </w:r>
    </w:p>
    <w:p w14:paraId="7596C56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建立闭环反馈机制，在水箱出水口实时采集二氧化氯余量，依据《生活饮用水卫生标准》（GB 5749-2022）相关水质指标，当水箱出水水质指标达到标准时，系统即刻自动关停加药设备。</w:t>
      </w:r>
    </w:p>
    <w:p w14:paraId="72BF8F6A">
      <w:pPr>
        <w:jc w:val="center"/>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单水箱水质监测与治理系统安装示意图</w:t>
      </w:r>
    </w:p>
    <w:p w14:paraId="6ABE55D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drawing>
          <wp:inline distT="0" distB="0" distL="0" distR="0">
            <wp:extent cx="4333875" cy="2430780"/>
            <wp:effectExtent l="0" t="0" r="3810" b="3810"/>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4333875" cy="2430780"/>
                    </a:xfrm>
                    <a:prstGeom prst="rect">
                      <a:avLst/>
                    </a:prstGeom>
                  </pic:spPr>
                </pic:pic>
              </a:graphicData>
            </a:graphic>
          </wp:inline>
        </w:drawing>
      </w:r>
    </w:p>
    <w:p w14:paraId="7268FCAF">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（二）二次供水设施采用非单一水箱供水场景</w:t>
      </w:r>
    </w:p>
    <w:p w14:paraId="4608FBD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对于非单一水箱场景，二次供水设施采用2个及以上水箱供水，水箱之间应实现水源交互。在市政给水接入水箱的进水管附近处布设多参数传感器，数据同步上传存储，可作为评估片区市政管网整体水质的真实依据；</w:t>
      </w:r>
    </w:p>
    <w:p w14:paraId="7BBADAFE">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当监测到进水余氯指标偏低时，系统自动启动二氧化氯投加设备，药剂经混合后通过管网分支器均匀分配至各连通水箱，实现多水箱同步治理。</w:t>
      </w:r>
    </w:p>
    <w:p w14:paraId="00B1DE4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建立闭环反馈机制，对现场环境、主要供水设备配置、水源交互联通情况进行科学评估，合理布设二氧化氯采集设备。结合《生活饮用水卫生标准》（GB 5749-2022）相关水质指标，系统根据实时水质情况自动启闭投加装置，实现非单一水箱场景水质同步治理。</w:t>
      </w:r>
    </w:p>
    <w:p w14:paraId="216BF38F">
      <w:pPr>
        <w:jc w:val="center"/>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非单一水箱水质监测与治理系统安装示意图</w:t>
      </w:r>
    </w:p>
    <w:p w14:paraId="3772C10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drawing>
          <wp:inline distT="0" distB="0" distL="0" distR="0">
            <wp:extent cx="4906645" cy="2519680"/>
            <wp:effectExtent l="0" t="0" r="13970" b="635"/>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4906645" cy="2519680"/>
                    </a:xfrm>
                    <a:prstGeom prst="rect">
                      <a:avLst/>
                    </a:prstGeom>
                  </pic:spPr>
                </pic:pic>
              </a:graphicData>
            </a:graphic>
          </wp:inline>
        </w:drawing>
      </w:r>
    </w:p>
    <w:p w14:paraId="430A11EE">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五、技术标准及要求</w:t>
      </w:r>
    </w:p>
    <w:p w14:paraId="3077877E">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（一）水质在线实时监测技术要求</w:t>
      </w:r>
    </w:p>
    <w:p w14:paraId="7332B7F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1、水质监测设备</w:t>
      </w:r>
    </w:p>
    <w:p w14:paraId="5E64FEB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支持pH值、余氯、二氧化氯、浊度、水温等参数实时监测，各传感器经严格校准，确保测量准确性。</w:t>
      </w:r>
    </w:p>
    <w:p w14:paraId="71998A8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2、相关性能指标</w:t>
      </w:r>
    </w:p>
    <w:p w14:paraId="228837B7">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pH值：测量范围0.00～14.00，分辨率≤0.01pH，精度±0.1pH，采集频率100秒至1小时可调；</w:t>
      </w:r>
    </w:p>
    <w:p w14:paraId="49C17B8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余氯：测量范围0～20mg/L，分辨率≤0.02mg/L，采集频率100秒至1小时可调；</w:t>
      </w:r>
    </w:p>
    <w:p w14:paraId="4CEE7B2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浊度：测量范围0～100NTU，分辨率≤0.2NTU，精度±5%F.S，采集频率100秒至1小时可调；</w:t>
      </w:r>
    </w:p>
    <w:p w14:paraId="7FD3483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二氧化氯浓度：测量范围0～2mg/L，分辨率≤0.02mg/L，精度±2%，采集频率100秒至1小时可调。</w:t>
      </w:r>
    </w:p>
    <w:p w14:paraId="207321A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3、数据采集与传输</w:t>
      </w:r>
    </w:p>
    <w:p w14:paraId="64648FF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配备数据采集单元，支持4G/5G无线传输方式，数据传输延迟≤10秒，确保实时性与稳定性。</w:t>
      </w:r>
    </w:p>
    <w:p w14:paraId="59BC96B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4、数据处理与报警</w:t>
      </w:r>
    </w:p>
    <w:p w14:paraId="77D98B6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此部分为延伸服务内容，应包含但不限于以下条件：</w:t>
      </w:r>
    </w:p>
    <w:p w14:paraId="433716F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数据采集上传延迟≤10s</w:t>
      </w:r>
    </w:p>
    <w:p w14:paraId="2546A66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数据传输丢包率≤1%</w:t>
      </w:r>
    </w:p>
    <w:p w14:paraId="468EB6C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系统信息反馈延迟≤5min</w:t>
      </w:r>
    </w:p>
    <w:p w14:paraId="12DE904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数据存储时限≥1年</w:t>
      </w:r>
    </w:p>
    <w:p w14:paraId="03A4F15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数据存储量≥30G</w:t>
      </w:r>
    </w:p>
    <w:p w14:paraId="49994F4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数据可实时调取、查看、保存、导出</w:t>
      </w:r>
    </w:p>
    <w:p w14:paraId="63080206">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（二）消毒投药系统技术要求</w:t>
      </w:r>
    </w:p>
    <w:p w14:paraId="2F88DD0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1、消毒剂与投加方式</w:t>
      </w:r>
    </w:p>
    <w:p w14:paraId="1008B92E">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支持二氧化氯等生活饮用水专用消毒剂，采用计量泵/比例阀实现精准投加，投加精度≤2%FS，确保与水体均匀混合。</w:t>
      </w:r>
    </w:p>
    <w:p w14:paraId="6481E64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2、实时反馈控制</w:t>
      </w:r>
    </w:p>
    <w:p w14:paraId="4FEE2CE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基于水质实时数据自动开关投加设备，响应时间≤30秒，投加量调节范围0～100%额定值。</w:t>
      </w:r>
    </w:p>
    <w:p w14:paraId="1EB57AF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3、设备性能</w:t>
      </w:r>
    </w:p>
    <w:p w14:paraId="45BEA227">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投药设备具备耐酸、耐腐蚀特性，运行无试剂二次污染；安装防回流装置，避免管网水倒流造成污染。</w:t>
      </w:r>
    </w:p>
    <w:p w14:paraId="6A2D4EEA">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（三）数据规范要求</w:t>
      </w:r>
    </w:p>
    <w:p w14:paraId="72D2413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1、监测数据通过MQTT/HTTP等标准协议传输，确保数据稳定。</w:t>
      </w:r>
    </w:p>
    <w:p w14:paraId="635D9C0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2、数据格式可采用JSON/JSON/CBOR/Protobuf等主流格式封装数据包，数据包必须完整包含设备ID、采集时间戳、监测数值及运行状态码等关键字段，保证数据规范性与可追溯性。</w:t>
      </w:r>
    </w:p>
    <w:p w14:paraId="58133DF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3、系统应具备对外提供RESTful API接口等拓展功能，支持第三方平台的数据调用。</w:t>
      </w:r>
    </w:p>
    <w:p w14:paraId="590186A6">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（四）安全性与可靠性要求</w:t>
      </w:r>
    </w:p>
    <w:p w14:paraId="4864F148">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1、数据安保措施</w:t>
      </w:r>
    </w:p>
    <w:p w14:paraId="557694B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网络传输环节建立专属通道，所有上行监测数据及下行控制指令均进行端到端识别，防止数据盗用，系统应具备数据主动防御功能。</w:t>
      </w:r>
    </w:p>
    <w:p w14:paraId="417699B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2、故障预警与应对</w:t>
      </w:r>
    </w:p>
    <w:p w14:paraId="4FBC240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建立应急响应预案，故障响应时间≤2小时。</w:t>
      </w:r>
    </w:p>
    <w:p w14:paraId="1179CF7F">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3、设备防护要求</w:t>
      </w:r>
    </w:p>
    <w:p w14:paraId="6E7614E7">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设备需具备防水、防尘能力，可适应0～60℃环境温度，空气相对湿度≤90%工况。</w:t>
      </w:r>
    </w:p>
    <w:p w14:paraId="1857FF12">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（五）维护与升级要求</w:t>
      </w:r>
    </w:p>
    <w:p w14:paraId="3E71E00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1、定期维护要求</w:t>
      </w:r>
    </w:p>
    <w:p w14:paraId="16B4E2E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制定巡检计划，传感器校准周期≤3个月，设备清洁保养周期≤1个月。</w:t>
      </w:r>
    </w:p>
    <w:p w14:paraId="263D623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2、软件升级服务</w:t>
      </w:r>
    </w:p>
    <w:p w14:paraId="5AC40C0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支持在线升级，具备扩展新功能。</w:t>
      </w:r>
    </w:p>
    <w:p w14:paraId="7486162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3、培训与支持</w:t>
      </w:r>
    </w:p>
    <w:p w14:paraId="7FC8FC5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提供操作、维护培训，包含设备校准、故障排除等内容；提供7×24小时技术支持，响应时间≤2小时。</w:t>
      </w:r>
    </w:p>
    <w:p w14:paraId="0C1CC4E1">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（六）系统部署与集成要求</w:t>
      </w:r>
    </w:p>
    <w:p w14:paraId="5DD6BC5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1、现场适配</w:t>
      </w:r>
    </w:p>
    <w:p w14:paraId="4D0FBAE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安装前需完成现场调研，明确监测点位、水质特性；传感器布置需覆盖水箱关键区域，确保数据代表性。</w:t>
      </w:r>
    </w:p>
    <w:p w14:paraId="7AF2428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2、安装与调试</w:t>
      </w:r>
    </w:p>
    <w:p w14:paraId="6FF00F4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支持壁挂式等安装方式，安装后调试需确保传感器精度满足要求，数据传输成功率≥99%。</w:t>
      </w:r>
    </w:p>
    <w:p w14:paraId="614BFA0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3、兼容性要求</w:t>
      </w:r>
    </w:p>
    <w:p w14:paraId="7FF6C37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可扩展API接口/兼容MODBUS/RTU等协议。</w:t>
      </w:r>
    </w:p>
    <w:p w14:paraId="124D1BD0">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（七）软件平台要求</w:t>
      </w:r>
    </w:p>
    <w:p w14:paraId="4DA45EC6">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1、功能支持服务</w:t>
      </w:r>
    </w:p>
    <w:p w14:paraId="4C24F177">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支持电脑、手机、平板多终端访问，提供数据可视化（图表、报表）、远程控制功能。</w:t>
      </w:r>
    </w:p>
    <w:p w14:paraId="766AE277">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2、智能分析要求</w:t>
      </w:r>
    </w:p>
    <w:p w14:paraId="3C21F4B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对收集到的数据进行分析，进行水质趋势预测及消毒剂投加策略优化。</w:t>
      </w:r>
    </w:p>
    <w:p w14:paraId="34282F4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3、用户体验要求</w:t>
      </w:r>
    </w:p>
    <w:p w14:paraId="4F1EDC9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界面简洁直观，操作流程≤3步完成核心功能，支持权限分级管理（管理员、操作员等）。</w:t>
      </w:r>
    </w:p>
    <w:p w14:paraId="5B743C10">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（八）安装要求</w:t>
      </w:r>
    </w:p>
    <w:p w14:paraId="4427AF95">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1、前期现场勘察</w:t>
      </w:r>
    </w:p>
    <w:p w14:paraId="27E91B94">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项目正式实施前，应对各小区生活水泵房开展逐点现场勘查，详细记录现场工况并填写勘查记录表，重点确认水箱、进出水口、管网管径位置，规划设备安装点位，排查泵房供电条件、布线路径、排水系统布局，梳理现场障碍物并制定专项避让方案，同时对接小区物业确认施工准入要求、泵房开放时间，完善施工入场手续。</w:t>
      </w:r>
    </w:p>
    <w:p w14:paraId="320F6CC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2、设备与材料筹备</w:t>
      </w:r>
    </w:p>
    <w:p w14:paraId="5AB617C2">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项目实施前对进场设备、辅助材料进行查验，逐一核对设备规格数量、检查设备完好性，提前通电测试设备基础功能，准备防水电缆、固定配件、密封耗材等辅助材料，所有物资均符合安全与卫生标准，运输过程做好防震、防潮防护，现场规范存放，远离水源与电源。</w:t>
      </w:r>
    </w:p>
    <w:p w14:paraId="065D5CF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3、施工人员与工具准备</w:t>
      </w:r>
    </w:p>
    <w:p w14:paraId="5C7EE76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项目施工团队应配备具备专业资质的作业人员，上岗前完成专项培训，熟练掌握安装流程、安全规范与应急处置方法，每组配置持证电工与专业安装工，分工负责布线供电、设备安装调试等工作。施工前全面检修电钻、万用表、管道切割机等各类工具，配齐安全帽、绝缘手套等防护用品及急救、消防应急物资，保障施工安全有序开展。</w:t>
      </w:r>
    </w:p>
    <w:p w14:paraId="7AAD9F4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4、设备安装质量标准</w:t>
      </w:r>
    </w:p>
    <w:p w14:paraId="37DAEF87">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施工全过程严格执行质量标准，所有进场设备必须检验，不合格设备严禁使用；严格按照设备说明书与施工规范作业，确保设备支架牢固水平、管道连接密封无渗漏、线路布设规范隐蔽、绝缘防护完好。设备调试校准精准，各项功能运行正常，全面保障工程施工质量。</w:t>
      </w:r>
    </w:p>
    <w:p w14:paraId="13777AE5">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六、成果分析服务</w:t>
      </w:r>
    </w:p>
    <w:p w14:paraId="7C101317">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根据重点区域水质监测结果，将所有水质监测数据和实时记录进行存储，用于后续分析和追溯，以便在出现水质问题时能够快速查找原因并采取相应措施。数据存储应符合相关法律法规和数据安全要求，确保数据的保密性和完整性。支持数据导出便于长期保存，可用于后期数据调取分析使用。</w:t>
      </w:r>
    </w:p>
    <w:p w14:paraId="5B39534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根据收集的水质数据，分析片区水质状况，统计归纳整个重点区域的用水数据。水质历史数据研判区域水质趋势，形成相关成果分析，为管理决策提供技术支持。</w:t>
      </w:r>
    </w:p>
    <w:p w14:paraId="1798F0BF">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七、技术支持服务</w:t>
      </w:r>
    </w:p>
    <w:p w14:paraId="16E608AB">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根据重点区域水质监测服务建设内容和设施配备情况，本项目建成后应提供但不限于以下技术支持服务内容：</w:t>
      </w:r>
    </w:p>
    <w:p w14:paraId="300BE2A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（一）通过综合研判，制定详细方案，科学、合理选取水质检测点位，负责进场施工协调和管理工作；</w:t>
      </w:r>
    </w:p>
    <w:p w14:paraId="4243100D">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（二）安装调试水质设备，校验参数并开展多轮测试，确保设施设备稳定投用；</w:t>
      </w:r>
    </w:p>
    <w:p w14:paraId="77492F1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三）提供设备操作和维护技术培训（包括理论讲解和实际操作演示），涵盖设备基本原理、操作方法、日常巡检要点、简单故障处理、校准方法等，确保物业管理人员能熟练操作设备、及时发现并处理简单故障，保障设备长期稳定运行；</w:t>
      </w:r>
    </w:p>
    <w:p w14:paraId="3580360A">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（四）组织专业团队每季度开展1次定期巡检，对设备进行巡检、校准，及时处理设备故障，确保设备正常运行；</w:t>
      </w:r>
    </w:p>
    <w:p w14:paraId="55A73F20">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（五）运维人员24小时待命，接到设备故障报修后，6小时内响应，24小时内处理（偏远小区可适当延长）；</w:t>
      </w:r>
    </w:p>
    <w:p w14:paraId="74F15E71">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（六）提供水质管理延伸服务，包括但不限于法律法规政策解读、水质安全管理、水质指标解答、水质应急处置等技术解析和相关服务。</w:t>
      </w:r>
    </w:p>
    <w:p w14:paraId="3C2EDC73">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八、维保服务要求</w:t>
      </w:r>
    </w:p>
    <w:p w14:paraId="640B6FEC">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本项目完工验收后，须提供至少3年的质保和维护服务，具体包括但不限于：监测设备校验、设备故障维修、主要设备（非外界因素损坏）无偿更换（包括传输设备和水质治理设备）等。</w:t>
      </w:r>
    </w:p>
    <w:p w14:paraId="3E8AA407">
      <w:pPr>
        <w:ind w:firstLine="562" w:firstLineChars="200"/>
        <w:rPr>
          <w:rFonts w:hint="eastAsia" w:ascii="仿宋_GB2312" w:hAnsi="仿宋_GB2312" w:eastAsia="仿宋_GB2312" w:cs="仿宋_GB2312"/>
          <w:b/>
          <w:bCs/>
          <w:color w:val="auto"/>
          <w:kern w:val="0"/>
          <w:sz w:val="28"/>
          <w:szCs w:val="28"/>
          <w:highlight w:val="none"/>
          <w:lang w:val="en-US" w:eastAsia="zh-CN" w:bidi="ar-SA"/>
        </w:rPr>
      </w:pPr>
      <w:r>
        <w:rPr>
          <w:rFonts w:hint="eastAsia" w:ascii="仿宋_GB2312" w:hAnsi="仿宋_GB2312" w:eastAsia="仿宋_GB2312" w:cs="仿宋_GB2312"/>
          <w:b/>
          <w:bCs/>
          <w:color w:val="auto"/>
          <w:kern w:val="0"/>
          <w:sz w:val="28"/>
          <w:szCs w:val="28"/>
          <w:highlight w:val="none"/>
          <w:lang w:val="en-US" w:eastAsia="zh-CN" w:bidi="ar-SA"/>
        </w:rPr>
        <w:t>九、商务要求</w:t>
      </w:r>
    </w:p>
    <w:p w14:paraId="6830BD49">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color w:val="auto"/>
          <w:kern w:val="0"/>
          <w:sz w:val="28"/>
          <w:szCs w:val="28"/>
          <w:highlight w:val="none"/>
          <w:lang w:val="en-US" w:eastAsia="zh-CN" w:bidi="ar-SA"/>
        </w:rPr>
        <w:t>（一）服务期：12个月，自2026年7月1日至2027年6月30日止。</w:t>
      </w:r>
    </w:p>
    <w:p w14:paraId="25BE9C63">
      <w:pPr>
        <w:ind w:firstLine="560" w:firstLineChars="200"/>
        <w:rPr>
          <w:rFonts w:hint="eastAsia" w:ascii="仿宋_GB2312" w:hAnsi="仿宋_GB2312" w:eastAsia="仿宋_GB2312" w:cs="仿宋_GB2312"/>
          <w:color w:val="auto"/>
          <w:kern w:val="0"/>
          <w:sz w:val="28"/>
          <w:szCs w:val="28"/>
          <w:highlight w:val="none"/>
          <w:lang w:val="en-US" w:eastAsia="zh-CN" w:bidi="ar-SA"/>
        </w:rPr>
      </w:pPr>
      <w:bookmarkStart w:id="0" w:name="_GoBack"/>
      <w:bookmarkEnd w:id="0"/>
      <w:r>
        <w:rPr>
          <w:rFonts w:hint="eastAsia" w:ascii="仿宋_GB2312" w:hAnsi="仿宋_GB2312" w:eastAsia="仿宋_GB2312" w:cs="仿宋_GB2312"/>
          <w:color w:val="auto"/>
          <w:kern w:val="0"/>
          <w:sz w:val="28"/>
          <w:szCs w:val="28"/>
          <w:highlight w:val="none"/>
          <w:lang w:val="en-US" w:eastAsia="zh-CN" w:bidi="ar-SA"/>
        </w:rPr>
        <w:t>（二）服务地点：西安市范围内，具体以采购人安排为准。</w:t>
      </w:r>
    </w:p>
    <w:p w14:paraId="4D9224C9">
      <w:pPr>
        <w:ind w:firstLine="560" w:firstLineChars="200"/>
        <w:rPr>
          <w:rFonts w:hint="default" w:ascii="仿宋_GB2312" w:hAnsi="仿宋_GB2312" w:eastAsia="仿宋_GB2312" w:cs="仿宋_GB2312"/>
          <w:color w:val="auto"/>
          <w:kern w:val="0"/>
          <w:sz w:val="28"/>
          <w:szCs w:val="28"/>
          <w:highlight w:val="none"/>
          <w:lang w:val="en-US" w:eastAsia="zh-CN" w:bidi="ar-SA"/>
        </w:rPr>
      </w:pPr>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033E4BBF"/>
    <w:rsid w:val="04690431"/>
    <w:rsid w:val="0A5A36D3"/>
    <w:rsid w:val="0B5728BD"/>
    <w:rsid w:val="1D68375E"/>
    <w:rsid w:val="1FF50190"/>
    <w:rsid w:val="21BF0821"/>
    <w:rsid w:val="327527AA"/>
    <w:rsid w:val="38CD161E"/>
    <w:rsid w:val="43B943E8"/>
    <w:rsid w:val="4D5F6129"/>
    <w:rsid w:val="4D7A36CB"/>
    <w:rsid w:val="51650CB9"/>
    <w:rsid w:val="54D13E0A"/>
    <w:rsid w:val="551D6150"/>
    <w:rsid w:val="5AFD4F5C"/>
    <w:rsid w:val="64A95275"/>
    <w:rsid w:val="65665AED"/>
    <w:rsid w:val="67012D89"/>
    <w:rsid w:val="68C11FB6"/>
    <w:rsid w:val="6D5D6DB0"/>
    <w:rsid w:val="76F527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6">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2985</Words>
  <Characters>3297</Characters>
  <Lines>0</Lines>
  <Paragraphs>0</Paragraphs>
  <TotalTime>1</TotalTime>
  <ScaleCrop>false</ScaleCrop>
  <LinksUpToDate>false</LinksUpToDate>
  <CharactersWithSpaces>3298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2026-06-05T12:02:57Z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8BD413BB872A4C85911DBAD5AC8A2E6E_13</vt:lpwstr>
  </property>
  <property fmtid="{D5CDD505-2E9C-101B-9397-08002B2CF9AE}" pid="4" name="KSOTemplateDocerSaveRecord">
    <vt:lpwstr>eyJoZGlkIjoiYjZjMDgwYWJjZmNiM2YzZmU4MTk1ZjZmYmY1NWU1OTEiLCJ1c2VySWQiOiI5MzY1NjA0ODAifQ==</vt:lpwstr>
  </property>
</Properties>
</file>