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版本号：SXHCYJ-2026ZB-00920260430003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勉县漆树坝镇张家桥村中坝便民桥项目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SXHCYJ-2026ZB-009</w:t>
      </w:r>
      <w:r>
        <w:br/>
      </w:r>
      <w:r>
        <w:br/>
      </w:r>
      <w:r>
        <w:br/>
      </w:r>
    </w:p>
    <w:p>
      <w:pPr>
        <w:pStyle w:val="null3"/>
        <w:jc w:val="center"/>
        <w:outlineLvl w:val="2"/>
      </w:pPr>
      <w:r>
        <w:rPr>
          <w:rFonts w:ascii="仿宋_GB2312" w:hAnsi="仿宋_GB2312" w:cs="仿宋_GB2312" w:eastAsia="仿宋_GB2312"/>
          <w:sz w:val="28"/>
          <w:b/>
        </w:rPr>
        <w:t>勉县漆树坝镇人民政府</w:t>
      </w:r>
    </w:p>
    <w:p>
      <w:pPr>
        <w:pStyle w:val="null3"/>
        <w:jc w:val="center"/>
        <w:outlineLvl w:val="2"/>
      </w:pPr>
      <w:r>
        <w:rPr>
          <w:rFonts w:ascii="仿宋_GB2312" w:hAnsi="仿宋_GB2312" w:cs="仿宋_GB2312" w:eastAsia="仿宋_GB2312"/>
          <w:sz w:val="28"/>
          <w:b/>
        </w:rPr>
        <w:t>陕西汉程云吉项目管理有限公司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陕西汉程云吉项目管理有限公司</w:t>
      </w:r>
      <w:r>
        <w:rPr>
          <w:rFonts w:ascii="仿宋_GB2312" w:hAnsi="仿宋_GB2312" w:cs="仿宋_GB2312" w:eastAsia="仿宋_GB2312"/>
        </w:rPr>
        <w:t>（以下简称“代理机构”）受</w:t>
      </w:r>
      <w:r>
        <w:rPr>
          <w:rFonts w:ascii="仿宋_GB2312" w:hAnsi="仿宋_GB2312" w:cs="仿宋_GB2312" w:eastAsia="仿宋_GB2312"/>
        </w:rPr>
        <w:t>勉县漆树坝镇人民政府</w:t>
      </w:r>
      <w:r>
        <w:rPr>
          <w:rFonts w:ascii="仿宋_GB2312" w:hAnsi="仿宋_GB2312" w:cs="仿宋_GB2312" w:eastAsia="仿宋_GB2312"/>
        </w:rPr>
        <w:t>委托，拟对</w:t>
      </w:r>
      <w:r>
        <w:rPr>
          <w:rFonts w:ascii="仿宋_GB2312" w:hAnsi="仿宋_GB2312" w:cs="仿宋_GB2312" w:eastAsia="仿宋_GB2312"/>
        </w:rPr>
        <w:t>勉县漆树坝镇张家桥村中坝便民桥项目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SXHCYJ-2026ZB-009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勉县漆树坝镇张家桥村中坝便民桥项目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新建张家桥村便民桥一座，桥跨组成为：1×19m，桥梁全长为25.04m。桥梁上部采用预应力钢筋混凝土空心板。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采购包1（张家桥村中坝便民桥项目）：属于专门面向中小企业采购。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3、企业资质要求：供应商应具备建设行政部门核发的公路工程施工总承包三级以上（含三级）资质，并具备有效的安全生产许可证；</w:t>
      </w:r>
    </w:p>
    <w:p>
      <w:pPr>
        <w:pStyle w:val="null3"/>
      </w:pPr>
      <w:r>
        <w:rPr>
          <w:rFonts w:ascii="仿宋_GB2312" w:hAnsi="仿宋_GB2312" w:cs="仿宋_GB2312" w:eastAsia="仿宋_GB2312"/>
        </w:rPr>
        <w:t>4、拟派项目负责人资质：拟派项目负责人应具备公路工程专业二级（含二级）及以上注册建造师资格、具有有效的安全考核合格证（B证），且无在建工程；</w:t>
      </w:r>
    </w:p>
    <w:p>
      <w:pPr>
        <w:pStyle w:val="null3"/>
      </w:pPr>
      <w:r>
        <w:rPr>
          <w:rFonts w:ascii="仿宋_GB2312" w:hAnsi="仿宋_GB2312" w:cs="仿宋_GB2312" w:eastAsia="仿宋_GB2312"/>
        </w:rPr>
        <w:t>5、供应商资格承诺函：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6、本采购包专门面向中小企业采购：本项目专门面向中小企业采购；须符合《政府采购促进中小企业发展管理办法》（财库〔2020〕46号）规定的中小企业参加；提供的《中小企业声明函》格式见附件；</w:t>
      </w:r>
    </w:p>
    <w:p>
      <w:pPr>
        <w:pStyle w:val="null3"/>
      </w:pPr>
      <w:r>
        <w:rPr>
          <w:rFonts w:ascii="仿宋_GB2312" w:hAnsi="仿宋_GB2312" w:cs="仿宋_GB2312" w:eastAsia="仿宋_GB2312"/>
        </w:rPr>
        <w:t>7、非联合体声明：本项目不接受联合体投标，供应商需提供非联合体书面声明。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勉县漆树坝镇人民政府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勉县漆树坝镇漆树坝村二组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3395005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陕西汉程云吉项目管理有限公司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陕西省汉中市汉台区陕西省汉中市汉台区东大街街道办事处莲湖路749号汉台区群艺馆院内东南面二楼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0916-2215737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开户名称：陕西汉程云吉项目管理有限公司</w:t>
            </w:r>
          </w:p>
          <w:p>
            <w:pPr>
              <w:pStyle w:val="null3"/>
            </w:pPr>
            <w:r>
              <w:rPr>
                <w:rFonts w:ascii="仿宋_GB2312" w:hAnsi="仿宋_GB2312" w:cs="仿宋_GB2312" w:eastAsia="仿宋_GB2312"/>
              </w:rPr>
              <w:t>开户银行：中国工商银行汉中市中山街支行</w:t>
            </w:r>
          </w:p>
          <w:p>
            <w:pPr>
              <w:pStyle w:val="null3"/>
            </w:pPr>
            <w:r>
              <w:rPr>
                <w:rFonts w:ascii="仿宋_GB2312" w:hAnsi="仿宋_GB2312" w:cs="仿宋_GB2312" w:eastAsia="仿宋_GB2312"/>
              </w:rPr>
              <w:t>银行账号：2606050209200184323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由中标人向采购代理机构交纳招标代理服务费，招标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代理服务费具体金额后续见本项目采购结果公告。相关服务费投标人可考虑在投标总报价中，采购人不再另行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勉县漆树坝镇人民政府</w:t>
      </w:r>
      <w:r>
        <w:rPr>
          <w:rFonts w:ascii="仿宋_GB2312" w:hAnsi="仿宋_GB2312" w:cs="仿宋_GB2312" w:eastAsia="仿宋_GB2312"/>
        </w:rPr>
        <w:t>和</w:t>
      </w:r>
      <w:r>
        <w:rPr>
          <w:rFonts w:ascii="仿宋_GB2312" w:hAnsi="仿宋_GB2312" w:cs="仿宋_GB2312" w:eastAsia="仿宋_GB2312"/>
        </w:rPr>
        <w:t>陕西汉程云吉项目管理有限公司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勉县漆树坝镇人民政府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陕西汉程云吉项目管理有限公司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勉县漆树坝镇人民政府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陕西汉程云吉项目管理有限公司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交付竣工验收的工程，必须符合规定的工程质量标准， 有完整的工程技术经济资料和经签 著的工程保修书， 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陕西汉程云吉项目管理有限公司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陕西汉程云吉项目管理有限公司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陕西汉程云吉项目管理有限公司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联系电话：0916-2215737</w:t>
      </w:r>
    </w:p>
    <w:p>
      <w:pPr>
        <w:pStyle w:val="null3"/>
      </w:pPr>
      <w:r>
        <w:rPr>
          <w:rFonts w:ascii="仿宋_GB2312" w:hAnsi="仿宋_GB2312" w:cs="仿宋_GB2312" w:eastAsia="仿宋_GB2312"/>
        </w:rPr>
        <w:t>地址：陕西省汉中市汉台区陕西省汉中市汉台区东大街街道办事处莲湖路749号汉台区群艺馆院内东南面二楼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447,865.00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勉县漆树坝镇张家桥村中坝便民桥项目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450,000.00</w:t>
            </w:r>
          </w:p>
        </w:tc>
        <w:tc>
          <w:tcPr>
            <w:tcW w:type="dxa" w:w="1384"/>
          </w:tcPr>
          <w:p>
            <w:pPr>
              <w:pStyle w:val="null3"/>
            </w:pPr>
            <w:r>
              <w:rPr>
                <w:rFonts w:ascii="仿宋_GB2312" w:hAnsi="仿宋_GB2312" w:cs="仿宋_GB2312" w:eastAsia="仿宋_GB2312"/>
              </w:rPr>
              <w:t>座</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标的名称：勉县漆树坝镇张家桥村中坝便民桥项目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工程质量达到合格标准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120日历天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本工程应严格执行国家、行业及地方现行有效的工程建设技术标准、规范、规程及有关规定。</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报价函 供应商应提交的相关资格证明材料 响应函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 汉中市政府采购供应商资格承诺函.docx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供应商应具备建设行政部门核发的公路工程施工总承包三级以上（含三级）资质，并具备有效的安全生产许可证；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拟派项目负责人应具备公路工程专业二级（含二级）及以上注册建造师资格、具有有效的安全考核合格证（B证），且无在建工程；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本项目专门面向中小企业采购；须符合《政府采购促进中小企业发展管理办法》（财库〔2020〕46号）规定的中小企业参加；提供的《中小企业声明函》格式见附件；</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汉中市政府采购供应商资格承诺函.docx 响应文件封面 项目管理机构组成表 技术响应方案.docx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（2）要求全面响应磋商文件，不能有任何采购人不能接受的附加条件； （3）规定不接受选择方案和选择报价（包括交叉折扣）的，供应商提供了选择方案和/或选择报价（包括交叉折扣）； （4）提供虚假证明，开具虚假资质，出现虚假应答。</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汉中市政府采购供应商资格承诺函.docx 响应文件封面 项目管理机构组成表 技术响应方案.docx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施工组织计划</w:t>
            </w:r>
          </w:p>
        </w:tc>
        <w:tc>
          <w:tcPr>
            <w:tcW w:type="dxa" w:w="2492"/>
          </w:tcPr>
          <w:p>
            <w:pPr>
              <w:pStyle w:val="null3"/>
            </w:pPr>
            <w:r>
              <w:rPr>
                <w:rFonts w:ascii="仿宋_GB2312" w:hAnsi="仿宋_GB2312" w:cs="仿宋_GB2312" w:eastAsia="仿宋_GB2312"/>
              </w:rPr>
              <w:t>1.项目目标：质量目标、工期目标、安全目标、文明环保施工目标： 评分标准：目标设置明确，满足项目需求[4-5]；目标设置一般，部分满足项目需求：[0-3.9]。 2.项目环境保护控制措施： 评分标准：措施具体得当，生态环保效果明显[4-5]；措施空洞，生态环保效果一般：[0-3.9]。 3.项目质量控制管理措施： 评分标准：质量控制措施健全，符合项目实际[4-5]；质量控制措施一般，有明显缺项，与项目实际有偏差[0-3.9]。 4.项目安全文明施工监督管理措施： 评分标准：安全文明施工监督管理措施得力，能有效预防安全事故[4-5]；安全文明施工监督管理措施一般，存在安全风险隐患[0-3.9]。 5.项目项目进度控制措施： 评分标准：进度计划合理，进度控制措施具有可操作性和科学性[4-5]；进度管理控制措施合理性、科学性一般，与项目实际情况存在偏差[0-3.9]</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施工布置合理，主要工程内容施工技术选用合理、施工措施得当、阐述全面[10-15]；施工布置合理性一般，主要工程内容施工技术选用较合理、施工措施较为得当、主要工程内容阐述基本全面[5-9.9]；施工布置不合理性，主要工程内容施工技术选用不合理、施工措施与实际不符、主要工程内容阐述存在较多缺项。[0-4.9]</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项目管理组织机构</w:t>
            </w:r>
          </w:p>
        </w:tc>
        <w:tc>
          <w:tcPr>
            <w:tcW w:type="dxa" w:w="2492"/>
          </w:tcPr>
          <w:p>
            <w:pPr>
              <w:pStyle w:val="null3"/>
            </w:pPr>
            <w:r>
              <w:rPr>
                <w:rFonts w:ascii="仿宋_GB2312" w:hAnsi="仿宋_GB2312" w:cs="仿宋_GB2312" w:eastAsia="仿宋_GB2312"/>
              </w:rPr>
              <w:t>人员配备齐全，岗位设置合理，职责范围明确[4-5]；人员配备合理性一般，岗位设置不合理，职责范围不明晰[0-3.9]</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供应商针对本项目编制科学合理的施工机械配备投入计划，内容包括：①机械设备和材料投入计划② 拟投入的机械设备计划表。评审标准 1、完整性：方案须全面，对评审内容中的各项要求有详细描述及说明； 2、可实施性：切合本项目实际情况，实施步骤清晰、合理； 3、针对性：方案能够紧扣项目实际情况，内容科学合理。赋分标准（针对每条评审标准，如存在不合理的方面每处扣0.5分） ①机械设备和材料投入计划：每完全满足一个评审标准得1分，满分3分； ②拟投入的机械设备计划表，每完全满足一个评审标准得1分，满分3分。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供应商提供自2023年1月1日起，至今完成的类似项目业绩，每提供一份得2.5分，此项最高得5分；注：业绩须是类似项目，以中标通知书或合同为准。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供应商针对本项目编制完善的后期服务方案，内容包含：①服务范围及后期保障措施②突发事件处理时限与措施③保修期及定期回访维护措施。 评审标准 1、完整性：方案必须全面， 对评审内容中的各项要求有详细描述； 2、可实施性：切合本项目实际情况，提出步骤清晰、合理的方案； 3、针对性：能够紧扣项目实际情况，内容科学合理。赋分标准（针对每条评审标准，如存在不合理的方面每处扣0.5分） ①服务范围及后期保障措施：每完全满足一个评审标准得1分，满分3分； ②突发事件处理时限与措施：每完全满足一个评审标准得1分，满分3分；③保修期及定期回访维护措施：每完全满足一个评审标准得1分，满分3分。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 价格分=(评标基准价／投标报价)×报价分值 注：本项目专门面向中小企业采购，评审时不再进行价格扣除。</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详见附件：专用合同条款.docx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