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版本号：SXZCZB2026-ZCCS--0528.1B120260603001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小操场提升改造项目(二次)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SXZCZB2026-ZCCS--0528.1B1</w:t>
      </w:r>
      <w:r>
        <w:br/>
      </w:r>
      <w:r>
        <w:br/>
      </w:r>
      <w:r>
        <w:br/>
      </w:r>
    </w:p>
    <w:p>
      <w:pPr>
        <w:pStyle w:val="null3"/>
        <w:jc w:val="center"/>
        <w:outlineLvl w:val="2"/>
      </w:pPr>
      <w:r>
        <w:rPr>
          <w:rFonts w:ascii="仿宋_GB2312" w:hAnsi="仿宋_GB2312" w:cs="仿宋_GB2312" w:eastAsia="仿宋_GB2312"/>
          <w:sz w:val="28"/>
          <w:b/>
        </w:rPr>
        <w:t>陕西交通技师学院</w:t>
      </w:r>
    </w:p>
    <w:p>
      <w:pPr>
        <w:pStyle w:val="null3"/>
        <w:jc w:val="center"/>
        <w:outlineLvl w:val="2"/>
      </w:pPr>
      <w:r>
        <w:rPr>
          <w:rFonts w:ascii="仿宋_GB2312" w:hAnsi="仿宋_GB2312" w:cs="仿宋_GB2312" w:eastAsia="仿宋_GB2312"/>
          <w:sz w:val="28"/>
          <w:b/>
        </w:rPr>
        <w:t>陕西至诚项目管理集团有限公司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陕西至诚项目管理集团有限公司</w:t>
      </w:r>
      <w:r>
        <w:rPr>
          <w:rFonts w:ascii="仿宋_GB2312" w:hAnsi="仿宋_GB2312" w:cs="仿宋_GB2312" w:eastAsia="仿宋_GB2312"/>
        </w:rPr>
        <w:t>（以下简称“代理机构”）受</w:t>
      </w:r>
      <w:r>
        <w:rPr>
          <w:rFonts w:ascii="仿宋_GB2312" w:hAnsi="仿宋_GB2312" w:cs="仿宋_GB2312" w:eastAsia="仿宋_GB2312"/>
        </w:rPr>
        <w:t>陕西交通技师学院</w:t>
      </w:r>
      <w:r>
        <w:rPr>
          <w:rFonts w:ascii="仿宋_GB2312" w:hAnsi="仿宋_GB2312" w:cs="仿宋_GB2312" w:eastAsia="仿宋_GB2312"/>
        </w:rPr>
        <w:t>委托，拟对</w:t>
      </w:r>
      <w:r>
        <w:rPr>
          <w:rFonts w:ascii="仿宋_GB2312" w:hAnsi="仿宋_GB2312" w:cs="仿宋_GB2312" w:eastAsia="仿宋_GB2312"/>
        </w:rPr>
        <w:t>小操场提升改造项目(二次)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SXZCZB2026-ZCCS--0528.1B1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小操场提升改造项目(二次)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对小操场实施改造，改造后可实现校园内人车分流，改造后学生校内活动场地增加2000多平方。改造后可以停车120多辆，改造面积3000多平方，主体结构采用混凝土浇筑。(具体内容详见工程量清单)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1、营业执照：具有独立承担民事责任能力的法人、其他组织或自然人，并出具合法有效的统一社会信用代码的营业执照或事业单位法人证书等国家规定的相关证明，自然人参与的提供其身份证明；</w:t>
      </w:r>
    </w:p>
    <w:p>
      <w:pPr>
        <w:pStyle w:val="null3"/>
      </w:pPr>
      <w:r>
        <w:rPr>
          <w:rFonts w:ascii="仿宋_GB2312" w:hAnsi="仿宋_GB2312" w:cs="仿宋_GB2312" w:eastAsia="仿宋_GB2312"/>
        </w:rPr>
        <w:t>2、法定代表人身份证明或授权委托书：提供法定代表人授权书（附法定代表人、被授权人身份证复印件），法定代表人直接参加投标，须提供法定代表人身份证明（附法定代表人身份证复印件）；</w:t>
      </w:r>
    </w:p>
    <w:p>
      <w:pPr>
        <w:pStyle w:val="null3"/>
      </w:pPr>
      <w:r>
        <w:rPr>
          <w:rFonts w:ascii="仿宋_GB2312" w:hAnsi="仿宋_GB2312" w:cs="仿宋_GB2312" w:eastAsia="仿宋_GB2312"/>
        </w:rPr>
        <w:t>3、财务审计报告或资信证明：提供递交磋商响应文件截止之日前两年内（2024年和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p>
      <w:pPr>
        <w:pStyle w:val="null3"/>
      </w:pPr>
      <w:r>
        <w:rPr>
          <w:rFonts w:ascii="仿宋_GB2312" w:hAnsi="仿宋_GB2312" w:cs="仿宋_GB2312" w:eastAsia="仿宋_GB2312"/>
        </w:rPr>
        <w:t>4、税收缴纳证明：提供递交磋商响应文件截止日前一年内已缴纳的至少一个月的纳税证明或完税证明（任意税种），依法免税的单位应提供相关证明材料；</w:t>
      </w:r>
    </w:p>
    <w:p>
      <w:pPr>
        <w:pStyle w:val="null3"/>
      </w:pPr>
      <w:r>
        <w:rPr>
          <w:rFonts w:ascii="仿宋_GB2312" w:hAnsi="仿宋_GB2312" w:cs="仿宋_GB2312" w:eastAsia="仿宋_GB2312"/>
        </w:rPr>
        <w:t>5、社会保障资金缴纳证明：提供递交磋商响应文件截止日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6、履行本合同所必需的设备和专业技术能力的说明及承诺书：提供具有履行本合同所必需的设备和专业技术能力的说明及承诺书；</w:t>
      </w:r>
    </w:p>
    <w:p>
      <w:pPr>
        <w:pStyle w:val="null3"/>
      </w:pPr>
      <w:r>
        <w:rPr>
          <w:rFonts w:ascii="仿宋_GB2312" w:hAnsi="仿宋_GB2312" w:cs="仿宋_GB2312" w:eastAsia="仿宋_GB2312"/>
        </w:rPr>
        <w:t>7、信用记录：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p>
      <w:pPr>
        <w:pStyle w:val="null3"/>
      </w:pPr>
      <w:r>
        <w:rPr>
          <w:rFonts w:ascii="仿宋_GB2312" w:hAnsi="仿宋_GB2312" w:cs="仿宋_GB2312" w:eastAsia="仿宋_GB2312"/>
        </w:rPr>
        <w:t>8、书面声明：参加政府采购活动前3年内，在经营活动中没有重大违法记录的书面声明；</w:t>
      </w:r>
    </w:p>
    <w:p>
      <w:pPr>
        <w:pStyle w:val="null3"/>
      </w:pPr>
      <w:r>
        <w:rPr>
          <w:rFonts w:ascii="仿宋_GB2312" w:hAnsi="仿宋_GB2312" w:cs="仿宋_GB2312" w:eastAsia="仿宋_GB2312"/>
        </w:rPr>
        <w:t>9、企业资质：供应商须具备【建筑工程施工总承包三级】及以上资质，并提供有效的安全生产许可证；</w:t>
      </w:r>
    </w:p>
    <w:p>
      <w:pPr>
        <w:pStyle w:val="null3"/>
      </w:pPr>
      <w:r>
        <w:rPr>
          <w:rFonts w:ascii="仿宋_GB2312" w:hAnsi="仿宋_GB2312" w:cs="仿宋_GB2312" w:eastAsia="仿宋_GB2312"/>
        </w:rPr>
        <w:t>10、项目经理：供应商拟派项目经理须具备建筑工程专业二级及以上注册建造师资质、具有安全生产考核合格证（B证），且无在建工程（提供无在建承诺书）；</w:t>
      </w:r>
    </w:p>
    <w:p>
      <w:pPr>
        <w:pStyle w:val="null3"/>
      </w:pPr>
      <w:r>
        <w:rPr>
          <w:rFonts w:ascii="仿宋_GB2312" w:hAnsi="仿宋_GB2312" w:cs="仿宋_GB2312" w:eastAsia="仿宋_GB2312"/>
        </w:rPr>
        <w:t>11、控股管理关系：提供直接控股和管理关系清单。若与其他供应商存在单位负责人为同一人或者存在直接控股、管理关系的，则投标无效；</w:t>
      </w:r>
    </w:p>
    <w:p>
      <w:pPr>
        <w:pStyle w:val="null3"/>
      </w:pPr>
      <w:r>
        <w:rPr>
          <w:rFonts w:ascii="仿宋_GB2312" w:hAnsi="仿宋_GB2312" w:cs="仿宋_GB2312" w:eastAsia="仿宋_GB2312"/>
        </w:rPr>
        <w:t>12、非联合体承诺：本项目不接受联合体磋商（需提供承诺书）。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陕西交通技师学院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泾河新城泾阳县永乐镇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713702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18829789989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陕西至诚项目管理集团有限公司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陕西省西安市经济技术开发区未央路171-1号银池道拉斯财富中心21楼03室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康乐、孙洋、常瑛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029-88219779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说明：须在合同签订前将履约保证金转入发包人账户，逾期未缴视为自动放弃中标资格。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代理服务费收费标准：按照国家计委计价格[2002]1980号文件、国家发改委发改办价格[2003]857号文件、国家发改委发改价格[2011]534号文件规定标准x80%计取。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陕西交通技师学院</w:t>
      </w:r>
      <w:r>
        <w:rPr>
          <w:rFonts w:ascii="仿宋_GB2312" w:hAnsi="仿宋_GB2312" w:cs="仿宋_GB2312" w:eastAsia="仿宋_GB2312"/>
        </w:rPr>
        <w:t>和</w:t>
      </w:r>
      <w:r>
        <w:rPr>
          <w:rFonts w:ascii="仿宋_GB2312" w:hAnsi="仿宋_GB2312" w:cs="仿宋_GB2312" w:eastAsia="仿宋_GB2312"/>
        </w:rPr>
        <w:t>陕西至诚项目管理集团有限公司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陕西交通技师学院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陕西至诚项目管理集团有限公司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陕西交通技师学院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陕西至诚项目管理集团有限公司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陕西至诚项目管理集团有限公司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联系人：康乐、孙洋、常瑛</w:t>
      </w:r>
    </w:p>
    <w:p>
      <w:pPr>
        <w:pStyle w:val="null3"/>
      </w:pPr>
      <w:r>
        <w:rPr>
          <w:rFonts w:ascii="仿宋_GB2312" w:hAnsi="仿宋_GB2312" w:cs="仿宋_GB2312" w:eastAsia="仿宋_GB2312"/>
        </w:rPr>
        <w:t>联系电话：029-88219779</w:t>
      </w:r>
    </w:p>
    <w:p>
      <w:pPr>
        <w:pStyle w:val="null3"/>
      </w:pPr>
      <w:r>
        <w:rPr>
          <w:rFonts w:ascii="仿宋_GB2312" w:hAnsi="仿宋_GB2312" w:cs="仿宋_GB2312" w:eastAsia="仿宋_GB2312"/>
        </w:rPr>
        <w:t>地址：陕西省西安市经济技术开发区未央路171-1号银池道拉斯财富中心21楼03室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3,950,000.00</w:t>
      </w:r>
    </w:p>
    <w:p>
      <w:pPr>
        <w:pStyle w:val="null3"/>
      </w:pPr>
      <w:r>
        <w:rPr>
          <w:rFonts w:ascii="仿宋_GB2312" w:hAnsi="仿宋_GB2312" w:cs="仿宋_GB2312" w:eastAsia="仿宋_GB2312"/>
        </w:rPr>
        <w:t>采购包最高限价（元）: 3,949,227.01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小操场提升改造项目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标的名称：小操场提升改造项目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一、工程概况及编制范围：</w:t>
            </w:r>
          </w:p>
          <w:p>
            <w:pPr>
              <w:pStyle w:val="null3"/>
              <w:ind w:firstLine="480"/>
            </w:pPr>
            <w:r>
              <w:rPr>
                <w:rFonts w:ascii="仿宋_GB2312" w:hAnsi="仿宋_GB2312" w:cs="仿宋_GB2312" w:eastAsia="仿宋_GB2312"/>
                <w:sz w:val="24"/>
              </w:rPr>
              <w:t>编制范围：本项目为陕西交通技师学院小操场提升改造项目。具体范围包括：拆除原小操场的悬浮地面基层、新建一层钢筋混凝土框架停车场建筑、结构、消防水、电气及消防应急照明、自流平环氧砂浆停车场地面及标识标线，屋面运动场周边使用成品高防护铁丝网、停车场画标识标线等所有内容。</w:t>
            </w:r>
          </w:p>
          <w:p>
            <w:pPr>
              <w:pStyle w:val="null3"/>
              <w:ind w:firstLine="482"/>
            </w:pPr>
            <w:r>
              <w:rPr>
                <w:rFonts w:ascii="仿宋_GB2312" w:hAnsi="仿宋_GB2312" w:cs="仿宋_GB2312" w:eastAsia="仿宋_GB2312"/>
                <w:sz w:val="24"/>
                <w:b/>
              </w:rPr>
              <w:t>二、编制依据：</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、本工程依据陕西交通技师学院小操场提升改造项目施工图；</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、《陕西省房屋建筑与装饰工程工程工程量计算标准》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4</w:t>
            </w:r>
            <w:r>
              <w:rPr>
                <w:rFonts w:ascii="仿宋_GB2312" w:hAnsi="仿宋_GB2312" w:cs="仿宋_GB2312" w:eastAsia="仿宋_GB2312"/>
                <w:sz w:val="24"/>
              </w:rPr>
              <w:t>、《陕西省通用安装工程工程量计算标准》</w:t>
            </w:r>
            <w:r>
              <w:rPr>
                <w:rFonts w:ascii="仿宋_GB2312" w:hAnsi="仿宋_GB2312" w:cs="仿宋_GB2312" w:eastAsia="仿宋_GB2312"/>
                <w:sz w:val="24"/>
              </w:rPr>
              <w:t>(2025)</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5</w:t>
            </w:r>
            <w:r>
              <w:rPr>
                <w:rFonts w:ascii="仿宋_GB2312" w:hAnsi="仿宋_GB2312" w:cs="仿宋_GB2312" w:eastAsia="仿宋_GB2312"/>
                <w:sz w:val="24"/>
              </w:rPr>
              <w:t>、《陕西省建筑工程费用清单》</w:t>
            </w:r>
            <w:r>
              <w:rPr>
                <w:rFonts w:ascii="仿宋_GB2312" w:hAnsi="仿宋_GB2312" w:cs="仿宋_GB2312" w:eastAsia="仿宋_GB2312"/>
                <w:sz w:val="24"/>
              </w:rPr>
              <w:t>(2025)</w:t>
            </w:r>
            <w:r>
              <w:rPr>
                <w:rFonts w:ascii="仿宋_GB2312" w:hAnsi="仿宋_GB2312" w:cs="仿宋_GB2312" w:eastAsia="仿宋_GB2312"/>
                <w:sz w:val="24"/>
              </w:rPr>
              <w:t>及现行造价政策及相关法律法规编制。</w:t>
            </w:r>
          </w:p>
          <w:p>
            <w:pPr>
              <w:pStyle w:val="null3"/>
              <w:ind w:firstLine="482"/>
            </w:pPr>
            <w:r>
              <w:rPr>
                <w:rFonts w:ascii="仿宋_GB2312" w:hAnsi="仿宋_GB2312" w:cs="仿宋_GB2312" w:eastAsia="仿宋_GB2312"/>
                <w:sz w:val="24"/>
                <w:b/>
              </w:rPr>
              <w:t>三、其他说明：</w:t>
            </w:r>
          </w:p>
          <w:p>
            <w:pPr>
              <w:pStyle w:val="null3"/>
              <w:ind w:firstLine="480"/>
            </w:pPr>
            <w:r>
              <w:rPr>
                <w:rFonts w:ascii="仿宋_GB2312" w:hAnsi="仿宋_GB2312" w:cs="仿宋_GB2312" w:eastAsia="仿宋_GB2312"/>
                <w:sz w:val="24"/>
              </w:rPr>
              <w:t>1</w:t>
            </w:r>
            <w:r>
              <w:rPr>
                <w:rFonts w:ascii="仿宋_GB2312" w:hAnsi="仿宋_GB2312" w:cs="仿宋_GB2312" w:eastAsia="仿宋_GB2312"/>
                <w:sz w:val="24"/>
              </w:rPr>
              <w:t>、本项目预留金</w:t>
            </w:r>
            <w:r>
              <w:rPr>
                <w:rFonts w:ascii="仿宋_GB2312" w:hAnsi="仿宋_GB2312" w:cs="仿宋_GB2312" w:eastAsia="仿宋_GB2312"/>
                <w:sz w:val="24"/>
              </w:rPr>
              <w:t>18</w:t>
            </w:r>
            <w:r>
              <w:rPr>
                <w:rFonts w:ascii="仿宋_GB2312" w:hAnsi="仿宋_GB2312" w:cs="仿宋_GB2312" w:eastAsia="仿宋_GB2312"/>
                <w:sz w:val="24"/>
              </w:rPr>
              <w:t>万元，列入其他项目费中；</w:t>
            </w:r>
          </w:p>
          <w:p>
            <w:pPr>
              <w:pStyle w:val="null3"/>
              <w:ind w:firstLine="480"/>
            </w:pPr>
            <w:r>
              <w:rPr>
                <w:rFonts w:ascii="仿宋_GB2312" w:hAnsi="仿宋_GB2312" w:cs="仿宋_GB2312" w:eastAsia="仿宋_GB2312"/>
                <w:sz w:val="24"/>
              </w:rPr>
              <w:t>2</w:t>
            </w:r>
            <w:r>
              <w:rPr>
                <w:rFonts w:ascii="仿宋_GB2312" w:hAnsi="仿宋_GB2312" w:cs="仿宋_GB2312" w:eastAsia="仿宋_GB2312"/>
                <w:sz w:val="24"/>
              </w:rPr>
              <w:t>、原小操场悬浮地面拆除及恢复、原场地运动器材拆安、移植乔木、柱面抹灰均不在本次招标范围。</w:t>
            </w:r>
          </w:p>
          <w:p>
            <w:pPr>
              <w:pStyle w:val="null3"/>
              <w:ind w:firstLine="480"/>
            </w:pPr>
            <w:r>
              <w:rPr>
                <w:rFonts w:ascii="仿宋_GB2312" w:hAnsi="仿宋_GB2312" w:cs="仿宋_GB2312" w:eastAsia="仿宋_GB2312"/>
                <w:sz w:val="24"/>
              </w:rPr>
              <w:t>3</w:t>
            </w:r>
            <w:r>
              <w:rPr>
                <w:rFonts w:ascii="仿宋_GB2312" w:hAnsi="仿宋_GB2312" w:cs="仿宋_GB2312" w:eastAsia="仿宋_GB2312"/>
                <w:sz w:val="24"/>
              </w:rPr>
              <w:t>、本工程量清单及计价采用广联达云计价平台</w:t>
            </w:r>
            <w:r>
              <w:rPr>
                <w:rFonts w:ascii="仿宋_GB2312" w:hAnsi="仿宋_GB2312" w:cs="仿宋_GB2312" w:eastAsia="仿宋_GB2312"/>
                <w:sz w:val="24"/>
              </w:rPr>
              <w:t>GCCP7.0</w:t>
            </w:r>
            <w:r>
              <w:rPr>
                <w:rFonts w:ascii="仿宋_GB2312" w:hAnsi="仿宋_GB2312" w:cs="仿宋_GB2312" w:eastAsia="仿宋_GB2312"/>
                <w:sz w:val="24"/>
              </w:rPr>
              <w:t>（</w:t>
            </w:r>
            <w:r>
              <w:rPr>
                <w:rFonts w:ascii="仿宋_GB2312" w:hAnsi="仿宋_GB2312" w:cs="仿宋_GB2312" w:eastAsia="仿宋_GB2312"/>
                <w:sz w:val="24"/>
              </w:rPr>
              <w:t>7.5000.23.2</w:t>
            </w:r>
            <w:r>
              <w:rPr>
                <w:rFonts w:ascii="仿宋_GB2312" w:hAnsi="仿宋_GB2312" w:cs="仿宋_GB2312" w:eastAsia="仿宋_GB2312"/>
                <w:sz w:val="24"/>
              </w:rPr>
              <w:t>）编制。</w:t>
            </w:r>
          </w:p>
          <w:p>
            <w:pPr>
              <w:pStyle w:val="null3"/>
            </w:pPr>
            <w:r>
              <w:rPr>
                <w:rFonts w:ascii="仿宋_GB2312" w:hAnsi="仿宋_GB2312" w:cs="仿宋_GB2312" w:eastAsia="仿宋_GB2312"/>
                <w:sz w:val="24"/>
                <w:b/>
              </w:rPr>
              <w:t>工程量清单详见附件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符合本项目实施要求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1、本项目工期:90天； 2、工程建设地点:采购人指定地点: 3、合同支付约定:(1)付款条件说明:第一次支付:合同签订后，主材到货进场，乙方提供合规发票，达到付款条件起10日内，支付合同总金额的40.00%。(2)付款条件说明:第二次支付:工程量达到80%，甲方对已完成工程量进行确认，乙方提供合规发票，达到付款条件起10日内，支付合同总金额的30.00%。(3)付款条件说明:第三次支付:工程量达到100%，甲方对已完成工程量进行确认，达到付款条件起10日内，支付合同总金额的20.00%。(4)付款条件说明:第四次支付:工程通过竣工验收，结算完成后，乙方提供合规发票，达到付款条件起10日内，支付合同总金额的10.00%。4、供应商在施工中应妥善处理好与施工相关的各方面关系，自行解决施工遇到的各项问题及发生的纠纷，并承担由此产生的法律责任及费用。5、供应商应具有协调当地建设管理部门的能力和解决问题的能力。</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具有独立承担民事责任能力的法人、其他组织或自然人，并出具合法有效的统一社会信用代码的营业执照或事业单位法人证书等国家规定的相关证明，自然人参与的提供其身份证明；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提供法定代表人授权书（附法定代表人、被授权人身份证复印件），法定代表人直接参加投标，须提供法定代表人身份证明（附法定代表人身份证复印件）；</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财务审计报告或资信证明</w:t>
            </w:r>
          </w:p>
        </w:tc>
        <w:tc>
          <w:tcPr>
            <w:tcW w:type="dxa" w:w="3322"/>
          </w:tcPr>
          <w:p>
            <w:pPr>
              <w:pStyle w:val="null3"/>
            </w:pPr>
            <w:r>
              <w:rPr>
                <w:rFonts w:ascii="仿宋_GB2312" w:hAnsi="仿宋_GB2312" w:cs="仿宋_GB2312" w:eastAsia="仿宋_GB2312"/>
              </w:rPr>
              <w:t>提供递交磋商响应文件截止之日前两年内（2024年和2025年）任意一个年度经审计的财务报告（包括“四表一注”，即资产负债表、利润表、现金流量表、所有者权益变动表及其附注，符合《中小企业划型标准规定》的小型企业按照《小企业会计准则》执行。成立时间至提交投标文件截止时间不足一年的可提供成立后任意时段的资产负债表），审计报告须具有注册会计师行业统一监管平台（http://acc.mof.gov.cn）赋予的验证码；或提供其开标前三个月内基本开户银行出具的资信证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提供递交磋商响应文件截止日前一年内已缴纳的至少一个月的纳税证明或完税证明（任意税种），依法免税的单位应提供相关证明材料；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提供递交磋商响应文件截止日前一年内已缴存的至少一个月的社会保障资金缴存单据或社保机构开具的社会保险参保缴费情况证明，依法不需要缴纳社会保障资金的单位应提供相关证明材料；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履行本合同所必需的设备和专业技术能力的说明及承诺书</w:t>
            </w:r>
          </w:p>
        </w:tc>
        <w:tc>
          <w:tcPr>
            <w:tcW w:type="dxa" w:w="3322"/>
          </w:tcPr>
          <w:p>
            <w:pPr>
              <w:pStyle w:val="null3"/>
            </w:pPr>
            <w:r>
              <w:rPr>
                <w:rFonts w:ascii="仿宋_GB2312" w:hAnsi="仿宋_GB2312" w:cs="仿宋_GB2312" w:eastAsia="仿宋_GB2312"/>
              </w:rPr>
              <w:t>提供具有履行本合同所必需的设备和专业技术能力的说明及承诺书；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供应商须具备【建筑工程施工总承包三级】及以上资质，并提供有效的安全生产许可证；</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供应商拟派项目经理须具备建筑工程专业二级及以上注册建造师资质、具有安全生产考核合格证（B证），且无在建工程（提供无在建承诺书）；</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1、特定资格证明文件.docx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非联合体承诺</w:t>
            </w:r>
          </w:p>
        </w:tc>
        <w:tc>
          <w:tcPr>
            <w:tcW w:type="dxa" w:w="3322"/>
          </w:tcPr>
          <w:p>
            <w:pPr>
              <w:pStyle w:val="null3"/>
            </w:pPr>
            <w:r>
              <w:rPr>
                <w:rFonts w:ascii="仿宋_GB2312" w:hAnsi="仿宋_GB2312" w:cs="仿宋_GB2312" w:eastAsia="仿宋_GB2312"/>
              </w:rPr>
              <w:t>本项目不接受联合体磋商（需提供承诺书）。</w:t>
            </w:r>
          </w:p>
        </w:tc>
        <w:tc>
          <w:tcPr>
            <w:tcW w:type="dxa" w:w="1661"/>
          </w:tcPr>
          <w:p>
            <w:pPr>
              <w:pStyle w:val="null3"/>
            </w:pPr>
            <w:r>
              <w:rPr>
                <w:rFonts w:ascii="仿宋_GB2312" w:hAnsi="仿宋_GB2312" w:cs="仿宋_GB2312" w:eastAsia="仿宋_GB2312"/>
              </w:rPr>
              <w:t>1、特定资格证明文件.docx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竞争性磋商响应文件的完整性</w:t>
            </w:r>
          </w:p>
        </w:tc>
        <w:tc>
          <w:tcPr>
            <w:tcW w:type="dxa" w:w="3322"/>
          </w:tcPr>
          <w:p>
            <w:pPr>
              <w:pStyle w:val="null3"/>
            </w:pPr>
            <w:r>
              <w:rPr>
                <w:rFonts w:ascii="仿宋_GB2312" w:hAnsi="仿宋_GB2312" w:cs="仿宋_GB2312" w:eastAsia="仿宋_GB2312"/>
              </w:rPr>
              <w:t>竞争性磋商响应文件构成是否有重大缺项，是否按照竞争性磋商文件要求的格式编写竟争性磋商响应文件。</w:t>
            </w:r>
          </w:p>
        </w:tc>
        <w:tc>
          <w:tcPr>
            <w:tcW w:type="dxa" w:w="1661"/>
          </w:tcPr>
          <w:p>
            <w:pPr>
              <w:pStyle w:val="null3"/>
            </w:pPr>
            <w:r>
              <w:rPr>
                <w:rFonts w:ascii="仿宋_GB2312" w:hAnsi="仿宋_GB2312" w:cs="仿宋_GB2312" w:eastAsia="仿宋_GB2312"/>
              </w:rPr>
              <w:t>响应文件封面 已标价工程量清单 1、特定资格证明文件.docx 5、其它.docx 项目管理机构组成表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竞争性磋商响应文件的有效性</w:t>
            </w:r>
          </w:p>
        </w:tc>
        <w:tc>
          <w:tcPr>
            <w:tcW w:type="dxa" w:w="3322"/>
          </w:tcPr>
          <w:p>
            <w:pPr>
              <w:pStyle w:val="null3"/>
            </w:pPr>
            <w:r>
              <w:rPr>
                <w:rFonts w:ascii="仿宋_GB2312" w:hAnsi="仿宋_GB2312" w:cs="仿宋_GB2312" w:eastAsia="仿宋_GB2312"/>
              </w:rPr>
              <w:t>竞争性磋商响应文件的签署、加盖印章是否合格、有效;提供的各种证明文件、数据、资料是否真实、有效。</w:t>
            </w:r>
          </w:p>
        </w:tc>
        <w:tc>
          <w:tcPr>
            <w:tcW w:type="dxa" w:w="1661"/>
          </w:tcPr>
          <w:p>
            <w:pPr>
              <w:pStyle w:val="null3"/>
            </w:pPr>
            <w:r>
              <w:rPr>
                <w:rFonts w:ascii="仿宋_GB2312" w:hAnsi="仿宋_GB2312" w:cs="仿宋_GB2312" w:eastAsia="仿宋_GB2312"/>
              </w:rPr>
              <w:t>响应文件封面 已标价工程量清单 1、特定资格证明文件.docx 5、其它.docx 项目管理机构组成表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竞争性磋商响应文件的响应性</w:t>
            </w:r>
          </w:p>
        </w:tc>
        <w:tc>
          <w:tcPr>
            <w:tcW w:type="dxa" w:w="3322"/>
          </w:tcPr>
          <w:p>
            <w:pPr>
              <w:pStyle w:val="null3"/>
            </w:pPr>
            <w:r>
              <w:rPr>
                <w:rFonts w:ascii="仿宋_GB2312" w:hAnsi="仿宋_GB2312" w:cs="仿宋_GB2312" w:eastAsia="仿宋_GB2312"/>
              </w:rPr>
              <w:t>磋商有效期是否符合竞争性磋商文件要求;是否满足本次磋商的特殊要求;磋商方案是否有重大缺漏项;磋商产品的技术规格是否有重大偏离;磋商商务响应条款是否有重大偏离;对合同中规定的双方的权利和义务是否做出了实质性修改。</w:t>
            </w:r>
          </w:p>
        </w:tc>
        <w:tc>
          <w:tcPr>
            <w:tcW w:type="dxa" w:w="1661"/>
          </w:tcPr>
          <w:p>
            <w:pPr>
              <w:pStyle w:val="null3"/>
            </w:pPr>
            <w:r>
              <w:rPr>
                <w:rFonts w:ascii="仿宋_GB2312" w:hAnsi="仿宋_GB2312" w:cs="仿宋_GB2312" w:eastAsia="仿宋_GB2312"/>
              </w:rPr>
              <w:t>响应文件封面 已标价工程量清单 1、特定资格证明文件.docx 5、其它.docx 项目管理机构组成表 2、磋商项目技术、服务、商务及其他要求条款偏离表.docx 中小企业声明函 残疾人福利性单位声明函 4、陕西省政府采购供应商拒绝政府采购领域商业贿赂承诺书.docx 响应函 3、磋商方案.docx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报价是否超过最高限价。</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供应商针对本项目编制完善的施工部署，内容包含：①施工目标:成本目标、工期目标、质量目标②施工准备：技术准备、材料准备③施工平面布置与安排：现场围挡及收入口管理、交通组织安排、消防及道路安排。 二、评审标准 1、完整性：方案必须全面，对评审内容中的各项要求有详细描述；2、可实施性：切合本项目实际情况，提出步骤清晰、合理的方案；3、针对性：方案能够紧扣项目实际情况，内容科学合理。 三、赋分标准（满分9分） ①施工目标：每完全满足一个评审标准得1分，满分3分；②施工准备：每完全满足一个评审标准得1分，满分3分；③施工平面布置与安排：每完全满足一个评审标准得1分，满分3分。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 供应商针对本项目编制完善的施工进度计划，内容包含：①施工进度计划横道图②进度计划保证措施③工期保证措施。 二、评审标准 1、完整性：方案必须全面，对评审内容中的各项要求有详细描述；2、可实施性：切合本项目实际情况，提出步骤清晰、合理的方案；3、针对性：方案能够紧扣项目实际情况，内容科学合理。 三、赋分标准（满分9分） ①施工进度计划图：每完全满足一个评审标准得1分，满分3分； ②进度计划保证措施：每完全满足一个评审标准得1分，满分3分；③工期保证措施：每完全满足一个评审标准得1分，满分3分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供应商针对本项目编制完善的施工方案内容包含：①工程重难点及解决措施②工程施工方法③施工质量通病防治措施。 二、评审标准 1、完整性：方案必须全面，对评审内容中的各项要求有详细描述；2、可实施性：切合本项目实际情况，提出步骤清晰、合理的方案； 3、针对性：方案能够紧扣项目实际情况，内容科学合理。 三、赋分标准（12分） ①工程重难点及解决措施：每完全满足一个评审标准得1.5分，满分4.5分；②工程施工方法：每完全满足一个评审标准得1.5分，满分4.5分； ③施工质量通病防治措施：每完全满足一个评审标准得1分，满分3分。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供应商针对本项目编制完善的质量保证措施，内容包含：①质量目标管理体系②施工质量的检验制度③确保质量的技术组织措施④施工质量控制措施。 二、评审标准 1、完整性：方案必须全面，对评审内容中的各项要求有详细描述； 2、可实施性：切合本项目实际情况，提出步骤清晰、合理的方案； 3、针对性：方案能够紧扣项目实际情况，内容科学合理。 三、赋分标准（满分6分） ①质量目标管理体系：每完全满足一个评审标准得0.5分，满分1.5分； ②施工质量检验制度：每完全满足一个评审标准得0.5分，满分1.5分； ③确保质量的技术组织措施：每完全满足一个评审标准得0.5分，满分1.5分； ④施工质量控制措施：每完全满足一个评审标准得0.5分，满分1.5分。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安全施工措施</w:t>
            </w:r>
          </w:p>
        </w:tc>
        <w:tc>
          <w:tcPr>
            <w:tcW w:type="dxa" w:w="2492"/>
          </w:tcPr>
          <w:p>
            <w:pPr>
              <w:pStyle w:val="null3"/>
            </w:pPr>
            <w:r>
              <w:rPr>
                <w:rFonts w:ascii="仿宋_GB2312" w:hAnsi="仿宋_GB2312" w:cs="仿宋_GB2312" w:eastAsia="仿宋_GB2312"/>
              </w:rPr>
              <w:t>一、评审内容 供应商针对本项目编制完整的安全施工措施，内容包含：①安全生产管理制度②安全施工措施③安全应急预案④安全生产教育。 二、评审标准 1、完整性：方案必须全面，对评审内容中的各项要求有详细描述； 2、可实施性：切合本项目实际情况，提出步骤清晰、合理的方案； 3、针对性：方案能够紧扣项目实际情况，内容科学合理。 三、赋分标准（满分6分） ①安全生产管理制度：每完全满足一个评审标准得0.5分，满分1.5分； ②安全施工措施：每完全满足一个评审标准得0.5分，满分1.5分； ③安全应急预案：每完全满足一个评审标准得0.5分，满分1.5分；④安全生产教育：每完全满足一个评审标准得0.5分，满分1.5分。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 供应商针对本项目编制科学的项目管理机构，内容包含：①管理机构的配备计划及管理人员证书②组织机构的岗位职责。 二、评审标准 1、完整性：方案必须全面，对评审内容中的各项要求有详细描述； 2、可实施性：切合本项目实际情况，提出步骤清晰、合理的方案； 3、针对性：方案能够紧扣项目实际情况，内容科学合理。 三、赋分标准（满分12分） ①管理机构的配备计划：每完全满足一个评审标准得2分，满分6分； ②组织机构的岗位职责：每完全满足一个评审标准得2分，满分6分。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新材料新工艺</w:t>
            </w:r>
          </w:p>
        </w:tc>
        <w:tc>
          <w:tcPr>
            <w:tcW w:type="dxa" w:w="2492"/>
          </w:tcPr>
          <w:p>
            <w:pPr>
              <w:pStyle w:val="null3"/>
            </w:pPr>
            <w:r>
              <w:rPr>
                <w:rFonts w:ascii="仿宋_GB2312" w:hAnsi="仿宋_GB2312" w:cs="仿宋_GB2312" w:eastAsia="仿宋_GB2312"/>
              </w:rPr>
              <w:t>一、评审内容 针对本项目具有①新材料②新技术和新工艺的应用情况。 二、评审标准 1、完整性：方案必须全面，对评审内容中的各项要求有详细描述； 2、可实施性：切合本项目实际情况，提出步骤清晰、合理的方案；3、针对性：方案能够紧扣项目实际情况，内容科学合理。 三、赋分标准（满分3分）①新材料：每完全满足一个评审标准得0.5分，满分1.5分； ②新技术和新工艺：每完全满足一个评审标准得0.5分，满分1.5分。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针对本项目作出合理有效的工程施工承诺（主要体现不得拖欠施工人员工资，给施工人员缴纳保险、降低工程造价等），每提供1条得1分，满分2分；不提供不得分。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起至今的类似业绩证明材料，时间以合同签订日期为准，（文件中附合同复印件），每提供一项上述业绩的得2分，最高得6分。不提供或缺项不得分。（合同至少包括首页、采购内容页、金额页、甲乙双方签字盖章页。）</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满足磋商文件要求且最后报价最低的供应商的价格为磋商基准价得35分，其他各供应商的最后报价得分按下列公式计算：（磋商基准价/最后磋商报价）×35％×100。</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5.00%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详见附件：1、特定资格证明文件.docx</w:t>
      </w:r>
    </w:p>
    <w:p>
      <w:pPr>
        <w:pStyle w:val="null3"/>
        <w:ind w:firstLine="960"/>
      </w:pPr>
      <w:r>
        <w:rPr>
          <w:rFonts w:ascii="仿宋_GB2312" w:hAnsi="仿宋_GB2312" w:cs="仿宋_GB2312" w:eastAsia="仿宋_GB2312"/>
        </w:rPr>
        <w:t>详见附件：2、磋商项目技术、服务、商务及其他要求条款偏离表.docx</w:t>
      </w:r>
    </w:p>
    <w:p>
      <w:pPr>
        <w:pStyle w:val="null3"/>
        <w:ind w:firstLine="960"/>
      </w:pPr>
      <w:r>
        <w:rPr>
          <w:rFonts w:ascii="仿宋_GB2312" w:hAnsi="仿宋_GB2312" w:cs="仿宋_GB2312" w:eastAsia="仿宋_GB2312"/>
        </w:rPr>
        <w:t>详见附件：3、磋商方案.docx</w:t>
      </w:r>
    </w:p>
    <w:p>
      <w:pPr>
        <w:pStyle w:val="null3"/>
        <w:ind w:firstLine="960"/>
      </w:pPr>
      <w:r>
        <w:rPr>
          <w:rFonts w:ascii="仿宋_GB2312" w:hAnsi="仿宋_GB2312" w:cs="仿宋_GB2312" w:eastAsia="仿宋_GB2312"/>
        </w:rPr>
        <w:t>详见附件：4、陕西省政府采购供应商拒绝政府采购领域商业贿赂承诺书.docx</w:t>
      </w:r>
    </w:p>
    <w:p>
      <w:pPr>
        <w:pStyle w:val="null3"/>
        <w:ind w:firstLine="960"/>
      </w:pPr>
      <w:r>
        <w:rPr>
          <w:rFonts w:ascii="仿宋_GB2312" w:hAnsi="仿宋_GB2312" w:cs="仿宋_GB2312" w:eastAsia="仿宋_GB2312"/>
        </w:rPr>
        <w:t>详见附件：5、其它.docx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