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D28EF4">
      <w:pPr>
        <w:rPr>
          <w:rFonts w:hAnsi="宋体" w:cs="宋体"/>
          <w:b/>
          <w:color w:val="auto"/>
          <w:sz w:val="36"/>
          <w:highlight w:val="none"/>
        </w:rPr>
      </w:pPr>
      <w:r>
        <w:rPr>
          <w:rFonts w:hint="eastAsia" w:hAnsi="宋体" w:cs="宋体"/>
          <w:b/>
          <w:bCs/>
          <w:color w:val="auto"/>
          <w:sz w:val="32"/>
          <w:szCs w:val="32"/>
          <w:highlight w:val="none"/>
        </w:rPr>
        <w:t>项目编号：</w:t>
      </w:r>
      <w:r>
        <w:rPr>
          <w:rFonts w:hint="eastAsia" w:hAnsi="宋体" w:cs="宋体"/>
          <w:b/>
          <w:bCs/>
          <w:color w:val="auto"/>
          <w:sz w:val="32"/>
          <w:szCs w:val="32"/>
          <w:highlight w:val="none"/>
          <w:lang w:eastAsia="zh-CN"/>
        </w:rPr>
        <w:t>SXZCZB2026-ZCCS-0635</w:t>
      </w:r>
    </w:p>
    <w:p w14:paraId="4FBFF887">
      <w:pPr>
        <w:rPr>
          <w:rFonts w:hAnsi="宋体" w:cs="宋体"/>
          <w:b/>
          <w:color w:val="auto"/>
          <w:sz w:val="36"/>
          <w:highlight w:val="none"/>
        </w:rPr>
      </w:pPr>
    </w:p>
    <w:p w14:paraId="2EE75C7A">
      <w:pPr>
        <w:rPr>
          <w:rFonts w:hAnsi="宋体" w:cs="宋体"/>
          <w:b/>
          <w:color w:val="auto"/>
          <w:sz w:val="56"/>
          <w:szCs w:val="56"/>
          <w:highlight w:val="none"/>
        </w:rPr>
      </w:pPr>
    </w:p>
    <w:p w14:paraId="4E5724FE">
      <w:pPr>
        <w:pStyle w:val="20"/>
      </w:pPr>
    </w:p>
    <w:p w14:paraId="44CFE30C">
      <w:pPr>
        <w:spacing w:line="780" w:lineRule="auto"/>
        <w:jc w:val="center"/>
        <w:rPr>
          <w:rFonts w:hint="eastAsia" w:hAnsi="宋体" w:eastAsia="宋体" w:cs="宋体"/>
          <w:b/>
          <w:color w:val="auto"/>
          <w:sz w:val="60"/>
          <w:szCs w:val="60"/>
          <w:highlight w:val="none"/>
          <w:lang w:eastAsia="zh-CN"/>
        </w:rPr>
      </w:pPr>
      <w:r>
        <w:rPr>
          <w:rFonts w:hint="eastAsia" w:hAnsi="宋体" w:cs="宋体"/>
          <w:b/>
          <w:color w:val="auto"/>
          <w:sz w:val="60"/>
          <w:szCs w:val="60"/>
          <w:highlight w:val="none"/>
          <w:lang w:eastAsia="zh-CN"/>
        </w:rPr>
        <w:t>西安温度暖益绵长互联网科技助老公益活动</w:t>
      </w:r>
    </w:p>
    <w:p w14:paraId="2D9CFAFA">
      <w:pPr>
        <w:pStyle w:val="20"/>
        <w:rPr>
          <w:rFonts w:hint="eastAsia"/>
        </w:rPr>
      </w:pPr>
    </w:p>
    <w:p w14:paraId="33A10B53">
      <w:pPr>
        <w:spacing w:line="780" w:lineRule="auto"/>
        <w:jc w:val="center"/>
        <w:rPr>
          <w:rFonts w:hint="eastAsia" w:hAnsi="宋体" w:cs="宋体"/>
          <w:b/>
          <w:color w:val="auto"/>
          <w:sz w:val="72"/>
          <w:szCs w:val="72"/>
          <w:highlight w:val="none"/>
        </w:rPr>
      </w:pPr>
    </w:p>
    <w:p w14:paraId="1ACE69C5">
      <w:pPr>
        <w:spacing w:line="780" w:lineRule="auto"/>
        <w:jc w:val="center"/>
        <w:rPr>
          <w:rFonts w:hAnsi="宋体" w:cs="宋体"/>
          <w:b/>
          <w:color w:val="auto"/>
          <w:sz w:val="72"/>
          <w:szCs w:val="72"/>
          <w:highlight w:val="none"/>
        </w:rPr>
      </w:pPr>
      <w:r>
        <w:rPr>
          <w:rFonts w:hint="eastAsia" w:hAnsi="宋体" w:cs="宋体"/>
          <w:b/>
          <w:color w:val="auto"/>
          <w:sz w:val="72"/>
          <w:szCs w:val="72"/>
          <w:highlight w:val="none"/>
        </w:rPr>
        <w:t>竞争性磋商文件</w:t>
      </w:r>
    </w:p>
    <w:p w14:paraId="7919D16D">
      <w:pPr>
        <w:rPr>
          <w:rFonts w:hAnsi="宋体" w:cs="宋体"/>
          <w:color w:val="auto"/>
          <w:highlight w:val="none"/>
        </w:rPr>
      </w:pPr>
      <w:bookmarkStart w:id="0" w:name="_Toc363463325"/>
    </w:p>
    <w:p w14:paraId="16A70289">
      <w:pPr>
        <w:rPr>
          <w:rFonts w:hAnsi="宋体" w:cs="宋体"/>
          <w:color w:val="auto"/>
          <w:highlight w:val="none"/>
        </w:rPr>
      </w:pPr>
    </w:p>
    <w:p w14:paraId="5C49C9D0">
      <w:pPr>
        <w:rPr>
          <w:rFonts w:hAnsi="宋体" w:cs="宋体"/>
          <w:color w:val="auto"/>
          <w:highlight w:val="none"/>
        </w:rPr>
      </w:pPr>
    </w:p>
    <w:bookmarkEnd w:id="0"/>
    <w:p w14:paraId="5408581C">
      <w:pPr>
        <w:rPr>
          <w:rFonts w:hAnsi="宋体" w:cs="宋体"/>
          <w:color w:val="auto"/>
          <w:sz w:val="18"/>
          <w:szCs w:val="18"/>
          <w:highlight w:val="none"/>
        </w:rPr>
      </w:pPr>
    </w:p>
    <w:p w14:paraId="08E41121">
      <w:pPr>
        <w:jc w:val="center"/>
        <w:rPr>
          <w:rFonts w:hAnsi="宋体" w:cs="宋体"/>
          <w:b/>
          <w:bCs/>
          <w:color w:val="auto"/>
          <w:sz w:val="32"/>
          <w:szCs w:val="32"/>
          <w:highlight w:val="none"/>
        </w:rPr>
      </w:pPr>
    </w:p>
    <w:p w14:paraId="12598404">
      <w:pPr>
        <w:pStyle w:val="8"/>
        <w:jc w:val="both"/>
        <w:rPr>
          <w:color w:val="auto"/>
          <w:highlight w:val="none"/>
        </w:rPr>
      </w:pPr>
    </w:p>
    <w:p w14:paraId="4F8AE926">
      <w:pPr>
        <w:jc w:val="center"/>
        <w:rPr>
          <w:rFonts w:hint="eastAsia" w:hAnsi="宋体" w:cs="宋体"/>
          <w:b/>
          <w:bCs/>
          <w:color w:val="auto"/>
          <w:sz w:val="32"/>
          <w:szCs w:val="32"/>
          <w:highlight w:val="none"/>
        </w:rPr>
      </w:pPr>
    </w:p>
    <w:p w14:paraId="45CCBD12">
      <w:pPr>
        <w:pStyle w:val="20"/>
        <w:rPr>
          <w:rFonts w:hint="eastAsia"/>
        </w:rPr>
      </w:pPr>
    </w:p>
    <w:p w14:paraId="5DB89E41">
      <w:pPr>
        <w:jc w:val="center"/>
        <w:rPr>
          <w:rFonts w:hint="eastAsia" w:hAnsi="宋体" w:cs="宋体"/>
          <w:b/>
          <w:bCs/>
          <w:color w:val="auto"/>
          <w:sz w:val="32"/>
          <w:szCs w:val="32"/>
          <w:highlight w:val="none"/>
        </w:rPr>
      </w:pPr>
    </w:p>
    <w:p w14:paraId="3D3E308A">
      <w:pPr>
        <w:jc w:val="center"/>
        <w:rPr>
          <w:rFonts w:hAnsi="宋体" w:cs="宋体"/>
          <w:b/>
          <w:bCs/>
          <w:color w:val="auto"/>
          <w:sz w:val="32"/>
          <w:szCs w:val="32"/>
          <w:highlight w:val="none"/>
        </w:rPr>
      </w:pPr>
      <w:r>
        <w:rPr>
          <w:rFonts w:hint="eastAsia" w:hAnsi="宋体" w:cs="宋体"/>
          <w:b/>
          <w:bCs/>
          <w:color w:val="auto"/>
          <w:sz w:val="32"/>
          <w:szCs w:val="32"/>
          <w:highlight w:val="none"/>
        </w:rPr>
        <w:t>陕西至诚项目管理集团有限公司</w:t>
      </w:r>
    </w:p>
    <w:p w14:paraId="2FC31B0E">
      <w:pPr>
        <w:pStyle w:val="9"/>
        <w:ind w:left="0" w:leftChars="0" w:firstLine="0" w:firstLineChars="0"/>
        <w:jc w:val="center"/>
        <w:rPr>
          <w:b/>
          <w:bCs/>
          <w:color w:val="auto"/>
          <w:sz w:val="36"/>
          <w:szCs w:val="36"/>
          <w:highlight w:val="none"/>
        </w:rPr>
        <w:sectPr>
          <w:headerReference r:id="rId5" w:type="first"/>
          <w:headerReference r:id="rId3" w:type="default"/>
          <w:footerReference r:id="rId6" w:type="default"/>
          <w:headerReference r:id="rId4" w:type="even"/>
          <w:footerReference r:id="rId7" w:type="even"/>
          <w:pgSz w:w="11906" w:h="16838"/>
          <w:pgMar w:top="1361" w:right="1304" w:bottom="1361" w:left="1304" w:header="851" w:footer="992" w:gutter="0"/>
          <w:cols w:space="720" w:num="1"/>
          <w:titlePg/>
          <w:docGrid w:type="lines" w:linePitch="312" w:charSpace="0"/>
        </w:sectPr>
      </w:pPr>
      <w:r>
        <w:rPr>
          <w:rFonts w:hint="eastAsia"/>
          <w:b/>
          <w:bCs/>
          <w:color w:val="auto"/>
          <w:sz w:val="32"/>
          <w:szCs w:val="32"/>
          <w:highlight w:val="none"/>
        </w:rPr>
        <w:t>二〇二</w:t>
      </w:r>
      <w:r>
        <w:rPr>
          <w:rFonts w:hint="eastAsia"/>
          <w:b/>
          <w:bCs/>
          <w:color w:val="auto"/>
          <w:sz w:val="32"/>
          <w:szCs w:val="32"/>
          <w:highlight w:val="none"/>
          <w:lang w:val="en-US" w:eastAsia="zh-CN"/>
        </w:rPr>
        <w:t>六</w:t>
      </w:r>
      <w:r>
        <w:rPr>
          <w:rFonts w:hint="eastAsia"/>
          <w:b/>
          <w:bCs/>
          <w:color w:val="auto"/>
          <w:sz w:val="32"/>
          <w:szCs w:val="32"/>
          <w:highlight w:val="none"/>
        </w:rPr>
        <w:t>年</w:t>
      </w:r>
      <w:r>
        <w:rPr>
          <w:rFonts w:hint="eastAsia"/>
          <w:b/>
          <w:bCs/>
          <w:color w:val="auto"/>
          <w:sz w:val="32"/>
          <w:szCs w:val="32"/>
          <w:highlight w:val="none"/>
          <w:lang w:val="en-US" w:eastAsia="zh-CN"/>
        </w:rPr>
        <w:t>六</w:t>
      </w:r>
      <w:r>
        <w:rPr>
          <w:rFonts w:hint="eastAsia"/>
          <w:b/>
          <w:bCs/>
          <w:color w:val="auto"/>
          <w:sz w:val="32"/>
          <w:szCs w:val="32"/>
          <w:highlight w:val="none"/>
        </w:rPr>
        <w:t>月</w:t>
      </w:r>
    </w:p>
    <w:p w14:paraId="2CD5B259">
      <w:pPr>
        <w:rPr>
          <w:rFonts w:hAnsi="宋体" w:cs="宋体"/>
          <w:color w:val="auto"/>
          <w:highlight w:val="none"/>
        </w:rPr>
      </w:pPr>
    </w:p>
    <w:p w14:paraId="71F604AF">
      <w:pPr>
        <w:jc w:val="center"/>
        <w:rPr>
          <w:rFonts w:hAnsi="宋体" w:cs="宋体"/>
          <w:b/>
          <w:color w:val="auto"/>
          <w:sz w:val="44"/>
          <w:szCs w:val="44"/>
          <w:highlight w:val="none"/>
        </w:rPr>
      </w:pPr>
      <w:r>
        <w:rPr>
          <w:rFonts w:hint="eastAsia" w:hAnsi="宋体" w:cs="宋体"/>
          <w:b/>
          <w:color w:val="auto"/>
          <w:sz w:val="44"/>
          <w:szCs w:val="44"/>
          <w:highlight w:val="none"/>
        </w:rPr>
        <w:t>目 录</w:t>
      </w:r>
    </w:p>
    <w:p w14:paraId="4699D3A8">
      <w:pPr>
        <w:jc w:val="center"/>
        <w:rPr>
          <w:color w:val="auto"/>
          <w:highlight w:val="none"/>
        </w:rPr>
      </w:pPr>
      <w:bookmarkStart w:id="1" w:name="_Toc389582033"/>
      <w:bookmarkStart w:id="2" w:name="_Toc20858"/>
      <w:bookmarkStart w:id="3" w:name="_Toc5293"/>
      <w:bookmarkStart w:id="4" w:name="_Toc20652"/>
      <w:bookmarkStart w:id="5" w:name="_Toc16218"/>
      <w:bookmarkStart w:id="6" w:name="_Toc19886"/>
      <w:bookmarkStart w:id="7" w:name="_Toc21518"/>
      <w:bookmarkStart w:id="8" w:name="_Toc27420"/>
      <w:bookmarkStart w:id="9" w:name="_Toc403077638"/>
      <w:bookmarkStart w:id="10" w:name="_Toc363474016"/>
      <w:bookmarkStart w:id="11" w:name="_Toc363473971"/>
    </w:p>
    <w:p w14:paraId="72101B57">
      <w:pPr>
        <w:pStyle w:val="16"/>
        <w:tabs>
          <w:tab w:val="right" w:leader="dot" w:pos="8787"/>
        </w:tabs>
        <w:rPr>
          <w:sz w:val="28"/>
          <w:szCs w:val="21"/>
          <w:highlight w:val="none"/>
        </w:rPr>
      </w:pPr>
      <w:r>
        <w:rPr>
          <w:rFonts w:hint="eastAsia" w:hAnsi="宋体" w:cs="宋体"/>
          <w:bCs/>
          <w:color w:val="auto"/>
          <w:sz w:val="32"/>
          <w:szCs w:val="32"/>
          <w:highlight w:val="none"/>
        </w:rPr>
        <w:fldChar w:fldCharType="begin"/>
      </w:r>
      <w:r>
        <w:rPr>
          <w:rFonts w:hint="eastAsia" w:hAnsi="宋体" w:cs="宋体"/>
          <w:bCs/>
          <w:color w:val="auto"/>
          <w:sz w:val="32"/>
          <w:szCs w:val="32"/>
          <w:highlight w:val="none"/>
        </w:rPr>
        <w:instrText xml:space="preserve">TOC \o "1-3" \h \u </w:instrText>
      </w:r>
      <w:r>
        <w:rPr>
          <w:rFonts w:hint="eastAsia" w:hAnsi="宋体" w:cs="宋体"/>
          <w:bCs/>
          <w:color w:val="auto"/>
          <w:sz w:val="32"/>
          <w:szCs w:val="32"/>
          <w:highlight w:val="none"/>
        </w:rPr>
        <w:fldChar w:fldCharType="separate"/>
      </w: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_Toc19312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第一章  竞争性磋商公告</w:t>
      </w:r>
      <w:r>
        <w:rPr>
          <w:sz w:val="28"/>
          <w:szCs w:val="21"/>
          <w:highlight w:val="none"/>
        </w:rPr>
        <w:tab/>
      </w:r>
      <w:r>
        <w:rPr>
          <w:sz w:val="28"/>
          <w:szCs w:val="21"/>
          <w:highlight w:val="none"/>
        </w:rPr>
        <w:fldChar w:fldCharType="begin"/>
      </w:r>
      <w:r>
        <w:rPr>
          <w:sz w:val="28"/>
          <w:szCs w:val="21"/>
          <w:highlight w:val="none"/>
        </w:rPr>
        <w:instrText xml:space="preserve"> PAGEREF _Toc19312 \h </w:instrText>
      </w:r>
      <w:r>
        <w:rPr>
          <w:sz w:val="28"/>
          <w:szCs w:val="21"/>
          <w:highlight w:val="none"/>
        </w:rPr>
        <w:fldChar w:fldCharType="separate"/>
      </w:r>
      <w:r>
        <w:rPr>
          <w:sz w:val="28"/>
          <w:szCs w:val="21"/>
          <w:highlight w:val="none"/>
        </w:rPr>
        <w:t>1</w:t>
      </w:r>
      <w:r>
        <w:rPr>
          <w:sz w:val="28"/>
          <w:szCs w:val="21"/>
          <w:highlight w:val="none"/>
        </w:rPr>
        <w:fldChar w:fldCharType="end"/>
      </w:r>
      <w:r>
        <w:rPr>
          <w:rFonts w:hint="eastAsia" w:hAnsi="宋体" w:cs="宋体"/>
          <w:bCs/>
          <w:color w:val="auto"/>
          <w:sz w:val="28"/>
          <w:szCs w:val="32"/>
          <w:highlight w:val="none"/>
        </w:rPr>
        <w:fldChar w:fldCharType="end"/>
      </w:r>
    </w:p>
    <w:p w14:paraId="6D710297">
      <w:pPr>
        <w:pStyle w:val="16"/>
        <w:tabs>
          <w:tab w:val="right" w:leader="dot" w:pos="8787"/>
        </w:tabs>
        <w:rPr>
          <w:sz w:val="28"/>
          <w:szCs w:val="21"/>
          <w:highlight w:val="none"/>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_Toc5958 </w:instrText>
      </w:r>
      <w:r>
        <w:rPr>
          <w:rFonts w:hint="eastAsia" w:hAnsi="宋体" w:cs="宋体"/>
          <w:bCs/>
          <w:sz w:val="28"/>
          <w:szCs w:val="32"/>
          <w:highlight w:val="none"/>
        </w:rPr>
        <w:fldChar w:fldCharType="separate"/>
      </w:r>
      <w:r>
        <w:rPr>
          <w:rFonts w:hint="eastAsia" w:hAnsi="宋体" w:cs="宋体"/>
          <w:bCs/>
          <w:kern w:val="2"/>
          <w:sz w:val="28"/>
          <w:szCs w:val="40"/>
          <w:highlight w:val="none"/>
        </w:rPr>
        <w:t>第二章  供应商须知</w:t>
      </w:r>
      <w:r>
        <w:rPr>
          <w:sz w:val="28"/>
          <w:szCs w:val="21"/>
          <w:highlight w:val="none"/>
        </w:rPr>
        <w:tab/>
      </w:r>
      <w:r>
        <w:rPr>
          <w:sz w:val="28"/>
          <w:szCs w:val="21"/>
          <w:highlight w:val="none"/>
        </w:rPr>
        <w:fldChar w:fldCharType="begin"/>
      </w:r>
      <w:r>
        <w:rPr>
          <w:sz w:val="28"/>
          <w:szCs w:val="21"/>
          <w:highlight w:val="none"/>
        </w:rPr>
        <w:instrText xml:space="preserve"> PAGEREF _Toc5958 \h </w:instrText>
      </w:r>
      <w:r>
        <w:rPr>
          <w:sz w:val="28"/>
          <w:szCs w:val="21"/>
          <w:highlight w:val="none"/>
        </w:rPr>
        <w:fldChar w:fldCharType="separate"/>
      </w:r>
      <w:r>
        <w:rPr>
          <w:sz w:val="28"/>
          <w:szCs w:val="21"/>
          <w:highlight w:val="none"/>
        </w:rPr>
        <w:t>5</w:t>
      </w:r>
      <w:r>
        <w:rPr>
          <w:sz w:val="28"/>
          <w:szCs w:val="21"/>
          <w:highlight w:val="none"/>
        </w:rPr>
        <w:fldChar w:fldCharType="end"/>
      </w:r>
      <w:r>
        <w:rPr>
          <w:rFonts w:hint="eastAsia" w:hAnsi="宋体" w:cs="宋体"/>
          <w:bCs/>
          <w:color w:val="auto"/>
          <w:sz w:val="28"/>
          <w:szCs w:val="32"/>
          <w:highlight w:val="none"/>
        </w:rPr>
        <w:fldChar w:fldCharType="end"/>
      </w:r>
    </w:p>
    <w:p w14:paraId="1D3DB776">
      <w:pPr>
        <w:pStyle w:val="16"/>
        <w:tabs>
          <w:tab w:val="right" w:leader="dot" w:pos="8787"/>
        </w:tabs>
        <w:rPr>
          <w:sz w:val="28"/>
          <w:szCs w:val="21"/>
          <w:highlight w:val="none"/>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_Toc11536 </w:instrText>
      </w:r>
      <w:r>
        <w:rPr>
          <w:rFonts w:hint="eastAsia" w:hAnsi="宋体" w:cs="宋体"/>
          <w:bCs/>
          <w:sz w:val="28"/>
          <w:szCs w:val="32"/>
          <w:highlight w:val="none"/>
        </w:rPr>
        <w:fldChar w:fldCharType="separate"/>
      </w:r>
      <w:r>
        <w:rPr>
          <w:rFonts w:hint="eastAsia" w:ascii="宋体" w:eastAsia="宋体" w:cs="宋体"/>
          <w:sz w:val="28"/>
          <w:szCs w:val="21"/>
          <w:highlight w:val="none"/>
        </w:rPr>
        <w:t xml:space="preserve">第三章 </w:t>
      </w:r>
      <w:r>
        <w:rPr>
          <w:rFonts w:hint="eastAsia" w:cs="宋体"/>
          <w:sz w:val="28"/>
          <w:szCs w:val="21"/>
          <w:highlight w:val="none"/>
          <w:lang w:val="en-US" w:eastAsia="zh-CN"/>
        </w:rPr>
        <w:t xml:space="preserve"> </w:t>
      </w:r>
      <w:r>
        <w:rPr>
          <w:rFonts w:hint="eastAsia" w:ascii="宋体" w:eastAsia="宋体" w:cs="宋体"/>
          <w:bCs/>
          <w:sz w:val="28"/>
          <w:szCs w:val="40"/>
          <w:highlight w:val="none"/>
        </w:rPr>
        <w:t>评审方法</w:t>
      </w:r>
      <w:r>
        <w:rPr>
          <w:sz w:val="28"/>
          <w:szCs w:val="21"/>
          <w:highlight w:val="none"/>
        </w:rPr>
        <w:tab/>
      </w:r>
      <w:r>
        <w:rPr>
          <w:sz w:val="28"/>
          <w:szCs w:val="21"/>
          <w:highlight w:val="none"/>
        </w:rPr>
        <w:fldChar w:fldCharType="begin"/>
      </w:r>
      <w:r>
        <w:rPr>
          <w:sz w:val="28"/>
          <w:szCs w:val="21"/>
          <w:highlight w:val="none"/>
        </w:rPr>
        <w:instrText xml:space="preserve"> PAGEREF _Toc11536 \h </w:instrText>
      </w:r>
      <w:r>
        <w:rPr>
          <w:sz w:val="28"/>
          <w:szCs w:val="21"/>
          <w:highlight w:val="none"/>
        </w:rPr>
        <w:fldChar w:fldCharType="separate"/>
      </w:r>
      <w:r>
        <w:rPr>
          <w:sz w:val="28"/>
          <w:szCs w:val="21"/>
          <w:highlight w:val="none"/>
        </w:rPr>
        <w:t>24</w:t>
      </w:r>
      <w:r>
        <w:rPr>
          <w:sz w:val="28"/>
          <w:szCs w:val="21"/>
          <w:highlight w:val="none"/>
        </w:rPr>
        <w:fldChar w:fldCharType="end"/>
      </w:r>
      <w:r>
        <w:rPr>
          <w:rFonts w:hint="eastAsia" w:hAnsi="宋体" w:cs="宋体"/>
          <w:bCs/>
          <w:color w:val="auto"/>
          <w:sz w:val="28"/>
          <w:szCs w:val="32"/>
          <w:highlight w:val="none"/>
        </w:rPr>
        <w:fldChar w:fldCharType="end"/>
      </w:r>
    </w:p>
    <w:p w14:paraId="1BAB869D">
      <w:pPr>
        <w:pStyle w:val="16"/>
        <w:tabs>
          <w:tab w:val="right" w:leader="dot" w:pos="8787"/>
        </w:tabs>
        <w:rPr>
          <w:sz w:val="28"/>
          <w:szCs w:val="21"/>
          <w:highlight w:val="none"/>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_Toc2724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第四章  合同条款及格式</w:t>
      </w:r>
      <w:r>
        <w:rPr>
          <w:sz w:val="28"/>
          <w:szCs w:val="21"/>
          <w:highlight w:val="none"/>
        </w:rPr>
        <w:tab/>
      </w:r>
      <w:r>
        <w:rPr>
          <w:sz w:val="28"/>
          <w:szCs w:val="21"/>
          <w:highlight w:val="none"/>
        </w:rPr>
        <w:fldChar w:fldCharType="begin"/>
      </w:r>
      <w:r>
        <w:rPr>
          <w:sz w:val="28"/>
          <w:szCs w:val="21"/>
          <w:highlight w:val="none"/>
        </w:rPr>
        <w:instrText xml:space="preserve"> PAGEREF _Toc2724 \h </w:instrText>
      </w:r>
      <w:r>
        <w:rPr>
          <w:sz w:val="28"/>
          <w:szCs w:val="21"/>
          <w:highlight w:val="none"/>
        </w:rPr>
        <w:fldChar w:fldCharType="separate"/>
      </w:r>
      <w:r>
        <w:rPr>
          <w:sz w:val="28"/>
          <w:szCs w:val="21"/>
          <w:highlight w:val="none"/>
        </w:rPr>
        <w:t>32</w:t>
      </w:r>
      <w:r>
        <w:rPr>
          <w:sz w:val="28"/>
          <w:szCs w:val="21"/>
          <w:highlight w:val="none"/>
        </w:rPr>
        <w:fldChar w:fldCharType="end"/>
      </w:r>
      <w:r>
        <w:rPr>
          <w:rFonts w:hint="eastAsia" w:hAnsi="宋体" w:cs="宋体"/>
          <w:bCs/>
          <w:color w:val="auto"/>
          <w:sz w:val="28"/>
          <w:szCs w:val="32"/>
          <w:highlight w:val="none"/>
        </w:rPr>
        <w:fldChar w:fldCharType="end"/>
      </w:r>
    </w:p>
    <w:p w14:paraId="6E317B7F">
      <w:pPr>
        <w:pStyle w:val="16"/>
        <w:tabs>
          <w:tab w:val="right" w:leader="dot" w:pos="8787"/>
        </w:tabs>
        <w:rPr>
          <w:sz w:val="28"/>
          <w:szCs w:val="21"/>
          <w:highlight w:val="none"/>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_Toc8072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第五章  磋商内容及技术要求</w:t>
      </w:r>
      <w:r>
        <w:rPr>
          <w:sz w:val="28"/>
          <w:szCs w:val="21"/>
          <w:highlight w:val="none"/>
        </w:rPr>
        <w:tab/>
      </w:r>
      <w:r>
        <w:rPr>
          <w:sz w:val="28"/>
          <w:szCs w:val="21"/>
          <w:highlight w:val="none"/>
        </w:rPr>
        <w:fldChar w:fldCharType="begin"/>
      </w:r>
      <w:r>
        <w:rPr>
          <w:sz w:val="28"/>
          <w:szCs w:val="21"/>
          <w:highlight w:val="none"/>
        </w:rPr>
        <w:instrText xml:space="preserve"> PAGEREF _Toc8072 \h </w:instrText>
      </w:r>
      <w:r>
        <w:rPr>
          <w:sz w:val="28"/>
          <w:szCs w:val="21"/>
          <w:highlight w:val="none"/>
        </w:rPr>
        <w:fldChar w:fldCharType="separate"/>
      </w:r>
      <w:r>
        <w:rPr>
          <w:sz w:val="28"/>
          <w:szCs w:val="21"/>
          <w:highlight w:val="none"/>
        </w:rPr>
        <w:t>38</w:t>
      </w:r>
      <w:r>
        <w:rPr>
          <w:sz w:val="28"/>
          <w:szCs w:val="21"/>
          <w:highlight w:val="none"/>
        </w:rPr>
        <w:fldChar w:fldCharType="end"/>
      </w:r>
      <w:r>
        <w:rPr>
          <w:rFonts w:hint="eastAsia" w:hAnsi="宋体" w:cs="宋体"/>
          <w:bCs/>
          <w:color w:val="auto"/>
          <w:sz w:val="28"/>
          <w:szCs w:val="32"/>
          <w:highlight w:val="none"/>
        </w:rPr>
        <w:fldChar w:fldCharType="end"/>
      </w:r>
    </w:p>
    <w:p w14:paraId="0F2A7F9E">
      <w:pPr>
        <w:pStyle w:val="16"/>
        <w:tabs>
          <w:tab w:val="right" w:leader="dot" w:pos="8787"/>
        </w:tabs>
        <w:rPr>
          <w:sz w:val="28"/>
          <w:szCs w:val="21"/>
          <w:highlight w:val="none"/>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_Toc16389 </w:instrText>
      </w:r>
      <w:r>
        <w:rPr>
          <w:rFonts w:hint="eastAsia" w:hAnsi="宋体" w:cs="宋体"/>
          <w:bCs/>
          <w:sz w:val="28"/>
          <w:szCs w:val="32"/>
          <w:highlight w:val="none"/>
        </w:rPr>
        <w:fldChar w:fldCharType="separate"/>
      </w:r>
      <w:r>
        <w:rPr>
          <w:rFonts w:hint="eastAsia" w:ascii="宋体" w:eastAsia="宋体" w:cs="宋体"/>
          <w:sz w:val="28"/>
          <w:szCs w:val="22"/>
          <w:highlight w:val="none"/>
        </w:rPr>
        <w:t>第六章  竞争性磋商响应文件格式</w:t>
      </w:r>
      <w:r>
        <w:rPr>
          <w:sz w:val="28"/>
          <w:szCs w:val="21"/>
          <w:highlight w:val="none"/>
        </w:rPr>
        <w:tab/>
      </w:r>
      <w:r>
        <w:rPr>
          <w:sz w:val="28"/>
          <w:szCs w:val="21"/>
          <w:highlight w:val="none"/>
        </w:rPr>
        <w:fldChar w:fldCharType="begin"/>
      </w:r>
      <w:r>
        <w:rPr>
          <w:sz w:val="28"/>
          <w:szCs w:val="21"/>
          <w:highlight w:val="none"/>
        </w:rPr>
        <w:instrText xml:space="preserve"> PAGEREF _Toc16389 \h </w:instrText>
      </w:r>
      <w:r>
        <w:rPr>
          <w:sz w:val="28"/>
          <w:szCs w:val="21"/>
          <w:highlight w:val="none"/>
        </w:rPr>
        <w:fldChar w:fldCharType="separate"/>
      </w:r>
      <w:r>
        <w:rPr>
          <w:sz w:val="28"/>
          <w:szCs w:val="21"/>
          <w:highlight w:val="none"/>
        </w:rPr>
        <w:t>39</w:t>
      </w:r>
      <w:r>
        <w:rPr>
          <w:sz w:val="28"/>
          <w:szCs w:val="21"/>
          <w:highlight w:val="none"/>
        </w:rPr>
        <w:fldChar w:fldCharType="end"/>
      </w:r>
      <w:r>
        <w:rPr>
          <w:rFonts w:hint="eastAsia" w:hAnsi="宋体" w:cs="宋体"/>
          <w:bCs/>
          <w:color w:val="auto"/>
          <w:sz w:val="28"/>
          <w:szCs w:val="32"/>
          <w:highlight w:val="none"/>
        </w:rPr>
        <w:fldChar w:fldCharType="end"/>
      </w:r>
    </w:p>
    <w:p w14:paraId="1C3A9A11">
      <w:pPr>
        <w:pStyle w:val="16"/>
        <w:tabs>
          <w:tab w:val="right" w:leader="dot" w:pos="8302"/>
        </w:tabs>
        <w:spacing w:line="360" w:lineRule="auto"/>
        <w:rPr>
          <w:rFonts w:hAnsi="宋体" w:cs="宋体"/>
          <w:bCs/>
          <w:color w:val="auto"/>
          <w:sz w:val="36"/>
          <w:szCs w:val="36"/>
          <w:highlight w:val="none"/>
        </w:rPr>
      </w:pPr>
      <w:r>
        <w:rPr>
          <w:rFonts w:hint="eastAsia" w:hAnsi="宋体" w:cs="宋体"/>
          <w:bCs/>
          <w:color w:val="auto"/>
          <w:sz w:val="28"/>
          <w:szCs w:val="32"/>
          <w:highlight w:val="none"/>
        </w:rPr>
        <w:fldChar w:fldCharType="end"/>
      </w:r>
    </w:p>
    <w:p w14:paraId="20178623">
      <w:pPr>
        <w:pStyle w:val="2"/>
        <w:spacing w:beforeLines="100"/>
        <w:jc w:val="center"/>
        <w:rPr>
          <w:rFonts w:ascii="宋体" w:eastAsia="宋体" w:cs="宋体"/>
          <w:bCs/>
          <w:color w:val="auto"/>
          <w:sz w:val="36"/>
          <w:szCs w:val="36"/>
          <w:highlight w:val="none"/>
        </w:rPr>
        <w:sectPr>
          <w:footerReference r:id="rId9" w:type="first"/>
          <w:footerReference r:id="rId8" w:type="default"/>
          <w:pgSz w:w="11906" w:h="16838"/>
          <w:pgMar w:top="1418" w:right="1418" w:bottom="1418" w:left="1701" w:header="851" w:footer="992" w:gutter="0"/>
          <w:pgNumType w:start="1"/>
          <w:cols w:space="720" w:num="1"/>
          <w:titlePg/>
          <w:docGrid w:type="lines" w:linePitch="312" w:charSpace="0"/>
        </w:sectPr>
      </w:pPr>
      <w:bookmarkStart w:id="289" w:name="_GoBack"/>
      <w:bookmarkEnd w:id="289"/>
    </w:p>
    <w:p w14:paraId="0815BC85">
      <w:pPr>
        <w:pStyle w:val="2"/>
        <w:keepNext w:val="0"/>
        <w:keepLines/>
        <w:pageBreakBefore/>
        <w:spacing w:beforeLines="50" w:afterLines="50" w:line="360" w:lineRule="auto"/>
        <w:jc w:val="center"/>
        <w:rPr>
          <w:rFonts w:ascii="宋体" w:eastAsia="宋体" w:cs="宋体"/>
          <w:bCs/>
          <w:color w:val="auto"/>
          <w:sz w:val="36"/>
          <w:szCs w:val="36"/>
          <w:highlight w:val="none"/>
        </w:rPr>
      </w:pPr>
      <w:bookmarkStart w:id="12" w:name="_Toc423973071"/>
      <w:bookmarkStart w:id="13" w:name="_Toc25782"/>
      <w:bookmarkStart w:id="14" w:name="_Toc2705"/>
      <w:bookmarkStart w:id="15" w:name="_Toc19312"/>
      <w:r>
        <w:rPr>
          <w:rFonts w:hint="eastAsia" w:ascii="宋体" w:eastAsia="宋体" w:cs="宋体"/>
          <w:bCs/>
          <w:color w:val="auto"/>
          <w:sz w:val="36"/>
          <w:szCs w:val="36"/>
          <w:highlight w:val="none"/>
        </w:rPr>
        <w:t xml:space="preserve">第一章  </w:t>
      </w:r>
      <w:bookmarkEnd w:id="1"/>
      <w:bookmarkEnd w:id="2"/>
      <w:bookmarkEnd w:id="3"/>
      <w:bookmarkEnd w:id="4"/>
      <w:bookmarkEnd w:id="5"/>
      <w:bookmarkEnd w:id="6"/>
      <w:bookmarkEnd w:id="7"/>
      <w:r>
        <w:rPr>
          <w:rFonts w:hint="eastAsia" w:ascii="宋体" w:eastAsia="宋体" w:cs="宋体"/>
          <w:bCs/>
          <w:color w:val="auto"/>
          <w:sz w:val="36"/>
          <w:szCs w:val="36"/>
          <w:highlight w:val="none"/>
        </w:rPr>
        <w:t>竞争性磋商公告</w:t>
      </w:r>
      <w:bookmarkEnd w:id="8"/>
      <w:bookmarkEnd w:id="12"/>
      <w:bookmarkEnd w:id="13"/>
      <w:bookmarkEnd w:id="14"/>
      <w:bookmarkEnd w:id="15"/>
    </w:p>
    <w:p w14:paraId="49BA13A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Fonts w:hint="eastAsia" w:ascii="宋体" w:hAnsi="宋体" w:eastAsia="宋体" w:cs="宋体"/>
          <w:b w:val="0"/>
          <w:bCs w:val="0"/>
          <w:sz w:val="24"/>
          <w:szCs w:val="24"/>
        </w:rPr>
      </w:pPr>
      <w:bookmarkStart w:id="16" w:name="_Toc2929"/>
      <w:bookmarkStart w:id="17" w:name="_Toc389582035"/>
      <w:bookmarkStart w:id="18" w:name="_Toc29249"/>
      <w:bookmarkStart w:id="19" w:name="_Toc423973072"/>
      <w:r>
        <w:rPr>
          <w:rStyle w:val="25"/>
          <w:rFonts w:hint="eastAsia" w:ascii="宋体" w:hAnsi="宋体" w:eastAsia="宋体" w:cs="宋体"/>
          <w:b/>
          <w:bCs/>
          <w:i w:val="0"/>
          <w:iCs w:val="0"/>
          <w:caps w:val="0"/>
          <w:color w:val="333333"/>
          <w:spacing w:val="0"/>
          <w:sz w:val="24"/>
          <w:szCs w:val="24"/>
          <w:shd w:val="clear" w:fill="FFFFFF"/>
          <w:vertAlign w:val="baseline"/>
        </w:rPr>
        <w:t>项目概况</w:t>
      </w:r>
    </w:p>
    <w:p w14:paraId="7641353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西安温度暖益绵长互联网科技助老公益活动采购项目的潜在供应商应在陕西省西安市经济技术开发区未央路171-1号银池道拉斯财富中心21楼03室获取采购文件，并于2026年07月06日 09时00分（北京时间）前提交响应文件。</w:t>
      </w:r>
    </w:p>
    <w:p w14:paraId="33D1B41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Style w:val="25"/>
          <w:rFonts w:hint="eastAsia" w:ascii="宋体" w:hAnsi="宋体" w:eastAsia="宋体" w:cs="宋体"/>
          <w:b/>
          <w:bCs/>
          <w:i w:val="0"/>
          <w:iCs w:val="0"/>
          <w:caps w:val="0"/>
          <w:color w:val="333333"/>
          <w:spacing w:val="0"/>
          <w:sz w:val="24"/>
          <w:szCs w:val="24"/>
          <w:shd w:val="clear" w:fill="FFFFFF"/>
          <w:vertAlign w:val="baseline"/>
        </w:rPr>
      </w:pPr>
      <w:r>
        <w:rPr>
          <w:rStyle w:val="25"/>
          <w:rFonts w:hint="eastAsia" w:ascii="宋体" w:hAnsi="宋体" w:eastAsia="宋体" w:cs="宋体"/>
          <w:b/>
          <w:bCs/>
          <w:i w:val="0"/>
          <w:iCs w:val="0"/>
          <w:caps w:val="0"/>
          <w:color w:val="333333"/>
          <w:spacing w:val="0"/>
          <w:sz w:val="24"/>
          <w:szCs w:val="24"/>
          <w:shd w:val="clear" w:fill="FFFFFF"/>
          <w:vertAlign w:val="baseline"/>
        </w:rPr>
        <w:t>一、项目基本情况</w:t>
      </w:r>
    </w:p>
    <w:p w14:paraId="52D2EFD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项目编号：SXZCZB2026-ZCCS-0635</w:t>
      </w:r>
    </w:p>
    <w:p w14:paraId="5237BBD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项目名称：西安温度暖益绵长互联网科技助老公益活动</w:t>
      </w:r>
    </w:p>
    <w:p w14:paraId="0A65670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采购方式：竞争性磋商</w:t>
      </w:r>
    </w:p>
    <w:p w14:paraId="4115C0F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预算金额：230,000.00元</w:t>
      </w:r>
    </w:p>
    <w:p w14:paraId="3946E1A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采购需求：</w:t>
      </w:r>
    </w:p>
    <w:p w14:paraId="7124111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合同包1(“西安温度 暖‘益’绵长” 互联网+科技助老公益活动):</w:t>
      </w:r>
    </w:p>
    <w:p w14:paraId="5CF01FC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合同包预算金额：230,000.00元</w:t>
      </w:r>
    </w:p>
    <w:p w14:paraId="1D93A4A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合同包最高限价：230,000.00元</w:t>
      </w:r>
    </w:p>
    <w:tbl>
      <w:tblPr>
        <w:tblStyle w:val="2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42"/>
        <w:gridCol w:w="2359"/>
        <w:gridCol w:w="2638"/>
        <w:gridCol w:w="838"/>
        <w:gridCol w:w="1617"/>
        <w:gridCol w:w="1440"/>
      </w:tblGrid>
      <w:tr w14:paraId="026D8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28" w:hRule="atLeast"/>
          <w:tblHeader/>
        </w:trPr>
        <w:tc>
          <w:tcPr>
            <w:tcW w:w="36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69DD428">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126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BB718D">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品目名称</w:t>
            </w:r>
          </w:p>
        </w:tc>
        <w:tc>
          <w:tcPr>
            <w:tcW w:w="141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4B06C3">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采购标的</w:t>
            </w:r>
          </w:p>
        </w:tc>
        <w:tc>
          <w:tcPr>
            <w:tcW w:w="46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B269B7">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数量（单位）</w:t>
            </w:r>
          </w:p>
        </w:tc>
        <w:tc>
          <w:tcPr>
            <w:tcW w:w="87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B9688A">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技术规格、参数及要求</w:t>
            </w:r>
          </w:p>
        </w:tc>
        <w:tc>
          <w:tcPr>
            <w:tcW w:w="61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144459">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r>
      <w:tr w14:paraId="2F113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36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7957E2">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sz w:val="24"/>
                <w:szCs w:val="24"/>
              </w:rPr>
            </w:pPr>
            <w:r>
              <w:rPr>
                <w:rFonts w:hint="eastAsia" w:ascii="宋体" w:hAnsi="宋体" w:eastAsia="宋体" w:cs="宋体"/>
                <w:kern w:val="0"/>
                <w:sz w:val="24"/>
                <w:szCs w:val="24"/>
                <w:lang w:val="en-US" w:eastAsia="zh-CN" w:bidi="ar"/>
              </w:rPr>
              <w:t>1-1</w:t>
            </w:r>
          </w:p>
        </w:tc>
        <w:tc>
          <w:tcPr>
            <w:tcW w:w="126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54D760">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sz w:val="24"/>
                <w:szCs w:val="24"/>
              </w:rPr>
            </w:pPr>
            <w:r>
              <w:rPr>
                <w:rFonts w:hint="eastAsia" w:ascii="宋体" w:hAnsi="宋体" w:eastAsia="宋体" w:cs="宋体"/>
                <w:kern w:val="0"/>
                <w:sz w:val="24"/>
                <w:szCs w:val="24"/>
                <w:lang w:val="en-US" w:eastAsia="zh-CN" w:bidi="ar"/>
              </w:rPr>
              <w:t>公共公益宣传服务</w:t>
            </w:r>
          </w:p>
        </w:tc>
        <w:tc>
          <w:tcPr>
            <w:tcW w:w="141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73E9A1">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sz w:val="24"/>
                <w:szCs w:val="24"/>
              </w:rPr>
            </w:pPr>
            <w:r>
              <w:rPr>
                <w:rFonts w:hint="eastAsia" w:ascii="宋体" w:hAnsi="宋体" w:eastAsia="宋体" w:cs="宋体"/>
                <w:kern w:val="0"/>
                <w:sz w:val="24"/>
                <w:szCs w:val="24"/>
                <w:lang w:val="en-US" w:eastAsia="zh-CN" w:bidi="ar"/>
              </w:rPr>
              <w:t>西安温度暖益绵长 互联网+科技助老公益活动</w:t>
            </w:r>
          </w:p>
        </w:tc>
        <w:tc>
          <w:tcPr>
            <w:tcW w:w="46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E2023A">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sz w:val="24"/>
                <w:szCs w:val="24"/>
              </w:rPr>
            </w:pPr>
            <w:r>
              <w:rPr>
                <w:rFonts w:hint="eastAsia" w:ascii="宋体" w:hAnsi="宋体" w:eastAsia="宋体" w:cs="宋体"/>
                <w:kern w:val="0"/>
                <w:sz w:val="24"/>
                <w:szCs w:val="24"/>
                <w:lang w:val="en-US" w:eastAsia="zh-CN" w:bidi="ar"/>
              </w:rPr>
              <w:t>1(项)</w:t>
            </w:r>
          </w:p>
        </w:tc>
        <w:tc>
          <w:tcPr>
            <w:tcW w:w="87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8384FA">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61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20818E1">
            <w:pPr>
              <w:keepNext w:val="0"/>
              <w:keepLines w:val="0"/>
              <w:widowControl/>
              <w:suppressLineNumbers w:val="0"/>
              <w:wordWrap/>
              <w:spacing w:before="0" w:beforeAutospacing="0" w:after="0" w:afterAutospacing="0" w:line="360" w:lineRule="atLeast"/>
              <w:ind w:left="0" w:right="0"/>
              <w:jc w:val="right"/>
              <w:textAlignment w:val="center"/>
              <w:outlineLvl w:val="9"/>
              <w:rPr>
                <w:rFonts w:hint="eastAsia" w:ascii="宋体" w:hAnsi="宋体" w:eastAsia="宋体" w:cs="宋体"/>
                <w:sz w:val="24"/>
                <w:szCs w:val="24"/>
              </w:rPr>
            </w:pPr>
            <w:r>
              <w:rPr>
                <w:rFonts w:hint="eastAsia" w:ascii="宋体" w:hAnsi="宋体" w:eastAsia="宋体" w:cs="宋体"/>
                <w:kern w:val="0"/>
                <w:sz w:val="24"/>
                <w:szCs w:val="24"/>
                <w:vertAlign w:val="baseline"/>
                <w:lang w:val="en-US" w:eastAsia="zh-CN" w:bidi="ar"/>
              </w:rPr>
              <w:t>230,000.00</w:t>
            </w:r>
          </w:p>
        </w:tc>
      </w:tr>
    </w:tbl>
    <w:p w14:paraId="754ECBE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本合同包不接受联合体投标</w:t>
      </w:r>
    </w:p>
    <w:p w14:paraId="4C0804F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合同履行期限：详见采购文件</w:t>
      </w:r>
    </w:p>
    <w:p w14:paraId="6326492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Style w:val="25"/>
          <w:rFonts w:hint="eastAsia" w:ascii="宋体" w:hAnsi="宋体" w:eastAsia="宋体" w:cs="宋体"/>
          <w:b/>
          <w:bCs/>
          <w:i w:val="0"/>
          <w:iCs w:val="0"/>
          <w:caps w:val="0"/>
          <w:color w:val="333333"/>
          <w:spacing w:val="0"/>
          <w:sz w:val="24"/>
          <w:szCs w:val="24"/>
          <w:shd w:val="clear" w:fill="FFFFFF"/>
          <w:vertAlign w:val="baseline"/>
        </w:rPr>
      </w:pPr>
      <w:r>
        <w:rPr>
          <w:rStyle w:val="25"/>
          <w:rFonts w:hint="eastAsia" w:ascii="宋体" w:hAnsi="宋体" w:eastAsia="宋体" w:cs="宋体"/>
          <w:b/>
          <w:bCs/>
          <w:i w:val="0"/>
          <w:iCs w:val="0"/>
          <w:caps w:val="0"/>
          <w:color w:val="333333"/>
          <w:spacing w:val="0"/>
          <w:sz w:val="24"/>
          <w:szCs w:val="24"/>
          <w:shd w:val="clear" w:fill="FFFFFF"/>
          <w:vertAlign w:val="baseline"/>
        </w:rPr>
        <w:t>二、申请人的资格要求：</w:t>
      </w:r>
    </w:p>
    <w:p w14:paraId="69581CB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1.满足《中华人民共和国政府采购法》第二十二条规定;</w:t>
      </w:r>
    </w:p>
    <w:p w14:paraId="3B4A96A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2.落实政府采购政策需满足的资格要求：</w:t>
      </w:r>
    </w:p>
    <w:p w14:paraId="42E63B3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合同包1(“西安温度 暖‘益’绵长” 互联网+科技助老公益活动)落实政府采购政策需满足的资格要求如下:</w:t>
      </w:r>
    </w:p>
    <w:p w14:paraId="4C41089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（1）《政府采购促进中小企业发展管理办法》（财库〔2020〕46号）；</w:t>
      </w:r>
    </w:p>
    <w:p w14:paraId="3141EEC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（2）《财政部司法部关于政府采购支持监狱企业发展有关问题的通知》（财库〔2014〕68号）；</w:t>
      </w:r>
    </w:p>
    <w:p w14:paraId="0E91494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（3）《关于促进残疾人就业政府采购政策的通知》（财库〔2017〕141号）；</w:t>
      </w:r>
    </w:p>
    <w:p w14:paraId="297220D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（4）《节能产品政府采购实施意见》（财库〔2004〕185号）；</w:t>
      </w:r>
    </w:p>
    <w:p w14:paraId="36011B0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（5）《环境标志产品政府采购实施的意见》（财库〔2006〕90号）；</w:t>
      </w:r>
    </w:p>
    <w:p w14:paraId="5945F66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（6）《国务院办公厅关于建立政府强制采购节能产品制度的通知》（国办发〔2007〕51号）；</w:t>
      </w:r>
    </w:p>
    <w:p w14:paraId="1544691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（7）财政部发展改革委生态环境部市场监管总局关于调整优化节能产品、环境标志产品政府采购执行机制的通知（财库〔2019〕9号）；</w:t>
      </w:r>
    </w:p>
    <w:p w14:paraId="4068F21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（8）《关于印发环境标志产品政府采购品目清单的通知》（财库〔2019〕18号）；</w:t>
      </w:r>
    </w:p>
    <w:p w14:paraId="2D64CBE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（9）《关于印发节能产品政府采购品目清单的通知》（财库〔2019〕19号）；</w:t>
      </w:r>
    </w:p>
    <w:p w14:paraId="7A508E9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（10）《关于发布参与实施政府采购节能产品、环境标志产品认证机构名录的公告》2019年第16号；</w:t>
      </w:r>
    </w:p>
    <w:p w14:paraId="67571CC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（11）《关于运用政府采购政策支持乡村产业振兴的通知》（财库〔2021〕19号）；</w:t>
      </w:r>
    </w:p>
    <w:p w14:paraId="3E79C31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（12）陕西省财政厅关于印发《陕西省中小企业政府采购信用融资办法》（陕财办采〔2018〕23号），相关政策、业务流程、办理平台（详见http://www.ccgp-shaanxi.gov.cn/zcdservice/zcd/shanxi/）；</w:t>
      </w:r>
    </w:p>
    <w:p w14:paraId="790CBEA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（13）《陕西省财政厅关于加快推进我省中小企业政府采购信用融资工作的通知》（陕财办采〔2020〕15号）；</w:t>
      </w:r>
    </w:p>
    <w:p w14:paraId="0C52F10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（14）《关于进一步加强政府绿色采购有关问题的通知》（陕财办采〔2021〕29号）；</w:t>
      </w:r>
    </w:p>
    <w:p w14:paraId="1894BFF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（15）《陕西省财政厅陕西省工业和信息化厅关于运用政府采购政策支持首台（套）及创新产品有关事项的通知》（陕财办采〔2021〕17号）；</w:t>
      </w:r>
    </w:p>
    <w:p w14:paraId="3DBB8A1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（16）《关于进一步加大政府采购支持中小企业力度的通知》（财库〔2022〕19号）、《关于落实政府采购支持中小企业政策有关事项的通知》（陕财办采函〔2022〕10号）；</w:t>
      </w:r>
    </w:p>
    <w:p w14:paraId="7F228FA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（17）其他需要落实的政府采购政策。</w:t>
      </w:r>
    </w:p>
    <w:p w14:paraId="0E8CA17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3.本项目的特定资格要求：</w:t>
      </w:r>
    </w:p>
    <w:p w14:paraId="34B82FE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合同包1(“西安温度 暖‘益’绵长” 互联网+科技助老公益活动)特定资格要求如下:</w:t>
      </w:r>
    </w:p>
    <w:p w14:paraId="59EDE17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(1)提供合格有效的法人或者其他组织的营业执照等证明文件，自然人的身份证明；</w:t>
      </w:r>
    </w:p>
    <w:p w14:paraId="654EA2E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(2)授权代表参加磋商的，提供法定代表人授权书（附法定代表人、被授权人身份证复印件），授权代表提供在投标单位缴纳的社保记录（近6个月内任意一个月）；法定代表人直接参加磋商的，须提供法定代表人身份证明及身份证复印件）；</w:t>
      </w:r>
    </w:p>
    <w:p w14:paraId="7C66926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(3)提供递交磋商响应文件截止之日前两年内（2024年度和2025年度）任意一个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6ECAC95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(4)提供磋商响应文件截止日前近六个月内任意一个月的纳税证明或完税证明（任意税种），依法免税的单位应提供相关证明材料；</w:t>
      </w:r>
    </w:p>
    <w:p w14:paraId="0DC4453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(5)提供磋商响应文件截止日前近六个月内任意一个月的社会保障资金缴存单据或社保机构开具的社会保险参保缴费情况证明，依法不需要缴纳社会保障资金的单位应提供相关证明材料；</w:t>
      </w:r>
    </w:p>
    <w:p w14:paraId="70A4634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205E2BA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(7)参加政府采购活动前3年内，在经营活动中没有重大违法记录的书面声明；</w:t>
      </w:r>
    </w:p>
    <w:p w14:paraId="3BEB921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(8)提供具有履行合同所必需的设备和专业技术能力的承诺函；</w:t>
      </w:r>
    </w:p>
    <w:p w14:paraId="0BA9C7E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(9)提供直接控股和管理关系清单。若与其他供应商存在单位负责人为同一人或者存在直接控股、管理关系的，则投标无效；</w:t>
      </w:r>
    </w:p>
    <w:p w14:paraId="69DFB2C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(10)本项目不接受联合体磋商（需提供承诺书）。</w:t>
      </w:r>
    </w:p>
    <w:p w14:paraId="44B64A9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Style w:val="25"/>
          <w:rFonts w:hint="eastAsia" w:ascii="宋体" w:hAnsi="宋体" w:eastAsia="宋体" w:cs="宋体"/>
          <w:b/>
          <w:bCs/>
          <w:i w:val="0"/>
          <w:iCs w:val="0"/>
          <w:caps w:val="0"/>
          <w:color w:val="333333"/>
          <w:spacing w:val="0"/>
          <w:sz w:val="24"/>
          <w:szCs w:val="24"/>
          <w:shd w:val="clear" w:fill="FFFFFF"/>
          <w:vertAlign w:val="baseline"/>
        </w:rPr>
      </w:pPr>
      <w:r>
        <w:rPr>
          <w:rStyle w:val="25"/>
          <w:rFonts w:hint="eastAsia" w:ascii="宋体" w:hAnsi="宋体" w:eastAsia="宋体" w:cs="宋体"/>
          <w:b/>
          <w:bCs/>
          <w:i w:val="0"/>
          <w:iCs w:val="0"/>
          <w:caps w:val="0"/>
          <w:color w:val="333333"/>
          <w:spacing w:val="0"/>
          <w:sz w:val="24"/>
          <w:szCs w:val="24"/>
          <w:shd w:val="clear" w:fill="FFFFFF"/>
          <w:vertAlign w:val="baseline"/>
        </w:rPr>
        <w:t>三、获取采购文件</w:t>
      </w:r>
    </w:p>
    <w:p w14:paraId="5C7D5E2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时间：2026年06月25日至2026年07月01日，每天上午09:00:00至12:00:00，下午14:00:00至17:00:00（北京时间）</w:t>
      </w:r>
    </w:p>
    <w:p w14:paraId="6386406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途径：陕西省西安市经济技术开发区未央路171-1号银池道拉斯财富中心21楼03室</w:t>
      </w:r>
    </w:p>
    <w:p w14:paraId="53E4AAE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方式：现场获取</w:t>
      </w:r>
    </w:p>
    <w:p w14:paraId="62B013C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售价：0元</w:t>
      </w:r>
    </w:p>
    <w:p w14:paraId="34D32C8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Style w:val="25"/>
          <w:rFonts w:hint="eastAsia" w:ascii="宋体" w:hAnsi="宋体" w:eastAsia="宋体" w:cs="宋体"/>
          <w:b/>
          <w:bCs/>
          <w:i w:val="0"/>
          <w:iCs w:val="0"/>
          <w:caps w:val="0"/>
          <w:color w:val="333333"/>
          <w:spacing w:val="0"/>
          <w:sz w:val="24"/>
          <w:szCs w:val="24"/>
          <w:shd w:val="clear" w:fill="FFFFFF"/>
          <w:vertAlign w:val="baseline"/>
        </w:rPr>
      </w:pPr>
      <w:r>
        <w:rPr>
          <w:rStyle w:val="25"/>
          <w:rFonts w:hint="eastAsia" w:ascii="宋体" w:hAnsi="宋体" w:eastAsia="宋体" w:cs="宋体"/>
          <w:b/>
          <w:bCs/>
          <w:i w:val="0"/>
          <w:iCs w:val="0"/>
          <w:caps w:val="0"/>
          <w:color w:val="333333"/>
          <w:spacing w:val="0"/>
          <w:sz w:val="24"/>
          <w:szCs w:val="24"/>
          <w:shd w:val="clear" w:fill="FFFFFF"/>
          <w:vertAlign w:val="baseline"/>
        </w:rPr>
        <w:t>四、响应文件提交</w:t>
      </w:r>
    </w:p>
    <w:p w14:paraId="55FFC88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截止时间：2026年07月06日 09时00分00秒（北京时间）</w:t>
      </w:r>
    </w:p>
    <w:p w14:paraId="6AA07A5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地点：陕西省西安市经济技术开发区未央路171-1号银池道拉斯财富中心21楼03室</w:t>
      </w:r>
    </w:p>
    <w:p w14:paraId="7E9ABCE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Style w:val="25"/>
          <w:rFonts w:hint="eastAsia" w:ascii="宋体" w:hAnsi="宋体" w:eastAsia="宋体" w:cs="宋体"/>
          <w:b/>
          <w:bCs/>
          <w:i w:val="0"/>
          <w:iCs w:val="0"/>
          <w:caps w:val="0"/>
          <w:color w:val="333333"/>
          <w:spacing w:val="0"/>
          <w:sz w:val="24"/>
          <w:szCs w:val="24"/>
          <w:shd w:val="clear" w:fill="FFFFFF"/>
          <w:vertAlign w:val="baseline"/>
        </w:rPr>
      </w:pPr>
      <w:r>
        <w:rPr>
          <w:rStyle w:val="25"/>
          <w:rFonts w:hint="eastAsia" w:ascii="宋体" w:hAnsi="宋体" w:eastAsia="宋体" w:cs="宋体"/>
          <w:b/>
          <w:bCs/>
          <w:i w:val="0"/>
          <w:iCs w:val="0"/>
          <w:caps w:val="0"/>
          <w:color w:val="333333"/>
          <w:spacing w:val="0"/>
          <w:sz w:val="24"/>
          <w:szCs w:val="24"/>
          <w:shd w:val="clear" w:fill="FFFFFF"/>
          <w:vertAlign w:val="baseline"/>
        </w:rPr>
        <w:t>五、开启</w:t>
      </w:r>
    </w:p>
    <w:p w14:paraId="34F067C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时间：2026年07月06日 09时00分00秒（北京时间）</w:t>
      </w:r>
    </w:p>
    <w:p w14:paraId="2C25441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地点：陕西省西安市经济技术开发区未央路171-1号银池道拉斯财富中心21楼03室</w:t>
      </w:r>
    </w:p>
    <w:p w14:paraId="1437F35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Style w:val="25"/>
          <w:rFonts w:hint="eastAsia" w:ascii="宋体" w:hAnsi="宋体" w:eastAsia="宋体" w:cs="宋体"/>
          <w:b/>
          <w:bCs/>
          <w:i w:val="0"/>
          <w:iCs w:val="0"/>
          <w:caps w:val="0"/>
          <w:color w:val="333333"/>
          <w:spacing w:val="0"/>
          <w:sz w:val="24"/>
          <w:szCs w:val="24"/>
          <w:shd w:val="clear" w:fill="FFFFFF"/>
          <w:vertAlign w:val="baseline"/>
        </w:rPr>
      </w:pPr>
      <w:r>
        <w:rPr>
          <w:rStyle w:val="25"/>
          <w:rFonts w:hint="eastAsia" w:ascii="宋体" w:hAnsi="宋体" w:eastAsia="宋体" w:cs="宋体"/>
          <w:b/>
          <w:bCs/>
          <w:i w:val="0"/>
          <w:iCs w:val="0"/>
          <w:caps w:val="0"/>
          <w:color w:val="333333"/>
          <w:spacing w:val="0"/>
          <w:sz w:val="24"/>
          <w:szCs w:val="24"/>
          <w:shd w:val="clear" w:fill="FFFFFF"/>
          <w:vertAlign w:val="baseline"/>
        </w:rPr>
        <w:t>六、公告期限</w:t>
      </w:r>
    </w:p>
    <w:p w14:paraId="6A84C45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自本公告发布之日起3个工作日。</w:t>
      </w:r>
    </w:p>
    <w:p w14:paraId="0C373BB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Style w:val="25"/>
          <w:rFonts w:hint="eastAsia" w:ascii="宋体" w:hAnsi="宋体" w:eastAsia="宋体" w:cs="宋体"/>
          <w:b/>
          <w:bCs/>
          <w:i w:val="0"/>
          <w:iCs w:val="0"/>
          <w:caps w:val="0"/>
          <w:color w:val="333333"/>
          <w:spacing w:val="0"/>
          <w:sz w:val="24"/>
          <w:szCs w:val="24"/>
          <w:shd w:val="clear" w:fill="FFFFFF"/>
          <w:vertAlign w:val="baseline"/>
        </w:rPr>
      </w:pPr>
      <w:r>
        <w:rPr>
          <w:rStyle w:val="25"/>
          <w:rFonts w:hint="eastAsia" w:ascii="宋体" w:hAnsi="宋体" w:eastAsia="宋体" w:cs="宋体"/>
          <w:b/>
          <w:bCs/>
          <w:i w:val="0"/>
          <w:iCs w:val="0"/>
          <w:caps w:val="0"/>
          <w:color w:val="333333"/>
          <w:spacing w:val="0"/>
          <w:sz w:val="24"/>
          <w:szCs w:val="24"/>
          <w:shd w:val="clear" w:fill="FFFFFF"/>
          <w:vertAlign w:val="baseline"/>
        </w:rPr>
        <w:t>七、其他补充事宜</w:t>
      </w:r>
    </w:p>
    <w:p w14:paraId="4D97D95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（1）供应商领取采购文件时，请携带单位介绍信及经办人身份证原件及复印件加盖公章；</w:t>
      </w:r>
    </w:p>
    <w:p w14:paraId="699BB3D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（2）请供应商按照《陕西省财政厅关于政府采购供应商注册登记有关事项的通知》中的要求，通过陕西省政府采购网（http://www.ccgp-shaanxi.gov.cn/）注册登记加入陕西省政府采购供应商库；</w:t>
      </w:r>
    </w:p>
    <w:p w14:paraId="676132C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（3）本项目为非专门面向中小企业。</w:t>
      </w:r>
    </w:p>
    <w:p w14:paraId="255397A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Style w:val="25"/>
          <w:rFonts w:hint="eastAsia" w:ascii="宋体" w:hAnsi="宋体" w:eastAsia="宋体" w:cs="宋体"/>
          <w:b/>
          <w:bCs/>
          <w:i w:val="0"/>
          <w:iCs w:val="0"/>
          <w:caps w:val="0"/>
          <w:color w:val="333333"/>
          <w:spacing w:val="0"/>
          <w:sz w:val="24"/>
          <w:szCs w:val="24"/>
          <w:shd w:val="clear" w:fill="FFFFFF"/>
          <w:vertAlign w:val="baseline"/>
        </w:rPr>
      </w:pPr>
      <w:r>
        <w:rPr>
          <w:rStyle w:val="25"/>
          <w:rFonts w:hint="eastAsia" w:ascii="宋体" w:hAnsi="宋体" w:eastAsia="宋体" w:cs="宋体"/>
          <w:b/>
          <w:bCs/>
          <w:i w:val="0"/>
          <w:iCs w:val="0"/>
          <w:caps w:val="0"/>
          <w:color w:val="333333"/>
          <w:spacing w:val="0"/>
          <w:sz w:val="24"/>
          <w:szCs w:val="24"/>
          <w:shd w:val="clear" w:fill="FFFFFF"/>
          <w:vertAlign w:val="baseline"/>
        </w:rPr>
        <w:t>八、对本次招标提出询问，请按以下方式联系。</w:t>
      </w:r>
    </w:p>
    <w:p w14:paraId="40F794D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1.采购人信息</w:t>
      </w:r>
    </w:p>
    <w:p w14:paraId="3F78A16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名称：中共西安市委网络安全和信息化委员会办公室</w:t>
      </w:r>
    </w:p>
    <w:p w14:paraId="0FAC271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地址：凤城八路99号</w:t>
      </w:r>
    </w:p>
    <w:p w14:paraId="387EAE5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联系方式：67092939</w:t>
      </w:r>
    </w:p>
    <w:p w14:paraId="0A458E7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2.采购代理机构信息</w:t>
      </w:r>
    </w:p>
    <w:p w14:paraId="70C8AA4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名称：陕西至诚项目管理集团有限公司</w:t>
      </w:r>
    </w:p>
    <w:p w14:paraId="007F6C6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地址：陕西省西安市经济技术开发区未央路171-1号银池道拉斯财富中心21楼</w:t>
      </w:r>
    </w:p>
    <w:p w14:paraId="27980AF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联系方式：029-88219779</w:t>
      </w:r>
    </w:p>
    <w:p w14:paraId="7721DF2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3.项目联系方式</w:t>
      </w:r>
    </w:p>
    <w:p w14:paraId="4E5204F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项目联系人：康乐、孙洋、常瑛</w:t>
      </w:r>
    </w:p>
    <w:p w14:paraId="0339559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电话：029-88219779</w:t>
      </w:r>
    </w:p>
    <w:p w14:paraId="35BC4DF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p>
    <w:p w14:paraId="19D0E66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right"/>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陕西至诚项目管理集团有限公司</w:t>
      </w:r>
    </w:p>
    <w:p w14:paraId="0BDE94C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right"/>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2026年06月24日</w:t>
      </w:r>
    </w:p>
    <w:p w14:paraId="3576629A">
      <w:pPr>
        <w:pStyle w:val="42"/>
        <w:keepNext w:val="0"/>
        <w:keepLines w:val="0"/>
        <w:pageBreakBefore w:val="0"/>
        <w:widowControl/>
        <w:kinsoku/>
        <w:wordWrap/>
        <w:overflowPunct/>
        <w:topLinePunct w:val="0"/>
        <w:autoSpaceDE/>
        <w:autoSpaceDN/>
        <w:bidi w:val="0"/>
        <w:adjustRightInd/>
        <w:snapToGrid/>
        <w:spacing w:line="360" w:lineRule="auto"/>
        <w:ind w:firstLine="400" w:firstLineChars="200"/>
        <w:jc w:val="center"/>
        <w:textAlignment w:val="auto"/>
        <w:rPr>
          <w:rFonts w:hAnsi="宋体" w:cs="宋体"/>
          <w:color w:val="auto"/>
          <w:highlight w:val="none"/>
        </w:rPr>
      </w:pPr>
      <w:r>
        <w:rPr>
          <w:rFonts w:hint="eastAsia" w:hAnsi="宋体" w:cs="宋体"/>
          <w:color w:val="auto"/>
          <w:highlight w:val="none"/>
        </w:rPr>
        <w:br w:type="page"/>
      </w:r>
    </w:p>
    <w:p w14:paraId="49014355">
      <w:pPr>
        <w:spacing w:line="348" w:lineRule="auto"/>
        <w:ind w:right="119"/>
        <w:jc w:val="center"/>
        <w:outlineLvl w:val="0"/>
        <w:rPr>
          <w:rFonts w:hAnsi="宋体" w:cs="宋体"/>
          <w:bCs/>
          <w:color w:val="auto"/>
          <w:sz w:val="36"/>
          <w:szCs w:val="36"/>
          <w:highlight w:val="none"/>
        </w:rPr>
      </w:pPr>
      <w:bookmarkStart w:id="20" w:name="_Toc14793"/>
      <w:bookmarkStart w:id="21" w:name="_Toc5958"/>
      <w:bookmarkStart w:id="22" w:name="_Toc3334"/>
      <w:r>
        <w:rPr>
          <w:rFonts w:hint="eastAsia" w:hAnsi="宋体" w:cs="宋体"/>
          <w:b/>
          <w:bCs/>
          <w:color w:val="auto"/>
          <w:kern w:val="2"/>
          <w:sz w:val="36"/>
          <w:szCs w:val="36"/>
          <w:highlight w:val="none"/>
        </w:rPr>
        <w:t xml:space="preserve">第二章  </w:t>
      </w:r>
      <w:bookmarkEnd w:id="16"/>
      <w:bookmarkEnd w:id="17"/>
      <w:bookmarkStart w:id="23" w:name="OLE_LINK3"/>
      <w:r>
        <w:rPr>
          <w:rFonts w:hint="eastAsia" w:hAnsi="宋体" w:cs="宋体"/>
          <w:b/>
          <w:bCs/>
          <w:color w:val="auto"/>
          <w:kern w:val="2"/>
          <w:sz w:val="36"/>
          <w:szCs w:val="36"/>
          <w:highlight w:val="none"/>
        </w:rPr>
        <w:t>供应商须知</w:t>
      </w:r>
      <w:bookmarkEnd w:id="18"/>
      <w:bookmarkEnd w:id="19"/>
      <w:bookmarkEnd w:id="20"/>
      <w:bookmarkEnd w:id="21"/>
      <w:bookmarkEnd w:id="22"/>
      <w:bookmarkEnd w:id="23"/>
    </w:p>
    <w:p w14:paraId="5D7227CB">
      <w:pPr>
        <w:spacing w:line="440" w:lineRule="exact"/>
        <w:jc w:val="center"/>
        <w:outlineLvl w:val="1"/>
        <w:rPr>
          <w:rFonts w:hAnsi="宋体" w:cs="宋体"/>
          <w:b/>
          <w:bCs/>
          <w:color w:val="auto"/>
          <w:sz w:val="32"/>
          <w:szCs w:val="32"/>
          <w:highlight w:val="none"/>
        </w:rPr>
      </w:pPr>
      <w:bookmarkStart w:id="24" w:name="_Toc4724"/>
      <w:bookmarkStart w:id="25" w:name="_Toc18299"/>
      <w:bookmarkStart w:id="26" w:name="_Toc23180"/>
      <w:bookmarkStart w:id="27" w:name="_Toc8846"/>
      <w:bookmarkStart w:id="28" w:name="_Toc16830"/>
      <w:r>
        <w:rPr>
          <w:rFonts w:hint="eastAsia" w:hAnsi="宋体" w:cs="宋体"/>
          <w:b/>
          <w:bCs/>
          <w:color w:val="auto"/>
          <w:sz w:val="32"/>
          <w:szCs w:val="32"/>
          <w:highlight w:val="none"/>
        </w:rPr>
        <w:t>供应商须知前附表</w:t>
      </w:r>
      <w:bookmarkEnd w:id="24"/>
      <w:bookmarkEnd w:id="25"/>
      <w:bookmarkEnd w:id="26"/>
      <w:bookmarkEnd w:id="27"/>
      <w:bookmarkEnd w:id="28"/>
    </w:p>
    <w:p w14:paraId="33883874">
      <w:pPr>
        <w:spacing w:line="440" w:lineRule="exact"/>
        <w:ind w:firstLine="480" w:firstLineChars="200"/>
        <w:rPr>
          <w:rFonts w:hAnsi="宋体" w:cs="宋体"/>
          <w:color w:val="auto"/>
          <w:szCs w:val="24"/>
          <w:highlight w:val="none"/>
        </w:rPr>
      </w:pPr>
      <w:r>
        <w:rPr>
          <w:rFonts w:hint="eastAsia" w:hAnsi="宋体" w:cs="宋体"/>
          <w:color w:val="auto"/>
          <w:szCs w:val="24"/>
          <w:highlight w:val="none"/>
        </w:rPr>
        <w:t>本表是对供应商须知的具体补充和修改，如有矛盾，应以本资料表为准。</w:t>
      </w:r>
    </w:p>
    <w:tbl>
      <w:tblPr>
        <w:tblStyle w:val="2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92"/>
        <w:gridCol w:w="1090"/>
        <w:gridCol w:w="7215"/>
      </w:tblGrid>
      <w:tr w14:paraId="3BC650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92" w:type="dxa"/>
          </w:tcPr>
          <w:p w14:paraId="40FEFDA0">
            <w:pPr>
              <w:spacing w:beforeLines="50" w:line="360" w:lineRule="auto"/>
              <w:jc w:val="center"/>
              <w:rPr>
                <w:rFonts w:hAnsi="宋体" w:cs="宋体"/>
                <w:b/>
                <w:color w:val="auto"/>
                <w:szCs w:val="24"/>
                <w:highlight w:val="none"/>
              </w:rPr>
            </w:pPr>
            <w:r>
              <w:rPr>
                <w:rFonts w:hint="eastAsia" w:hAnsi="宋体" w:cs="宋体"/>
                <w:b/>
                <w:color w:val="auto"/>
                <w:szCs w:val="24"/>
                <w:highlight w:val="none"/>
              </w:rPr>
              <w:t>序号</w:t>
            </w:r>
          </w:p>
        </w:tc>
        <w:tc>
          <w:tcPr>
            <w:tcW w:w="1090" w:type="dxa"/>
            <w:vAlign w:val="center"/>
          </w:tcPr>
          <w:p w14:paraId="7AF09C87">
            <w:pPr>
              <w:spacing w:beforeLines="50" w:line="360" w:lineRule="auto"/>
              <w:jc w:val="center"/>
              <w:rPr>
                <w:rFonts w:hAnsi="宋体" w:cs="宋体"/>
                <w:b/>
                <w:color w:val="auto"/>
                <w:szCs w:val="24"/>
                <w:highlight w:val="none"/>
              </w:rPr>
            </w:pPr>
            <w:r>
              <w:rPr>
                <w:rFonts w:hint="eastAsia" w:hAnsi="宋体" w:cs="宋体"/>
                <w:b/>
                <w:color w:val="auto"/>
                <w:szCs w:val="24"/>
                <w:highlight w:val="none"/>
              </w:rPr>
              <w:t>条款号</w:t>
            </w:r>
          </w:p>
        </w:tc>
        <w:tc>
          <w:tcPr>
            <w:tcW w:w="7215" w:type="dxa"/>
          </w:tcPr>
          <w:p w14:paraId="51865534">
            <w:pPr>
              <w:spacing w:beforeLines="50" w:line="360" w:lineRule="auto"/>
              <w:jc w:val="center"/>
              <w:rPr>
                <w:rFonts w:hAnsi="宋体" w:cs="宋体"/>
                <w:b/>
                <w:color w:val="auto"/>
                <w:szCs w:val="24"/>
                <w:highlight w:val="none"/>
              </w:rPr>
            </w:pPr>
            <w:r>
              <w:rPr>
                <w:rFonts w:hint="eastAsia" w:hAnsi="宋体" w:cs="宋体"/>
                <w:b/>
                <w:color w:val="auto"/>
                <w:szCs w:val="24"/>
                <w:highlight w:val="none"/>
              </w:rPr>
              <w:t xml:space="preserve">编 列 内 容 </w:t>
            </w:r>
          </w:p>
        </w:tc>
      </w:tr>
      <w:tr w14:paraId="65150B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vAlign w:val="center"/>
          </w:tcPr>
          <w:p w14:paraId="6BE1F498">
            <w:pPr>
              <w:spacing w:line="360" w:lineRule="auto"/>
              <w:jc w:val="center"/>
              <w:rPr>
                <w:rFonts w:hAnsi="宋体" w:cs="宋体"/>
                <w:color w:val="auto"/>
                <w:szCs w:val="24"/>
                <w:highlight w:val="none"/>
              </w:rPr>
            </w:pPr>
            <w:r>
              <w:rPr>
                <w:rFonts w:hint="eastAsia" w:hAnsi="宋体" w:cs="宋体"/>
                <w:color w:val="auto"/>
                <w:szCs w:val="24"/>
                <w:highlight w:val="none"/>
              </w:rPr>
              <w:t>1</w:t>
            </w:r>
          </w:p>
        </w:tc>
        <w:tc>
          <w:tcPr>
            <w:tcW w:w="1090" w:type="dxa"/>
            <w:vAlign w:val="center"/>
          </w:tcPr>
          <w:p w14:paraId="135C72DD">
            <w:pPr>
              <w:spacing w:line="360" w:lineRule="auto"/>
              <w:jc w:val="center"/>
              <w:rPr>
                <w:rFonts w:hAnsi="宋体" w:cs="宋体"/>
                <w:color w:val="auto"/>
                <w:szCs w:val="24"/>
                <w:highlight w:val="none"/>
              </w:rPr>
            </w:pPr>
            <w:r>
              <w:rPr>
                <w:rFonts w:hint="eastAsia" w:hAnsi="宋体" w:cs="宋体"/>
                <w:color w:val="auto"/>
                <w:szCs w:val="24"/>
                <w:highlight w:val="none"/>
              </w:rPr>
              <w:t>2.3</w:t>
            </w:r>
          </w:p>
        </w:tc>
        <w:tc>
          <w:tcPr>
            <w:tcW w:w="7215" w:type="dxa"/>
          </w:tcPr>
          <w:p w14:paraId="193EEB28">
            <w:pPr>
              <w:spacing w:line="360" w:lineRule="auto"/>
              <w:rPr>
                <w:rFonts w:hAnsi="宋体" w:cs="宋体"/>
                <w:color w:val="auto"/>
                <w:szCs w:val="24"/>
                <w:highlight w:val="none"/>
              </w:rPr>
            </w:pPr>
            <w:r>
              <w:rPr>
                <w:rFonts w:hint="eastAsia" w:hAnsi="宋体" w:cs="宋体"/>
                <w:color w:val="auto"/>
                <w:szCs w:val="24"/>
                <w:highlight w:val="none"/>
              </w:rPr>
              <w:t>采购代理机构：陕西至诚项目管理集团有限公司</w:t>
            </w:r>
          </w:p>
          <w:p w14:paraId="5EE30CDA">
            <w:pPr>
              <w:spacing w:line="360" w:lineRule="auto"/>
              <w:rPr>
                <w:rFonts w:hAnsi="宋体" w:cs="宋体"/>
                <w:color w:val="auto"/>
                <w:szCs w:val="24"/>
                <w:highlight w:val="none"/>
              </w:rPr>
            </w:pPr>
            <w:r>
              <w:rPr>
                <w:rFonts w:hint="eastAsia" w:hAnsi="宋体" w:cs="宋体"/>
                <w:color w:val="auto"/>
                <w:szCs w:val="24"/>
                <w:highlight w:val="none"/>
              </w:rPr>
              <w:t>地        址：陕西省西安市经济技术开发区未央路171-1号银池道拉斯财富中心21楼03室</w:t>
            </w:r>
          </w:p>
          <w:p w14:paraId="14DB0196">
            <w:pPr>
              <w:spacing w:line="360" w:lineRule="auto"/>
              <w:rPr>
                <w:rFonts w:hint="default" w:hAnsi="宋体" w:eastAsia="宋体" w:cs="宋体"/>
                <w:color w:val="auto"/>
                <w:szCs w:val="24"/>
                <w:highlight w:val="none"/>
                <w:lang w:val="en-US" w:eastAsia="zh-CN"/>
              </w:rPr>
            </w:pPr>
            <w:r>
              <w:rPr>
                <w:rFonts w:hint="eastAsia" w:hAnsi="宋体" w:cs="宋体"/>
                <w:color w:val="auto"/>
                <w:szCs w:val="24"/>
                <w:highlight w:val="none"/>
              </w:rPr>
              <w:t>邮        编：7100</w:t>
            </w:r>
            <w:r>
              <w:rPr>
                <w:rFonts w:hint="eastAsia" w:hAnsi="宋体" w:cs="宋体"/>
                <w:color w:val="auto"/>
                <w:szCs w:val="24"/>
                <w:highlight w:val="none"/>
                <w:lang w:val="en-US" w:eastAsia="zh-CN"/>
              </w:rPr>
              <w:t>00</w:t>
            </w:r>
          </w:p>
          <w:p w14:paraId="05018384">
            <w:pPr>
              <w:spacing w:line="360" w:lineRule="auto"/>
              <w:rPr>
                <w:rFonts w:hAnsi="宋体" w:cs="宋体"/>
                <w:color w:val="auto"/>
                <w:szCs w:val="24"/>
                <w:highlight w:val="none"/>
              </w:rPr>
            </w:pPr>
            <w:r>
              <w:rPr>
                <w:rFonts w:hint="eastAsia" w:hAnsi="宋体" w:cs="宋体"/>
                <w:color w:val="auto"/>
                <w:szCs w:val="24"/>
                <w:highlight w:val="none"/>
              </w:rPr>
              <w:t>电        话：029-88219779</w:t>
            </w:r>
          </w:p>
          <w:p w14:paraId="6DEA9619">
            <w:pPr>
              <w:spacing w:line="360" w:lineRule="auto"/>
              <w:rPr>
                <w:rFonts w:hAnsi="宋体" w:cs="宋体"/>
                <w:color w:val="auto"/>
                <w:szCs w:val="24"/>
                <w:highlight w:val="none"/>
              </w:rPr>
            </w:pPr>
            <w:r>
              <w:rPr>
                <w:rFonts w:hint="eastAsia" w:hAnsi="宋体" w:cs="宋体"/>
                <w:color w:val="auto"/>
                <w:szCs w:val="24"/>
                <w:highlight w:val="none"/>
              </w:rPr>
              <w:t>传        真：/</w:t>
            </w:r>
          </w:p>
        </w:tc>
      </w:tr>
      <w:tr w14:paraId="32558B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7" w:hRule="atLeast"/>
          <w:jc w:val="center"/>
        </w:trPr>
        <w:tc>
          <w:tcPr>
            <w:tcW w:w="592" w:type="dxa"/>
            <w:vAlign w:val="center"/>
          </w:tcPr>
          <w:p w14:paraId="2E039EB3">
            <w:pPr>
              <w:spacing w:line="360" w:lineRule="auto"/>
              <w:jc w:val="center"/>
              <w:rPr>
                <w:rFonts w:hAnsi="宋体" w:cs="宋体"/>
                <w:color w:val="auto"/>
                <w:szCs w:val="24"/>
                <w:highlight w:val="none"/>
              </w:rPr>
            </w:pPr>
            <w:r>
              <w:rPr>
                <w:rFonts w:hint="eastAsia" w:hAnsi="宋体" w:cs="宋体"/>
                <w:color w:val="auto"/>
                <w:szCs w:val="24"/>
                <w:highlight w:val="none"/>
              </w:rPr>
              <w:t>2</w:t>
            </w:r>
          </w:p>
        </w:tc>
        <w:tc>
          <w:tcPr>
            <w:tcW w:w="1090" w:type="dxa"/>
            <w:vAlign w:val="center"/>
          </w:tcPr>
          <w:p w14:paraId="6B9DB996">
            <w:pPr>
              <w:spacing w:line="360" w:lineRule="auto"/>
              <w:jc w:val="center"/>
              <w:rPr>
                <w:rFonts w:hAnsi="宋体" w:cs="宋体"/>
                <w:color w:val="auto"/>
                <w:szCs w:val="24"/>
                <w:highlight w:val="none"/>
              </w:rPr>
            </w:pPr>
            <w:r>
              <w:rPr>
                <w:rFonts w:hint="eastAsia" w:hAnsi="宋体" w:cs="宋体"/>
                <w:color w:val="auto"/>
                <w:szCs w:val="24"/>
                <w:highlight w:val="none"/>
              </w:rPr>
              <w:t>3.6</w:t>
            </w:r>
          </w:p>
        </w:tc>
        <w:tc>
          <w:tcPr>
            <w:tcW w:w="7215" w:type="dxa"/>
            <w:vAlign w:val="center"/>
          </w:tcPr>
          <w:p w14:paraId="7550C888">
            <w:pPr>
              <w:spacing w:line="360" w:lineRule="auto"/>
              <w:rPr>
                <w:rFonts w:hAnsi="宋体" w:cs="宋体"/>
                <w:color w:val="auto"/>
                <w:szCs w:val="24"/>
                <w:highlight w:val="none"/>
              </w:rPr>
            </w:pPr>
            <w:r>
              <w:rPr>
                <w:rFonts w:hint="eastAsia" w:hAnsi="宋体" w:cs="宋体"/>
                <w:color w:val="auto"/>
                <w:szCs w:val="24"/>
                <w:highlight w:val="none"/>
              </w:rPr>
              <w:t>本项目不接受联合体磋商。</w:t>
            </w:r>
          </w:p>
        </w:tc>
      </w:tr>
      <w:tr w14:paraId="2B9BDB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592" w:type="dxa"/>
            <w:vAlign w:val="center"/>
          </w:tcPr>
          <w:p w14:paraId="6584740F">
            <w:pPr>
              <w:spacing w:line="360" w:lineRule="auto"/>
              <w:jc w:val="center"/>
              <w:rPr>
                <w:rFonts w:hAnsi="宋体" w:cs="宋体"/>
                <w:color w:val="auto"/>
                <w:szCs w:val="24"/>
                <w:highlight w:val="none"/>
              </w:rPr>
            </w:pPr>
            <w:r>
              <w:rPr>
                <w:rFonts w:hint="eastAsia" w:hAnsi="宋体" w:cs="宋体"/>
                <w:color w:val="auto"/>
                <w:szCs w:val="24"/>
                <w:highlight w:val="none"/>
              </w:rPr>
              <w:t>3</w:t>
            </w:r>
          </w:p>
        </w:tc>
        <w:tc>
          <w:tcPr>
            <w:tcW w:w="1090" w:type="dxa"/>
            <w:vAlign w:val="center"/>
          </w:tcPr>
          <w:p w14:paraId="0BB8DAB1">
            <w:pPr>
              <w:spacing w:line="360" w:lineRule="auto"/>
              <w:jc w:val="center"/>
              <w:rPr>
                <w:rFonts w:hAnsi="宋体" w:cs="宋体"/>
                <w:color w:val="auto"/>
                <w:szCs w:val="24"/>
                <w:highlight w:val="none"/>
              </w:rPr>
            </w:pPr>
            <w:r>
              <w:rPr>
                <w:rFonts w:hint="eastAsia" w:hAnsi="宋体" w:cs="宋体"/>
                <w:color w:val="auto"/>
                <w:szCs w:val="24"/>
                <w:highlight w:val="none"/>
              </w:rPr>
              <w:t>9.2</w:t>
            </w:r>
          </w:p>
        </w:tc>
        <w:tc>
          <w:tcPr>
            <w:tcW w:w="7215" w:type="dxa"/>
            <w:vAlign w:val="center"/>
          </w:tcPr>
          <w:p w14:paraId="5F4A6FBD">
            <w:pPr>
              <w:spacing w:line="360" w:lineRule="auto"/>
              <w:rPr>
                <w:rFonts w:hAnsi="宋体" w:cs="宋体"/>
                <w:color w:val="auto"/>
                <w:szCs w:val="24"/>
                <w:highlight w:val="none"/>
              </w:rPr>
            </w:pPr>
            <w:r>
              <w:rPr>
                <w:rFonts w:hint="eastAsia" w:hAnsi="宋体" w:cs="宋体"/>
                <w:color w:val="auto"/>
                <w:szCs w:val="24"/>
                <w:highlight w:val="none"/>
              </w:rPr>
              <w:t>不允许提供备选方案。</w:t>
            </w:r>
          </w:p>
        </w:tc>
      </w:tr>
      <w:tr w14:paraId="35CF30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401" w:hRule="atLeast"/>
          <w:jc w:val="center"/>
        </w:trPr>
        <w:tc>
          <w:tcPr>
            <w:tcW w:w="592" w:type="dxa"/>
            <w:vAlign w:val="center"/>
          </w:tcPr>
          <w:p w14:paraId="10B6FFA4">
            <w:pPr>
              <w:spacing w:line="360" w:lineRule="auto"/>
              <w:jc w:val="center"/>
              <w:rPr>
                <w:rFonts w:hAnsi="宋体" w:cs="宋体"/>
                <w:color w:val="auto"/>
                <w:szCs w:val="24"/>
                <w:highlight w:val="none"/>
              </w:rPr>
            </w:pPr>
            <w:r>
              <w:rPr>
                <w:rFonts w:hint="eastAsia" w:hAnsi="宋体" w:cs="宋体"/>
                <w:color w:val="auto"/>
                <w:szCs w:val="24"/>
                <w:highlight w:val="none"/>
              </w:rPr>
              <w:t>4</w:t>
            </w:r>
          </w:p>
        </w:tc>
        <w:tc>
          <w:tcPr>
            <w:tcW w:w="1090" w:type="dxa"/>
            <w:vAlign w:val="center"/>
          </w:tcPr>
          <w:p w14:paraId="0A70CCFA">
            <w:pPr>
              <w:spacing w:line="360" w:lineRule="auto"/>
              <w:jc w:val="center"/>
              <w:rPr>
                <w:rFonts w:hAnsi="宋体" w:cs="宋体"/>
                <w:color w:val="auto"/>
                <w:szCs w:val="24"/>
                <w:highlight w:val="none"/>
              </w:rPr>
            </w:pPr>
            <w:r>
              <w:rPr>
                <w:rFonts w:hint="eastAsia" w:hAnsi="宋体" w:cs="宋体"/>
                <w:color w:val="auto"/>
                <w:szCs w:val="24"/>
                <w:highlight w:val="none"/>
              </w:rPr>
              <w:t>9.3</w:t>
            </w:r>
          </w:p>
        </w:tc>
        <w:tc>
          <w:tcPr>
            <w:tcW w:w="7215" w:type="dxa"/>
            <w:vAlign w:val="center"/>
          </w:tcPr>
          <w:p w14:paraId="1E82EC9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本次磋商的最小单元为“项目”，供应商可根据自身的资质情况和经营范围对本次项目进行磋商，不得将其子目再行分解或只对本次项目中的品目进行不完全磋商，任何不完全的响应将会被拒绝。</w:t>
            </w:r>
          </w:p>
        </w:tc>
      </w:tr>
      <w:tr w14:paraId="185EF3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vAlign w:val="center"/>
          </w:tcPr>
          <w:p w14:paraId="7A16707D">
            <w:pPr>
              <w:spacing w:line="360" w:lineRule="auto"/>
              <w:jc w:val="center"/>
              <w:rPr>
                <w:rFonts w:hAnsi="宋体" w:cs="宋体"/>
                <w:color w:val="auto"/>
                <w:szCs w:val="24"/>
                <w:highlight w:val="none"/>
              </w:rPr>
            </w:pPr>
            <w:r>
              <w:rPr>
                <w:rFonts w:hint="eastAsia" w:hAnsi="宋体" w:cs="宋体"/>
                <w:color w:val="auto"/>
                <w:szCs w:val="24"/>
                <w:highlight w:val="none"/>
              </w:rPr>
              <w:t>5</w:t>
            </w:r>
          </w:p>
        </w:tc>
        <w:tc>
          <w:tcPr>
            <w:tcW w:w="1090" w:type="dxa"/>
            <w:vAlign w:val="center"/>
          </w:tcPr>
          <w:p w14:paraId="50B5962F">
            <w:pPr>
              <w:spacing w:line="360" w:lineRule="auto"/>
              <w:jc w:val="center"/>
              <w:rPr>
                <w:rFonts w:hAnsi="宋体" w:cs="宋体"/>
                <w:color w:val="auto"/>
                <w:szCs w:val="24"/>
                <w:highlight w:val="none"/>
              </w:rPr>
            </w:pPr>
            <w:r>
              <w:rPr>
                <w:rFonts w:hint="eastAsia" w:hAnsi="宋体" w:cs="宋体"/>
                <w:color w:val="auto"/>
                <w:szCs w:val="24"/>
                <w:highlight w:val="none"/>
              </w:rPr>
              <w:t>11.1</w:t>
            </w:r>
          </w:p>
        </w:tc>
        <w:tc>
          <w:tcPr>
            <w:tcW w:w="7215" w:type="dxa"/>
          </w:tcPr>
          <w:p w14:paraId="62D2CA46">
            <w:pPr>
              <w:spacing w:line="360" w:lineRule="auto"/>
              <w:ind w:firstLine="480"/>
              <w:rPr>
                <w:rFonts w:hAnsi="宋体" w:cs="宋体"/>
                <w:color w:val="auto"/>
                <w:szCs w:val="24"/>
                <w:highlight w:val="none"/>
              </w:rPr>
            </w:pPr>
            <w:r>
              <w:rPr>
                <w:rFonts w:hint="eastAsia" w:hAnsi="宋体" w:cs="宋体"/>
                <w:color w:val="auto"/>
                <w:szCs w:val="24"/>
                <w:highlight w:val="none"/>
              </w:rPr>
              <w:t>磋商报价：是供应商为完成本项目要求的全部服务内容最终价格的体现。</w:t>
            </w:r>
          </w:p>
          <w:p w14:paraId="1BF996A3">
            <w:pPr>
              <w:spacing w:line="360" w:lineRule="auto"/>
              <w:ind w:firstLine="480"/>
              <w:rPr>
                <w:rFonts w:hAnsi="宋体" w:cs="宋体"/>
                <w:color w:val="auto"/>
                <w:szCs w:val="24"/>
                <w:highlight w:val="none"/>
              </w:rPr>
            </w:pPr>
            <w:r>
              <w:rPr>
                <w:rFonts w:hint="eastAsia" w:hAnsi="宋体" w:cs="宋体"/>
                <w:color w:val="auto"/>
                <w:szCs w:val="24"/>
                <w:highlight w:val="none"/>
              </w:rPr>
              <w:t>供应商所报的价格应考虑到可能发生的所有与完成本项目相关服务及履行合同义务有关的一切费用，任何有选择的报价将不予接受，按无效磋商处理。</w:t>
            </w:r>
          </w:p>
        </w:tc>
      </w:tr>
      <w:tr w14:paraId="40ADE5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9" w:hRule="atLeast"/>
          <w:jc w:val="center"/>
        </w:trPr>
        <w:tc>
          <w:tcPr>
            <w:tcW w:w="592" w:type="dxa"/>
            <w:vAlign w:val="center"/>
          </w:tcPr>
          <w:p w14:paraId="5E721574">
            <w:pPr>
              <w:spacing w:line="360" w:lineRule="auto"/>
              <w:jc w:val="center"/>
              <w:rPr>
                <w:rFonts w:hAnsi="宋体" w:cs="宋体"/>
                <w:color w:val="auto"/>
                <w:szCs w:val="24"/>
                <w:highlight w:val="none"/>
              </w:rPr>
            </w:pPr>
            <w:r>
              <w:rPr>
                <w:rFonts w:hint="eastAsia" w:hAnsi="宋体" w:cs="宋体"/>
                <w:color w:val="auto"/>
                <w:szCs w:val="24"/>
                <w:highlight w:val="none"/>
              </w:rPr>
              <w:t>6</w:t>
            </w:r>
          </w:p>
        </w:tc>
        <w:tc>
          <w:tcPr>
            <w:tcW w:w="1090" w:type="dxa"/>
            <w:vAlign w:val="center"/>
          </w:tcPr>
          <w:p w14:paraId="44B7D81A">
            <w:pPr>
              <w:spacing w:line="360" w:lineRule="auto"/>
              <w:jc w:val="center"/>
              <w:rPr>
                <w:rFonts w:hAnsi="宋体" w:cs="宋体"/>
                <w:color w:val="auto"/>
                <w:szCs w:val="24"/>
                <w:highlight w:val="none"/>
              </w:rPr>
            </w:pPr>
            <w:r>
              <w:rPr>
                <w:rFonts w:hint="eastAsia" w:hAnsi="宋体" w:cs="宋体"/>
                <w:color w:val="auto"/>
                <w:szCs w:val="24"/>
                <w:highlight w:val="none"/>
              </w:rPr>
              <w:t>12.1</w:t>
            </w:r>
          </w:p>
        </w:tc>
        <w:tc>
          <w:tcPr>
            <w:tcW w:w="7215" w:type="dxa"/>
          </w:tcPr>
          <w:p w14:paraId="356046ED">
            <w:pPr>
              <w:spacing w:line="360" w:lineRule="auto"/>
              <w:rPr>
                <w:rFonts w:hAnsi="宋体" w:cs="宋体"/>
                <w:color w:val="auto"/>
                <w:szCs w:val="24"/>
                <w:highlight w:val="none"/>
              </w:rPr>
            </w:pPr>
            <w:r>
              <w:rPr>
                <w:rFonts w:hint="eastAsia" w:hAnsi="宋体" w:cs="宋体"/>
                <w:color w:val="auto"/>
                <w:szCs w:val="24"/>
                <w:highlight w:val="none"/>
              </w:rPr>
              <w:t>特定资格证明文件：</w:t>
            </w:r>
          </w:p>
          <w:p w14:paraId="25CDCF2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(1)提供合格有效的法人或者其他组织的营业执照等证明文件，自然人的身份证明；</w:t>
            </w:r>
          </w:p>
          <w:p w14:paraId="08FB083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(2)授权代表参加磋商的，提供法定代表人授权书（附法定代表人、被授权人身份证复印件），授权代表提供在投标单位缴纳的社保记录（近6个月内任意一个月）；法定代表人直接参加磋商的，须提供法定代表人身份证明及身份证复印件）；</w:t>
            </w:r>
          </w:p>
          <w:p w14:paraId="71A0984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(3)提供递交磋商响应文件截止之日前两年内（2024年度和2025年度）任意一个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7519558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(4)提供磋商响应文件截止日前近六个月内任意一个月的纳税证明或完税证明（任意税种），依法免税的单位应提供相关证明材料；</w:t>
            </w:r>
          </w:p>
          <w:p w14:paraId="2E7CDD0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(5)提供磋商响应文件截止日前近六个月内任意一个月的社会保障资金缴存单据或社保机构开具的社会保险参保缴费情况证明，依法不需要缴纳社会保障资金的单位应提供相关证明材料；</w:t>
            </w:r>
          </w:p>
          <w:p w14:paraId="0804952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46383D3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(7)参加政府采购活动前3年内，在经营活动中没有重大违法记录的书面声明；</w:t>
            </w:r>
          </w:p>
          <w:p w14:paraId="5A6E9A2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(8)提供具有履行合同所必需的设备和专业技术能力的承诺函；</w:t>
            </w:r>
          </w:p>
          <w:p w14:paraId="76024BE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(9)提供直接控股和管理关系清单。若与其他供应商存在单位负责人为同一人或者存在直接控股、管理关系的，则投标无效；</w:t>
            </w:r>
          </w:p>
          <w:p w14:paraId="3CAF29F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hAnsi="宋体" w:cs="宋体"/>
                <w:b w:val="0"/>
                <w:bCs w:val="0"/>
                <w:color w:val="auto"/>
                <w:szCs w:val="24"/>
                <w:highlight w:val="none"/>
              </w:rPr>
            </w:pPr>
            <w:r>
              <w:rPr>
                <w:rFonts w:hint="eastAsia" w:ascii="宋体" w:hAnsi="宋体" w:eastAsia="宋体" w:cs="宋体"/>
                <w:i w:val="0"/>
                <w:iCs w:val="0"/>
                <w:caps w:val="0"/>
                <w:color w:val="333333"/>
                <w:spacing w:val="0"/>
                <w:sz w:val="24"/>
                <w:szCs w:val="24"/>
                <w:shd w:val="clear" w:fill="FFFFFF"/>
                <w:vertAlign w:val="baseline"/>
              </w:rPr>
              <w:t>(10)本项目不接受联合体磋商（需提供承诺书）。</w:t>
            </w:r>
          </w:p>
          <w:p w14:paraId="1F98C8F6">
            <w:pPr>
              <w:numPr>
                <w:ilvl w:val="0"/>
                <w:numId w:val="0"/>
              </w:num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以上</w:t>
            </w:r>
            <w:r>
              <w:rPr>
                <w:rFonts w:hint="eastAsia" w:hAnsi="宋体" w:cs="宋体"/>
                <w:b/>
                <w:bCs/>
                <w:color w:val="auto"/>
                <w:szCs w:val="24"/>
                <w:highlight w:val="none"/>
                <w:lang w:val="en-US" w:eastAsia="zh-CN"/>
              </w:rPr>
              <w:t>1-10项</w:t>
            </w:r>
            <w:r>
              <w:rPr>
                <w:rFonts w:hint="eastAsia" w:hAnsi="宋体" w:cs="宋体"/>
                <w:b/>
                <w:bCs/>
                <w:color w:val="auto"/>
                <w:szCs w:val="24"/>
                <w:highlight w:val="none"/>
              </w:rPr>
              <w:t>为必备资质，缺一项或某项达不到要求，按无效磋商处理。</w:t>
            </w:r>
          </w:p>
        </w:tc>
      </w:tr>
      <w:tr w14:paraId="479EAE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49" w:hRule="atLeast"/>
          <w:jc w:val="center"/>
        </w:trPr>
        <w:tc>
          <w:tcPr>
            <w:tcW w:w="592" w:type="dxa"/>
            <w:vAlign w:val="center"/>
          </w:tcPr>
          <w:p w14:paraId="2DF3111B">
            <w:pPr>
              <w:spacing w:line="360" w:lineRule="auto"/>
              <w:jc w:val="center"/>
              <w:rPr>
                <w:rFonts w:hAnsi="宋体" w:cs="宋体"/>
                <w:color w:val="auto"/>
                <w:szCs w:val="24"/>
                <w:highlight w:val="none"/>
              </w:rPr>
            </w:pPr>
            <w:r>
              <w:rPr>
                <w:rFonts w:hint="eastAsia" w:hAnsi="宋体" w:cs="宋体"/>
                <w:color w:val="auto"/>
                <w:szCs w:val="24"/>
                <w:highlight w:val="none"/>
              </w:rPr>
              <w:t>7</w:t>
            </w:r>
          </w:p>
        </w:tc>
        <w:tc>
          <w:tcPr>
            <w:tcW w:w="1090" w:type="dxa"/>
            <w:vAlign w:val="center"/>
          </w:tcPr>
          <w:p w14:paraId="39ADB978">
            <w:pPr>
              <w:spacing w:line="360" w:lineRule="auto"/>
              <w:jc w:val="center"/>
              <w:rPr>
                <w:rFonts w:hAnsi="宋体" w:cs="宋体"/>
                <w:color w:val="auto"/>
                <w:szCs w:val="24"/>
                <w:highlight w:val="none"/>
              </w:rPr>
            </w:pPr>
            <w:r>
              <w:rPr>
                <w:rFonts w:hint="eastAsia" w:hAnsi="宋体" w:cs="宋体"/>
                <w:color w:val="auto"/>
                <w:szCs w:val="24"/>
                <w:highlight w:val="none"/>
              </w:rPr>
              <w:t>14.4</w:t>
            </w:r>
          </w:p>
        </w:tc>
        <w:tc>
          <w:tcPr>
            <w:tcW w:w="7215" w:type="dxa"/>
          </w:tcPr>
          <w:p w14:paraId="6A630669">
            <w:pPr>
              <w:spacing w:line="360" w:lineRule="auto"/>
              <w:ind w:firstLine="465"/>
              <w:rPr>
                <w:rFonts w:hAnsi="宋体" w:cs="宋体"/>
                <w:color w:val="auto"/>
                <w:szCs w:val="24"/>
                <w:highlight w:val="none"/>
              </w:rPr>
            </w:pPr>
            <w:r>
              <w:rPr>
                <w:rFonts w:hint="eastAsia" w:hAnsi="宋体" w:cs="宋体"/>
                <w:b/>
                <w:bCs/>
                <w:color w:val="auto"/>
                <w:szCs w:val="24"/>
                <w:highlight w:val="none"/>
              </w:rPr>
              <w:t>磋商保证金：本项目不缴纳磋商保证金</w:t>
            </w:r>
          </w:p>
          <w:p w14:paraId="21D0EE60">
            <w:pPr>
              <w:spacing w:line="360" w:lineRule="auto"/>
              <w:ind w:firstLine="465"/>
              <w:rPr>
                <w:rFonts w:hAnsi="宋体" w:cs="宋体"/>
                <w:color w:val="auto"/>
                <w:szCs w:val="24"/>
                <w:highlight w:val="none"/>
              </w:rPr>
            </w:pPr>
            <w:r>
              <w:rPr>
                <w:rFonts w:hint="eastAsia" w:hAnsi="宋体" w:cs="宋体"/>
                <w:color w:val="auto"/>
                <w:szCs w:val="24"/>
                <w:highlight w:val="none"/>
              </w:rPr>
              <w:t>磋商保证金的有效期与磋商有效期一致。</w:t>
            </w:r>
            <w:r>
              <w:rPr>
                <w:rFonts w:hint="eastAsia" w:hAnsi="宋体" w:cs="宋体"/>
                <w:color w:val="auto"/>
                <w:szCs w:val="22"/>
                <w:highlight w:val="none"/>
              </w:rPr>
              <w:t>担保机构出具的保函的有效期为磋商有效期延长一个月。</w:t>
            </w:r>
          </w:p>
          <w:p w14:paraId="2E095799">
            <w:pPr>
              <w:spacing w:line="360" w:lineRule="auto"/>
              <w:ind w:firstLine="480"/>
              <w:rPr>
                <w:rFonts w:hAnsi="宋体" w:cs="宋体"/>
                <w:color w:val="auto"/>
                <w:szCs w:val="24"/>
                <w:highlight w:val="none"/>
              </w:rPr>
            </w:pPr>
            <w:r>
              <w:rPr>
                <w:rFonts w:hint="eastAsia" w:hAnsi="宋体" w:cs="宋体"/>
                <w:color w:val="auto"/>
                <w:szCs w:val="24"/>
                <w:highlight w:val="none"/>
              </w:rPr>
              <w:t>磋商保证金的缴纳形式：转账、电汇、担保机构保函。</w:t>
            </w:r>
          </w:p>
          <w:p w14:paraId="427BE1FD">
            <w:pPr>
              <w:spacing w:line="360" w:lineRule="auto"/>
              <w:ind w:firstLine="480"/>
              <w:rPr>
                <w:rFonts w:hAnsi="宋体" w:cs="宋体"/>
                <w:color w:val="auto"/>
                <w:szCs w:val="24"/>
                <w:highlight w:val="none"/>
              </w:rPr>
            </w:pPr>
            <w:r>
              <w:rPr>
                <w:rFonts w:hint="eastAsia" w:hAnsi="宋体" w:cs="宋体"/>
                <w:color w:val="auto"/>
                <w:szCs w:val="24"/>
                <w:highlight w:val="none"/>
              </w:rPr>
              <w:t>供应商以银行转账、电汇形式交纳保证金的，须从基本账户转出，并且在磋商响应文件递交截止前到达采购代理机构指定账户（</w:t>
            </w:r>
            <w:r>
              <w:rPr>
                <w:rFonts w:hint="eastAsia" w:hAnsi="宋体" w:cs="宋体"/>
                <w:b/>
                <w:color w:val="auto"/>
                <w:szCs w:val="24"/>
                <w:highlight w:val="none"/>
              </w:rPr>
              <w:t>转账时请注明项目编号</w:t>
            </w:r>
            <w:r>
              <w:rPr>
                <w:rFonts w:hint="eastAsia" w:hAnsi="宋体" w:cs="宋体"/>
                <w:color w:val="auto"/>
                <w:szCs w:val="24"/>
                <w:highlight w:val="none"/>
              </w:rPr>
              <w:t>）。磋商保证金到达采购代理机构指定账户后，供应商须与陕西至诚项目管理集团有限公司财务部联系确认到账后（联系电话029-88219779），将磋商保证金缴纳凭证复印件粘贴于磋商响应文件规定处。</w:t>
            </w:r>
          </w:p>
          <w:p w14:paraId="21F3416D">
            <w:pPr>
              <w:spacing w:line="360" w:lineRule="auto"/>
              <w:ind w:firstLine="480"/>
              <w:rPr>
                <w:rFonts w:hAnsi="宋体" w:cs="宋体"/>
                <w:color w:val="auto"/>
                <w:szCs w:val="24"/>
                <w:highlight w:val="none"/>
              </w:rPr>
            </w:pPr>
            <w:r>
              <w:rPr>
                <w:rFonts w:hint="eastAsia" w:hAnsi="宋体" w:cs="宋体"/>
                <w:color w:val="auto"/>
                <w:szCs w:val="24"/>
                <w:highlight w:val="none"/>
              </w:rPr>
              <w:t>供应商以保函形式缴纳磋商保证金的，须在磋商响应文件递交截止时间前将担保机构保函</w:t>
            </w:r>
            <w:r>
              <w:rPr>
                <w:rFonts w:hint="eastAsia" w:hAnsi="宋体" w:cs="宋体"/>
                <w:b/>
                <w:bCs/>
                <w:color w:val="auto"/>
                <w:szCs w:val="24"/>
                <w:highlight w:val="none"/>
              </w:rPr>
              <w:t>正本原件</w:t>
            </w:r>
            <w:r>
              <w:rPr>
                <w:rFonts w:hint="eastAsia" w:hAnsi="宋体" w:cs="宋体"/>
                <w:color w:val="auto"/>
                <w:szCs w:val="24"/>
                <w:highlight w:val="none"/>
              </w:rPr>
              <w:t>提交至采购代理机构备案，并将保函正本复印件附在磋商响应文件规定处。</w:t>
            </w:r>
          </w:p>
        </w:tc>
      </w:tr>
      <w:tr w14:paraId="517663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7" w:hRule="atLeast"/>
          <w:jc w:val="center"/>
        </w:trPr>
        <w:tc>
          <w:tcPr>
            <w:tcW w:w="592" w:type="dxa"/>
            <w:vAlign w:val="center"/>
          </w:tcPr>
          <w:p w14:paraId="6305826C">
            <w:pPr>
              <w:spacing w:line="360" w:lineRule="auto"/>
              <w:jc w:val="center"/>
              <w:rPr>
                <w:rFonts w:hAnsi="宋体" w:cs="宋体"/>
                <w:color w:val="auto"/>
                <w:szCs w:val="24"/>
                <w:highlight w:val="none"/>
              </w:rPr>
            </w:pPr>
            <w:r>
              <w:rPr>
                <w:rFonts w:hint="eastAsia" w:hAnsi="宋体" w:cs="宋体"/>
                <w:color w:val="auto"/>
                <w:szCs w:val="24"/>
                <w:highlight w:val="none"/>
              </w:rPr>
              <w:t>8</w:t>
            </w:r>
          </w:p>
        </w:tc>
        <w:tc>
          <w:tcPr>
            <w:tcW w:w="1090" w:type="dxa"/>
            <w:vAlign w:val="center"/>
          </w:tcPr>
          <w:p w14:paraId="6B6529FB">
            <w:pPr>
              <w:spacing w:line="360" w:lineRule="auto"/>
              <w:jc w:val="center"/>
              <w:rPr>
                <w:rFonts w:hAnsi="宋体" w:cs="宋体"/>
                <w:color w:val="auto"/>
                <w:szCs w:val="24"/>
                <w:highlight w:val="none"/>
              </w:rPr>
            </w:pPr>
            <w:r>
              <w:rPr>
                <w:rFonts w:hint="eastAsia" w:hAnsi="宋体" w:cs="宋体"/>
                <w:color w:val="auto"/>
                <w:szCs w:val="24"/>
                <w:highlight w:val="none"/>
              </w:rPr>
              <w:t>15.1</w:t>
            </w:r>
          </w:p>
        </w:tc>
        <w:tc>
          <w:tcPr>
            <w:tcW w:w="7215" w:type="dxa"/>
            <w:vAlign w:val="center"/>
          </w:tcPr>
          <w:p w14:paraId="2B6FDB05">
            <w:pPr>
              <w:spacing w:line="360" w:lineRule="auto"/>
              <w:rPr>
                <w:rFonts w:hAnsi="宋体" w:cs="宋体"/>
                <w:color w:val="auto"/>
                <w:highlight w:val="none"/>
              </w:rPr>
            </w:pPr>
            <w:r>
              <w:rPr>
                <w:rFonts w:hint="eastAsia" w:hAnsi="宋体" w:cs="宋体"/>
                <w:color w:val="auto"/>
                <w:szCs w:val="24"/>
                <w:highlight w:val="none"/>
              </w:rPr>
              <w:t>磋商有效期:提交磋商响应文件的截止之日起90天。</w:t>
            </w:r>
          </w:p>
        </w:tc>
      </w:tr>
      <w:tr w14:paraId="5B8D93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92" w:type="dxa"/>
            <w:vAlign w:val="center"/>
          </w:tcPr>
          <w:p w14:paraId="62D6B2AA">
            <w:pPr>
              <w:spacing w:line="360" w:lineRule="auto"/>
              <w:jc w:val="center"/>
              <w:rPr>
                <w:rFonts w:hAnsi="宋体" w:cs="宋体"/>
                <w:color w:val="auto"/>
                <w:szCs w:val="24"/>
                <w:highlight w:val="none"/>
              </w:rPr>
            </w:pPr>
            <w:r>
              <w:rPr>
                <w:rFonts w:hint="eastAsia" w:hAnsi="宋体" w:cs="宋体"/>
                <w:color w:val="auto"/>
                <w:szCs w:val="24"/>
                <w:highlight w:val="none"/>
              </w:rPr>
              <w:t>9</w:t>
            </w:r>
          </w:p>
        </w:tc>
        <w:tc>
          <w:tcPr>
            <w:tcW w:w="1090" w:type="dxa"/>
            <w:vAlign w:val="center"/>
          </w:tcPr>
          <w:p w14:paraId="278CB87E">
            <w:pPr>
              <w:spacing w:afterLines="50" w:line="360" w:lineRule="auto"/>
              <w:jc w:val="center"/>
              <w:rPr>
                <w:rFonts w:hAnsi="宋体" w:cs="宋体"/>
                <w:color w:val="auto"/>
                <w:szCs w:val="24"/>
                <w:highlight w:val="none"/>
              </w:rPr>
            </w:pPr>
            <w:r>
              <w:rPr>
                <w:rFonts w:hint="eastAsia" w:hAnsi="宋体" w:cs="宋体"/>
                <w:color w:val="auto"/>
                <w:szCs w:val="24"/>
                <w:highlight w:val="none"/>
              </w:rPr>
              <w:t>16.1</w:t>
            </w:r>
          </w:p>
        </w:tc>
        <w:tc>
          <w:tcPr>
            <w:tcW w:w="7215" w:type="dxa"/>
            <w:vAlign w:val="center"/>
          </w:tcPr>
          <w:p w14:paraId="059BCEF4">
            <w:pPr>
              <w:spacing w:line="360" w:lineRule="auto"/>
              <w:rPr>
                <w:rFonts w:hint="eastAsia" w:ascii="宋体" w:hAnsi="宋体" w:eastAsia="宋体" w:cs="宋体"/>
                <w:szCs w:val="24"/>
                <w:highlight w:val="none"/>
              </w:rPr>
            </w:pPr>
            <w:r>
              <w:rPr>
                <w:rFonts w:hint="eastAsia" w:ascii="宋体" w:hAnsi="宋体" w:eastAsia="宋体" w:cs="宋体"/>
                <w:b/>
                <w:bCs/>
                <w:szCs w:val="24"/>
                <w:highlight w:val="none"/>
              </w:rPr>
              <w:t>正本的份数：壹份；副本的份数：贰份；报价一览表：壹份；电子版</w:t>
            </w:r>
            <w:r>
              <w:rPr>
                <w:rFonts w:hint="eastAsia" w:hAnsi="宋体" w:cs="宋体"/>
                <w:b/>
                <w:bCs/>
                <w:szCs w:val="24"/>
                <w:highlight w:val="none"/>
                <w:lang w:val="en-US" w:eastAsia="zh-CN"/>
              </w:rPr>
              <w:t>为</w:t>
            </w:r>
            <w:r>
              <w:rPr>
                <w:rFonts w:hint="eastAsia" w:ascii="宋体" w:hAnsi="宋体" w:eastAsia="宋体" w:cs="宋体"/>
                <w:b/>
                <w:bCs/>
                <w:sz w:val="24"/>
                <w:szCs w:val="24"/>
                <w:highlight w:val="none"/>
                <w:lang w:val="en-US" w:eastAsia="zh-CN"/>
              </w:rPr>
              <w:t>word</w:t>
            </w:r>
            <w:r>
              <w:rPr>
                <w:rFonts w:hint="eastAsia" w:ascii="宋体" w:hAnsi="宋体" w:cs="宋体"/>
                <w:b/>
                <w:bCs/>
                <w:sz w:val="24"/>
                <w:szCs w:val="24"/>
                <w:highlight w:val="none"/>
                <w:lang w:val="en-US" w:eastAsia="zh-CN"/>
              </w:rPr>
              <w:t>版</w:t>
            </w:r>
            <w:r>
              <w:rPr>
                <w:rFonts w:hint="eastAsia" w:ascii="宋体" w:hAnsi="宋体" w:eastAsia="宋体" w:cs="宋体"/>
                <w:b/>
                <w:bCs/>
                <w:sz w:val="24"/>
                <w:szCs w:val="24"/>
                <w:highlight w:val="none"/>
                <w:lang w:val="en-US" w:eastAsia="zh-CN"/>
              </w:rPr>
              <w:t>及</w:t>
            </w:r>
            <w:r>
              <w:rPr>
                <w:rFonts w:hint="eastAsia" w:ascii="宋体" w:hAnsi="宋体" w:cs="宋体"/>
                <w:b/>
                <w:bCs/>
                <w:sz w:val="24"/>
                <w:szCs w:val="24"/>
                <w:highlight w:val="none"/>
                <w:lang w:val="en-US" w:eastAsia="zh-CN"/>
              </w:rPr>
              <w:t>签字盖章后的扫描件</w:t>
            </w:r>
            <w:r>
              <w:rPr>
                <w:rFonts w:hint="eastAsia" w:ascii="宋体" w:hAnsi="宋体" w:eastAsia="宋体" w:cs="宋体"/>
                <w:b/>
                <w:bCs/>
                <w:sz w:val="24"/>
                <w:szCs w:val="24"/>
                <w:highlight w:val="none"/>
                <w:lang w:val="en-US" w:eastAsia="zh-CN"/>
              </w:rPr>
              <w:t>PDF</w:t>
            </w:r>
            <w:r>
              <w:rPr>
                <w:rFonts w:hint="eastAsia" w:ascii="宋体" w:hAnsi="宋体" w:cs="宋体"/>
                <w:b/>
                <w:bCs/>
                <w:sz w:val="24"/>
                <w:szCs w:val="24"/>
                <w:highlight w:val="none"/>
                <w:lang w:val="en-US" w:eastAsia="zh-CN"/>
              </w:rPr>
              <w:t>版</w:t>
            </w:r>
            <w:r>
              <w:rPr>
                <w:rFonts w:hint="eastAsia" w:ascii="宋体" w:hAnsi="宋体" w:eastAsia="宋体" w:cs="宋体"/>
                <w:b/>
                <w:bCs/>
                <w:szCs w:val="24"/>
                <w:highlight w:val="none"/>
              </w:rPr>
              <w:t>（U盘）：壹份</w:t>
            </w:r>
            <w:r>
              <w:rPr>
                <w:rFonts w:hint="eastAsia" w:ascii="宋体" w:hAnsi="宋体" w:eastAsia="宋体" w:cs="宋体"/>
                <w:szCs w:val="24"/>
                <w:highlight w:val="none"/>
              </w:rPr>
              <w:t>（需在盘面上标注供应商全称、项目名称、编号）。</w:t>
            </w:r>
          </w:p>
          <w:p w14:paraId="7D1861C8">
            <w:pPr>
              <w:spacing w:line="360" w:lineRule="auto"/>
              <w:rPr>
                <w:rFonts w:hAnsi="宋体" w:cs="宋体"/>
                <w:color w:val="auto"/>
                <w:szCs w:val="24"/>
                <w:highlight w:val="none"/>
              </w:rPr>
            </w:pPr>
            <w:r>
              <w:rPr>
                <w:rFonts w:hint="eastAsia" w:hAnsi="宋体" w:cs="宋体"/>
                <w:b/>
                <w:bCs/>
                <w:szCs w:val="24"/>
                <w:highlight w:val="none"/>
                <w:lang w:val="en-US" w:eastAsia="zh-CN"/>
              </w:rPr>
              <w:t>磋商响应文件双面打印。</w:t>
            </w:r>
          </w:p>
        </w:tc>
      </w:tr>
      <w:tr w14:paraId="33D83D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vAlign w:val="center"/>
          </w:tcPr>
          <w:p w14:paraId="6B6D836B">
            <w:pPr>
              <w:spacing w:line="360" w:lineRule="auto"/>
              <w:jc w:val="center"/>
              <w:rPr>
                <w:rFonts w:hAnsi="宋体" w:cs="宋体"/>
                <w:color w:val="auto"/>
                <w:szCs w:val="24"/>
                <w:highlight w:val="none"/>
              </w:rPr>
            </w:pPr>
            <w:r>
              <w:rPr>
                <w:rFonts w:hint="eastAsia" w:hAnsi="宋体" w:cs="宋体"/>
                <w:color w:val="auto"/>
                <w:szCs w:val="24"/>
                <w:highlight w:val="none"/>
              </w:rPr>
              <w:t>10</w:t>
            </w:r>
          </w:p>
        </w:tc>
        <w:tc>
          <w:tcPr>
            <w:tcW w:w="1090" w:type="dxa"/>
            <w:vAlign w:val="center"/>
          </w:tcPr>
          <w:p w14:paraId="230634D3">
            <w:pPr>
              <w:spacing w:afterLines="50" w:line="360" w:lineRule="auto"/>
              <w:jc w:val="center"/>
              <w:rPr>
                <w:rFonts w:hAnsi="宋体" w:cs="宋体"/>
                <w:color w:val="auto"/>
                <w:szCs w:val="24"/>
                <w:highlight w:val="none"/>
              </w:rPr>
            </w:pPr>
            <w:r>
              <w:rPr>
                <w:rFonts w:hint="eastAsia" w:hAnsi="宋体" w:cs="宋体"/>
                <w:color w:val="auto"/>
                <w:szCs w:val="24"/>
                <w:highlight w:val="none"/>
              </w:rPr>
              <w:t>17.2</w:t>
            </w:r>
          </w:p>
        </w:tc>
        <w:tc>
          <w:tcPr>
            <w:tcW w:w="7215" w:type="dxa"/>
            <w:vAlign w:val="center"/>
          </w:tcPr>
          <w:p w14:paraId="786F0F1B">
            <w:pPr>
              <w:spacing w:line="360" w:lineRule="auto"/>
              <w:rPr>
                <w:rFonts w:hAnsi="宋体" w:cs="宋体"/>
                <w:color w:val="auto"/>
                <w:szCs w:val="24"/>
                <w:highlight w:val="none"/>
              </w:rPr>
            </w:pPr>
            <w:r>
              <w:rPr>
                <w:rFonts w:hint="eastAsia" w:hAnsi="宋体" w:cs="宋体"/>
                <w:color w:val="auto"/>
                <w:szCs w:val="24"/>
                <w:highlight w:val="none"/>
              </w:rPr>
              <w:t>竞争性磋商响应文件正本、电子版本、报价一览表密封装在“正本”封袋中，所有的副本密封装在“副本”的封袋中（封袋不得有破损）。封袋应加贴封条，并在封线处加盖供应商公章，封袋正面要粘贴供应商全称、项目名称、编号等标识。</w:t>
            </w:r>
          </w:p>
        </w:tc>
      </w:tr>
      <w:tr w14:paraId="3F737A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vAlign w:val="center"/>
          </w:tcPr>
          <w:p w14:paraId="1F9C6F20">
            <w:pPr>
              <w:spacing w:afterLines="50" w:line="360" w:lineRule="auto"/>
              <w:jc w:val="center"/>
              <w:rPr>
                <w:rFonts w:hAnsi="宋体" w:cs="宋体"/>
                <w:color w:val="auto"/>
                <w:szCs w:val="24"/>
                <w:highlight w:val="none"/>
              </w:rPr>
            </w:pPr>
            <w:r>
              <w:rPr>
                <w:rFonts w:hint="eastAsia" w:hAnsi="宋体" w:cs="宋体"/>
                <w:color w:val="auto"/>
                <w:szCs w:val="24"/>
                <w:highlight w:val="none"/>
              </w:rPr>
              <w:t>11</w:t>
            </w:r>
          </w:p>
        </w:tc>
        <w:tc>
          <w:tcPr>
            <w:tcW w:w="1090" w:type="dxa"/>
            <w:vAlign w:val="center"/>
          </w:tcPr>
          <w:p w14:paraId="7424BB43">
            <w:pPr>
              <w:spacing w:afterLines="50" w:line="360" w:lineRule="auto"/>
              <w:jc w:val="center"/>
              <w:rPr>
                <w:rFonts w:hAnsi="宋体" w:cs="宋体"/>
                <w:color w:val="auto"/>
                <w:szCs w:val="24"/>
                <w:highlight w:val="none"/>
              </w:rPr>
            </w:pPr>
            <w:r>
              <w:rPr>
                <w:rFonts w:hint="eastAsia" w:hAnsi="宋体" w:cs="宋体"/>
                <w:color w:val="auto"/>
                <w:szCs w:val="24"/>
                <w:highlight w:val="none"/>
              </w:rPr>
              <w:t>18.1</w:t>
            </w:r>
          </w:p>
        </w:tc>
        <w:tc>
          <w:tcPr>
            <w:tcW w:w="7215" w:type="dxa"/>
          </w:tcPr>
          <w:p w14:paraId="567F3434">
            <w:pPr>
              <w:spacing w:line="360" w:lineRule="auto"/>
              <w:rPr>
                <w:rFonts w:hAnsi="宋体" w:cs="宋体"/>
                <w:color w:val="auto"/>
                <w:szCs w:val="24"/>
                <w:highlight w:val="none"/>
              </w:rPr>
            </w:pPr>
            <w:r>
              <w:rPr>
                <w:rFonts w:hint="eastAsia" w:hAnsi="宋体" w:cs="宋体"/>
                <w:color w:val="auto"/>
                <w:szCs w:val="24"/>
                <w:highlight w:val="none"/>
              </w:rPr>
              <w:t>磋商响应文件递交截止时间：详见磋商公告</w:t>
            </w:r>
          </w:p>
          <w:p w14:paraId="2413806B">
            <w:pPr>
              <w:spacing w:line="360" w:lineRule="auto"/>
              <w:jc w:val="left"/>
              <w:rPr>
                <w:rFonts w:hAnsi="宋体" w:cs="宋体"/>
                <w:color w:val="auto"/>
                <w:szCs w:val="24"/>
                <w:highlight w:val="none"/>
              </w:rPr>
            </w:pPr>
            <w:r>
              <w:rPr>
                <w:rFonts w:hint="eastAsia" w:hAnsi="宋体" w:cs="宋体"/>
                <w:color w:val="auto"/>
                <w:szCs w:val="24"/>
                <w:highlight w:val="none"/>
              </w:rPr>
              <w:t>磋商响应文件递交地址：</w:t>
            </w:r>
            <w:r>
              <w:rPr>
                <w:rFonts w:hint="eastAsia" w:ascii="宋体" w:hAnsi="宋体" w:eastAsia="宋体" w:cs="宋体"/>
                <w:sz w:val="24"/>
                <w:szCs w:val="24"/>
              </w:rPr>
              <w:t>陕西省西安市经济技术开发区未央路171-1号银池道拉斯财富中心21楼03室</w:t>
            </w:r>
          </w:p>
          <w:p w14:paraId="2C42C3D3">
            <w:pPr>
              <w:spacing w:line="360" w:lineRule="auto"/>
              <w:rPr>
                <w:rFonts w:hAnsi="宋体" w:cs="宋体"/>
                <w:color w:val="auto"/>
                <w:szCs w:val="24"/>
                <w:highlight w:val="none"/>
              </w:rPr>
            </w:pPr>
            <w:r>
              <w:rPr>
                <w:rFonts w:hint="eastAsia" w:hAnsi="宋体" w:cs="宋体"/>
                <w:color w:val="auto"/>
                <w:szCs w:val="24"/>
                <w:highlight w:val="none"/>
              </w:rPr>
              <w:t>磋商响应文件接收人：陕西至诚项目管理集团有限公司</w:t>
            </w:r>
          </w:p>
        </w:tc>
      </w:tr>
      <w:tr w14:paraId="156A2C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90" w:hRule="atLeast"/>
          <w:jc w:val="center"/>
        </w:trPr>
        <w:tc>
          <w:tcPr>
            <w:tcW w:w="592" w:type="dxa"/>
            <w:vAlign w:val="center"/>
          </w:tcPr>
          <w:p w14:paraId="27488F04">
            <w:pPr>
              <w:spacing w:afterLines="50" w:line="360" w:lineRule="auto"/>
              <w:jc w:val="center"/>
              <w:rPr>
                <w:rFonts w:hAnsi="宋体" w:cs="宋体"/>
                <w:color w:val="auto"/>
                <w:szCs w:val="24"/>
                <w:highlight w:val="none"/>
              </w:rPr>
            </w:pPr>
            <w:r>
              <w:rPr>
                <w:rFonts w:hint="eastAsia" w:hAnsi="宋体" w:cs="宋体"/>
                <w:color w:val="auto"/>
                <w:szCs w:val="24"/>
                <w:highlight w:val="none"/>
              </w:rPr>
              <w:t>12</w:t>
            </w:r>
          </w:p>
        </w:tc>
        <w:tc>
          <w:tcPr>
            <w:tcW w:w="1090" w:type="dxa"/>
            <w:vAlign w:val="center"/>
          </w:tcPr>
          <w:p w14:paraId="0C0570C0">
            <w:pPr>
              <w:spacing w:afterLines="50" w:line="360" w:lineRule="auto"/>
              <w:jc w:val="center"/>
              <w:rPr>
                <w:rFonts w:hAnsi="宋体" w:cs="宋体"/>
                <w:color w:val="auto"/>
                <w:szCs w:val="24"/>
                <w:highlight w:val="none"/>
              </w:rPr>
            </w:pPr>
            <w:r>
              <w:rPr>
                <w:rFonts w:hint="eastAsia" w:hAnsi="宋体" w:cs="宋体"/>
                <w:color w:val="auto"/>
                <w:szCs w:val="24"/>
                <w:highlight w:val="none"/>
              </w:rPr>
              <w:t>21.1</w:t>
            </w:r>
          </w:p>
        </w:tc>
        <w:tc>
          <w:tcPr>
            <w:tcW w:w="7215" w:type="dxa"/>
            <w:vAlign w:val="center"/>
          </w:tcPr>
          <w:p w14:paraId="00FB968C">
            <w:pPr>
              <w:spacing w:line="360" w:lineRule="auto"/>
              <w:rPr>
                <w:rFonts w:hAnsi="宋体" w:cs="宋体"/>
                <w:color w:val="auto"/>
                <w:szCs w:val="24"/>
                <w:highlight w:val="none"/>
              </w:rPr>
            </w:pPr>
            <w:r>
              <w:rPr>
                <w:rFonts w:hint="eastAsia" w:hAnsi="宋体" w:cs="宋体"/>
                <w:color w:val="auto"/>
                <w:szCs w:val="24"/>
                <w:highlight w:val="none"/>
              </w:rPr>
              <w:t>磋商时间：详见磋商公告</w:t>
            </w:r>
          </w:p>
          <w:p w14:paraId="418B2FCC">
            <w:pPr>
              <w:spacing w:line="360" w:lineRule="auto"/>
              <w:rPr>
                <w:rFonts w:hAnsi="宋体" w:cs="宋体"/>
                <w:color w:val="auto"/>
                <w:szCs w:val="24"/>
                <w:highlight w:val="none"/>
              </w:rPr>
            </w:pPr>
            <w:r>
              <w:rPr>
                <w:rFonts w:hint="eastAsia" w:hAnsi="宋体" w:cs="宋体"/>
                <w:color w:val="auto"/>
                <w:szCs w:val="24"/>
                <w:highlight w:val="none"/>
              </w:rPr>
              <w:t>磋商地点：</w:t>
            </w:r>
            <w:r>
              <w:rPr>
                <w:rFonts w:hint="eastAsia" w:ascii="宋体" w:hAnsi="宋体" w:eastAsia="宋体" w:cs="宋体"/>
                <w:sz w:val="24"/>
                <w:szCs w:val="24"/>
              </w:rPr>
              <w:t>陕西省西安市经济技术开发区未央路171-1号银池道拉斯财富中心21楼03室</w:t>
            </w:r>
          </w:p>
        </w:tc>
      </w:tr>
      <w:tr w14:paraId="3CE45D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89" w:hRule="atLeast"/>
          <w:jc w:val="center"/>
        </w:trPr>
        <w:tc>
          <w:tcPr>
            <w:tcW w:w="592" w:type="dxa"/>
            <w:vAlign w:val="center"/>
          </w:tcPr>
          <w:p w14:paraId="026FFAA2">
            <w:pPr>
              <w:spacing w:afterLines="50" w:line="360" w:lineRule="auto"/>
              <w:jc w:val="center"/>
              <w:rPr>
                <w:rFonts w:hAnsi="宋体" w:cs="宋体"/>
                <w:color w:val="auto"/>
                <w:szCs w:val="24"/>
                <w:highlight w:val="none"/>
              </w:rPr>
            </w:pPr>
            <w:r>
              <w:rPr>
                <w:rFonts w:hint="eastAsia" w:hAnsi="宋体" w:cs="宋体"/>
                <w:color w:val="auto"/>
                <w:szCs w:val="24"/>
                <w:highlight w:val="none"/>
              </w:rPr>
              <w:t>13</w:t>
            </w:r>
          </w:p>
        </w:tc>
        <w:tc>
          <w:tcPr>
            <w:tcW w:w="1090" w:type="dxa"/>
            <w:vAlign w:val="center"/>
          </w:tcPr>
          <w:p w14:paraId="7E1EC5AB">
            <w:pPr>
              <w:spacing w:afterLines="50" w:line="360" w:lineRule="auto"/>
              <w:jc w:val="center"/>
              <w:rPr>
                <w:rFonts w:hAnsi="宋体" w:cs="宋体"/>
                <w:color w:val="auto"/>
                <w:szCs w:val="24"/>
                <w:highlight w:val="none"/>
              </w:rPr>
            </w:pPr>
            <w:r>
              <w:rPr>
                <w:rFonts w:hint="eastAsia" w:hAnsi="宋体" w:cs="宋体"/>
                <w:color w:val="auto"/>
                <w:szCs w:val="24"/>
                <w:highlight w:val="none"/>
              </w:rPr>
              <w:t>24.1</w:t>
            </w:r>
          </w:p>
        </w:tc>
        <w:tc>
          <w:tcPr>
            <w:tcW w:w="7215" w:type="dxa"/>
            <w:vAlign w:val="center"/>
          </w:tcPr>
          <w:p w14:paraId="5770893F">
            <w:pPr>
              <w:spacing w:afterLines="50" w:line="360" w:lineRule="auto"/>
              <w:jc w:val="left"/>
              <w:rPr>
                <w:rFonts w:hAnsi="宋体" w:cs="宋体"/>
                <w:color w:val="auto"/>
                <w:szCs w:val="24"/>
                <w:highlight w:val="none"/>
              </w:rPr>
            </w:pPr>
            <w:r>
              <w:rPr>
                <w:rFonts w:hint="eastAsia" w:hAnsi="宋体" w:cs="宋体"/>
                <w:b/>
                <w:bCs/>
                <w:color w:val="auto"/>
                <w:szCs w:val="24"/>
                <w:highlight w:val="none"/>
              </w:rPr>
              <w:t>评审方法：综合评分法（详见第三章）</w:t>
            </w:r>
          </w:p>
        </w:tc>
      </w:tr>
      <w:tr w14:paraId="578748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vAlign w:val="center"/>
          </w:tcPr>
          <w:p w14:paraId="35C92C32">
            <w:pPr>
              <w:spacing w:afterLines="50" w:line="360" w:lineRule="auto"/>
              <w:jc w:val="center"/>
              <w:rPr>
                <w:rFonts w:hAnsi="宋体" w:cs="宋体"/>
                <w:color w:val="auto"/>
                <w:szCs w:val="24"/>
                <w:highlight w:val="none"/>
              </w:rPr>
            </w:pPr>
            <w:r>
              <w:rPr>
                <w:rFonts w:hint="eastAsia" w:hAnsi="宋体" w:cs="宋体"/>
                <w:color w:val="auto"/>
                <w:szCs w:val="24"/>
                <w:highlight w:val="none"/>
              </w:rPr>
              <w:t>14</w:t>
            </w:r>
          </w:p>
        </w:tc>
        <w:tc>
          <w:tcPr>
            <w:tcW w:w="1090" w:type="dxa"/>
            <w:vAlign w:val="center"/>
          </w:tcPr>
          <w:p w14:paraId="43810ABC">
            <w:pPr>
              <w:spacing w:afterLines="50" w:line="360" w:lineRule="auto"/>
              <w:jc w:val="center"/>
              <w:rPr>
                <w:rFonts w:hAnsi="宋体" w:cs="宋体"/>
                <w:color w:val="auto"/>
                <w:szCs w:val="24"/>
                <w:highlight w:val="none"/>
              </w:rPr>
            </w:pPr>
            <w:r>
              <w:rPr>
                <w:rFonts w:hint="eastAsia" w:hAnsi="宋体" w:cs="宋体"/>
                <w:color w:val="auto"/>
                <w:szCs w:val="24"/>
                <w:highlight w:val="none"/>
              </w:rPr>
              <w:t>29</w:t>
            </w:r>
          </w:p>
        </w:tc>
        <w:tc>
          <w:tcPr>
            <w:tcW w:w="7215" w:type="dxa"/>
            <w:vAlign w:val="center"/>
          </w:tcPr>
          <w:p w14:paraId="2AE7385C">
            <w:pPr>
              <w:spacing w:line="360" w:lineRule="auto"/>
              <w:rPr>
                <w:rFonts w:hAnsi="宋体" w:cs="宋体"/>
                <w:color w:val="auto"/>
                <w:szCs w:val="24"/>
                <w:highlight w:val="none"/>
              </w:rPr>
            </w:pPr>
            <w:r>
              <w:rPr>
                <w:rFonts w:hint="eastAsia" w:hAnsi="宋体" w:cs="宋体"/>
                <w:color w:val="auto"/>
                <w:szCs w:val="24"/>
                <w:highlight w:val="none"/>
              </w:rPr>
              <w:t>代理服务费：</w:t>
            </w:r>
          </w:p>
          <w:p w14:paraId="4B1EDDCE">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29.1代理服务费：以中标金额为基数，依据国家计委颁发的《招标代理服务收费管理暂行办法》（计价格〔2002〕1980号）</w:t>
            </w:r>
            <w:r>
              <w:rPr>
                <w:rFonts w:hint="eastAsia" w:hAnsi="宋体" w:cs="宋体"/>
                <w:color w:val="auto"/>
                <w:szCs w:val="24"/>
                <w:highlight w:val="none"/>
                <w:lang w:val="en-US" w:eastAsia="zh-CN"/>
              </w:rPr>
              <w:t>及</w:t>
            </w:r>
            <w:r>
              <w:rPr>
                <w:rFonts w:hint="eastAsia" w:hAnsi="宋体" w:cs="宋体"/>
                <w:color w:val="auto"/>
                <w:szCs w:val="24"/>
                <w:highlight w:val="none"/>
              </w:rPr>
              <w:t>国家发展和改革委员会办公厅颁发的《关于招标代理服务收费有关问题的通知》（发改办价格〔2003〕857号）的有关规定执行，不足6000元按6000元收取。</w:t>
            </w:r>
          </w:p>
          <w:p w14:paraId="73C78E3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29.2本项目代理服务费由中标单位支付，中标单位应依据成交金额向招标代理机构交纳招标代理服务费。</w:t>
            </w:r>
          </w:p>
        </w:tc>
      </w:tr>
      <w:tr w14:paraId="0AD2BF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vAlign w:val="center"/>
          </w:tcPr>
          <w:p w14:paraId="058E3002">
            <w:pPr>
              <w:spacing w:afterLines="50" w:line="360" w:lineRule="auto"/>
              <w:jc w:val="center"/>
              <w:rPr>
                <w:rFonts w:hAnsi="宋体" w:cs="宋体"/>
                <w:color w:val="auto"/>
                <w:szCs w:val="24"/>
                <w:highlight w:val="none"/>
              </w:rPr>
            </w:pPr>
            <w:r>
              <w:rPr>
                <w:rFonts w:hint="eastAsia" w:hAnsi="宋体" w:cs="宋体"/>
                <w:color w:val="auto"/>
                <w:szCs w:val="24"/>
                <w:highlight w:val="none"/>
              </w:rPr>
              <w:t>15</w:t>
            </w:r>
          </w:p>
        </w:tc>
        <w:tc>
          <w:tcPr>
            <w:tcW w:w="1090" w:type="dxa"/>
            <w:vAlign w:val="center"/>
          </w:tcPr>
          <w:p w14:paraId="2AB1CB54">
            <w:pPr>
              <w:spacing w:line="360" w:lineRule="auto"/>
              <w:jc w:val="center"/>
              <w:rPr>
                <w:rFonts w:hAnsi="宋体" w:cs="宋体"/>
                <w:color w:val="auto"/>
                <w:szCs w:val="24"/>
                <w:highlight w:val="none"/>
              </w:rPr>
            </w:pPr>
            <w:r>
              <w:rPr>
                <w:rFonts w:hint="eastAsia" w:hAnsi="宋体" w:cs="宋体"/>
                <w:color w:val="auto"/>
                <w:szCs w:val="24"/>
                <w:highlight w:val="none"/>
              </w:rPr>
              <w:t>踏勘</w:t>
            </w:r>
          </w:p>
          <w:p w14:paraId="32D637B1">
            <w:pPr>
              <w:spacing w:line="360" w:lineRule="auto"/>
              <w:jc w:val="center"/>
              <w:rPr>
                <w:rFonts w:hAnsi="宋体" w:cs="宋体"/>
                <w:color w:val="auto"/>
                <w:szCs w:val="24"/>
                <w:highlight w:val="none"/>
              </w:rPr>
            </w:pPr>
            <w:r>
              <w:rPr>
                <w:rFonts w:hint="eastAsia" w:hAnsi="宋体" w:cs="宋体"/>
                <w:color w:val="auto"/>
                <w:szCs w:val="24"/>
                <w:highlight w:val="none"/>
              </w:rPr>
              <w:t>现场</w:t>
            </w:r>
          </w:p>
        </w:tc>
        <w:tc>
          <w:tcPr>
            <w:tcW w:w="7215" w:type="dxa"/>
            <w:vAlign w:val="center"/>
          </w:tcPr>
          <w:p w14:paraId="75216FAE">
            <w:pPr>
              <w:spacing w:line="360" w:lineRule="auto"/>
              <w:rPr>
                <w:rFonts w:hAnsi="宋体" w:cs="宋体"/>
                <w:color w:val="auto"/>
                <w:szCs w:val="24"/>
                <w:highlight w:val="none"/>
              </w:rPr>
            </w:pPr>
            <w:r>
              <w:rPr>
                <w:rFonts w:hint="eastAsia" w:hAnsi="宋体" w:cs="宋体"/>
                <w:color w:val="auto"/>
                <w:szCs w:val="24"/>
                <w:highlight w:val="none"/>
              </w:rPr>
              <w:t>1）招标代理机构不组织统一踏勘，各供应商自行踏勘，相关费用及安全由供应商自行承担，踏勘时遵守相关规定，不得扰民。</w:t>
            </w:r>
          </w:p>
          <w:p w14:paraId="34A8761F">
            <w:pPr>
              <w:spacing w:line="360" w:lineRule="auto"/>
              <w:rPr>
                <w:rFonts w:hAnsi="宋体" w:cs="宋体"/>
                <w:color w:val="auto"/>
                <w:szCs w:val="24"/>
                <w:highlight w:val="none"/>
              </w:rPr>
            </w:pPr>
            <w:r>
              <w:rPr>
                <w:rFonts w:hint="eastAsia" w:hAnsi="宋体" w:cs="宋体"/>
                <w:color w:val="auto"/>
                <w:szCs w:val="24"/>
                <w:highlight w:val="none"/>
              </w:rPr>
              <w:t>2）踏勘内容包含：完成本次招标所需要的现场情况及周围环境等资料。</w:t>
            </w:r>
          </w:p>
        </w:tc>
      </w:tr>
      <w:tr w14:paraId="64AB69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33653198">
            <w:pPr>
              <w:spacing w:afterLines="50" w:line="360" w:lineRule="auto"/>
              <w:jc w:val="center"/>
              <w:rPr>
                <w:rFonts w:hAnsi="宋体" w:cs="宋体"/>
                <w:color w:val="auto"/>
                <w:szCs w:val="24"/>
                <w:highlight w:val="none"/>
              </w:rPr>
            </w:pPr>
            <w:r>
              <w:rPr>
                <w:rFonts w:hint="eastAsia" w:hAnsi="宋体" w:cs="宋体"/>
                <w:color w:val="auto"/>
                <w:szCs w:val="24"/>
                <w:highlight w:val="none"/>
              </w:rPr>
              <w:t>16</w:t>
            </w:r>
          </w:p>
        </w:tc>
        <w:tc>
          <w:tcPr>
            <w:tcW w:w="1090" w:type="dxa"/>
            <w:vAlign w:val="center"/>
          </w:tcPr>
          <w:p w14:paraId="71396A41">
            <w:pPr>
              <w:jc w:val="center"/>
              <w:rPr>
                <w:rFonts w:hAnsi="宋体" w:cs="宋体"/>
                <w:b/>
                <w:bCs/>
                <w:color w:val="auto"/>
                <w:szCs w:val="24"/>
                <w:highlight w:val="none"/>
              </w:rPr>
            </w:pPr>
            <w:r>
              <w:rPr>
                <w:rFonts w:hint="eastAsia" w:hAnsi="宋体" w:cs="宋体"/>
                <w:b/>
                <w:bCs/>
                <w:color w:val="auto"/>
                <w:szCs w:val="24"/>
                <w:highlight w:val="none"/>
              </w:rPr>
              <w:t>银行</w:t>
            </w:r>
          </w:p>
          <w:p w14:paraId="0A69684A">
            <w:pPr>
              <w:jc w:val="center"/>
              <w:rPr>
                <w:rFonts w:hAnsi="宋体" w:cs="宋体"/>
                <w:b/>
                <w:bCs/>
                <w:color w:val="auto"/>
                <w:szCs w:val="24"/>
                <w:highlight w:val="none"/>
              </w:rPr>
            </w:pPr>
            <w:r>
              <w:rPr>
                <w:rFonts w:hint="eastAsia" w:hAnsi="宋体" w:cs="宋体"/>
                <w:b/>
                <w:bCs/>
                <w:color w:val="auto"/>
                <w:szCs w:val="24"/>
                <w:highlight w:val="none"/>
              </w:rPr>
              <w:t>账户</w:t>
            </w:r>
          </w:p>
          <w:p w14:paraId="2A40E4B6">
            <w:pPr>
              <w:jc w:val="center"/>
              <w:rPr>
                <w:rFonts w:hAnsi="宋体" w:cs="宋体"/>
                <w:color w:val="auto"/>
                <w:szCs w:val="24"/>
                <w:highlight w:val="none"/>
              </w:rPr>
            </w:pPr>
            <w:r>
              <w:rPr>
                <w:rFonts w:hint="eastAsia" w:hAnsi="宋体" w:cs="宋体"/>
                <w:b/>
                <w:bCs/>
                <w:color w:val="auto"/>
                <w:szCs w:val="24"/>
                <w:highlight w:val="none"/>
              </w:rPr>
              <w:t>信息</w:t>
            </w:r>
          </w:p>
        </w:tc>
        <w:tc>
          <w:tcPr>
            <w:tcW w:w="7215" w:type="dxa"/>
            <w:vAlign w:val="center"/>
          </w:tcPr>
          <w:p w14:paraId="1791B035">
            <w:pPr>
              <w:spacing w:line="520" w:lineRule="exact"/>
              <w:rPr>
                <w:rFonts w:hAnsi="宋体" w:cs="宋体"/>
                <w:b/>
                <w:bCs/>
                <w:color w:val="auto"/>
                <w:szCs w:val="24"/>
                <w:highlight w:val="none"/>
              </w:rPr>
            </w:pPr>
            <w:r>
              <w:rPr>
                <w:rFonts w:hint="eastAsia" w:hAnsi="宋体" w:cs="宋体"/>
                <w:b/>
                <w:bCs/>
                <w:color w:val="auto"/>
                <w:szCs w:val="24"/>
                <w:highlight w:val="none"/>
              </w:rPr>
              <w:t>1、保证金及代理服务费账户：</w:t>
            </w:r>
          </w:p>
          <w:p w14:paraId="00FF08C4">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①采购代理机构开户名称: 陕西至诚项目管理集团有限公司</w:t>
            </w:r>
          </w:p>
          <w:p w14:paraId="5EBE9646">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②开户行名称：中国建设银行股份有限公司西安高新技术产业开发区支行</w:t>
            </w:r>
          </w:p>
          <w:p w14:paraId="2362D750">
            <w:p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③账号：61050192090000002152</w:t>
            </w:r>
          </w:p>
        </w:tc>
      </w:tr>
      <w:tr w14:paraId="345A33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vAlign w:val="center"/>
          </w:tcPr>
          <w:p w14:paraId="63ADEE15">
            <w:pPr>
              <w:spacing w:afterLines="50" w:line="360" w:lineRule="auto"/>
              <w:jc w:val="center"/>
              <w:rPr>
                <w:rFonts w:hAnsi="宋体" w:cs="宋体"/>
                <w:color w:val="auto"/>
                <w:szCs w:val="24"/>
                <w:highlight w:val="none"/>
              </w:rPr>
            </w:pPr>
            <w:r>
              <w:rPr>
                <w:rFonts w:hint="eastAsia" w:hAnsi="宋体" w:cs="宋体"/>
                <w:color w:val="auto"/>
                <w:szCs w:val="24"/>
                <w:highlight w:val="none"/>
              </w:rPr>
              <w:t>17</w:t>
            </w:r>
          </w:p>
        </w:tc>
        <w:tc>
          <w:tcPr>
            <w:tcW w:w="1090" w:type="dxa"/>
            <w:vAlign w:val="center"/>
          </w:tcPr>
          <w:p w14:paraId="30B1CF7F">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项目</w:t>
            </w:r>
          </w:p>
          <w:p w14:paraId="6556C214">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性质</w:t>
            </w:r>
          </w:p>
        </w:tc>
        <w:tc>
          <w:tcPr>
            <w:tcW w:w="7215" w:type="dxa"/>
            <w:vAlign w:val="center"/>
          </w:tcPr>
          <w:p w14:paraId="486F7896">
            <w:pPr>
              <w:spacing w:line="500" w:lineRule="exact"/>
              <w:rPr>
                <w:rFonts w:hAnsi="宋体" w:cs="宋体"/>
                <w:b/>
                <w:bCs/>
                <w:color w:val="auto"/>
                <w:szCs w:val="24"/>
                <w:highlight w:val="none"/>
              </w:rPr>
            </w:pPr>
            <w:r>
              <w:rPr>
                <w:rFonts w:hint="eastAsia" w:hAnsi="宋体" w:cs="宋体"/>
                <w:b/>
                <w:bCs/>
                <w:color w:val="auto"/>
                <w:szCs w:val="24"/>
                <w:highlight w:val="none"/>
              </w:rPr>
              <w:t>本项目</w:t>
            </w:r>
            <w:r>
              <w:rPr>
                <w:rFonts w:hint="eastAsia" w:hAnsi="宋体" w:cs="宋体"/>
                <w:b/>
                <w:bCs/>
                <w:color w:val="auto"/>
                <w:szCs w:val="24"/>
                <w:highlight w:val="none"/>
                <w:lang w:val="en-US" w:eastAsia="zh-CN"/>
              </w:rPr>
              <w:t>为非</w:t>
            </w:r>
            <w:r>
              <w:rPr>
                <w:rFonts w:hint="eastAsia" w:hAnsi="宋体" w:cs="宋体"/>
                <w:b/>
                <w:bCs/>
                <w:color w:val="auto"/>
                <w:szCs w:val="24"/>
                <w:highlight w:val="none"/>
              </w:rPr>
              <w:t>专门面向中小企业</w:t>
            </w:r>
          </w:p>
        </w:tc>
      </w:tr>
      <w:tr w14:paraId="71057F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7F202D7E">
            <w:pPr>
              <w:spacing w:afterLines="50" w:line="360" w:lineRule="auto"/>
              <w:jc w:val="center"/>
              <w:rPr>
                <w:rFonts w:hAnsi="宋体" w:cs="宋体"/>
                <w:color w:val="auto"/>
                <w:szCs w:val="24"/>
                <w:highlight w:val="none"/>
              </w:rPr>
            </w:pPr>
            <w:r>
              <w:rPr>
                <w:rFonts w:hint="eastAsia" w:hAnsi="宋体" w:cs="宋体"/>
                <w:color w:val="auto"/>
                <w:szCs w:val="24"/>
                <w:highlight w:val="none"/>
              </w:rPr>
              <w:t>18</w:t>
            </w:r>
          </w:p>
        </w:tc>
        <w:tc>
          <w:tcPr>
            <w:tcW w:w="1090" w:type="dxa"/>
            <w:vAlign w:val="center"/>
          </w:tcPr>
          <w:p w14:paraId="564740BB">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lang w:val="en-US" w:eastAsia="zh-CN"/>
              </w:rPr>
              <w:t>项目</w:t>
            </w:r>
            <w:r>
              <w:rPr>
                <w:rFonts w:hint="eastAsia" w:hAnsi="宋体" w:cs="宋体"/>
                <w:b/>
                <w:bCs/>
                <w:color w:val="auto"/>
                <w:szCs w:val="24"/>
                <w:highlight w:val="none"/>
              </w:rPr>
              <w:t>所属行业</w:t>
            </w:r>
          </w:p>
        </w:tc>
        <w:tc>
          <w:tcPr>
            <w:tcW w:w="7215" w:type="dxa"/>
            <w:vAlign w:val="center"/>
          </w:tcPr>
          <w:p w14:paraId="3449D6A6">
            <w:pPr>
              <w:spacing w:line="500" w:lineRule="exact"/>
              <w:rPr>
                <w:rFonts w:hint="default" w:hAnsi="宋体" w:eastAsia="宋体" w:cs="宋体"/>
                <w:b/>
                <w:bCs/>
                <w:color w:val="auto"/>
                <w:szCs w:val="24"/>
                <w:highlight w:val="none"/>
                <w:lang w:val="en-US" w:eastAsia="zh-CN"/>
              </w:rPr>
            </w:pPr>
            <w:r>
              <w:rPr>
                <w:rFonts w:hint="eastAsia" w:hAnsi="宋体" w:cs="宋体"/>
                <w:b/>
                <w:bCs/>
                <w:color w:val="auto"/>
                <w:szCs w:val="24"/>
                <w:highlight w:val="none"/>
                <w:lang w:val="en-US" w:eastAsia="zh-CN"/>
              </w:rPr>
              <w:t>其他未列明行业</w:t>
            </w:r>
          </w:p>
        </w:tc>
      </w:tr>
      <w:tr w14:paraId="7BF909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7C9FC379">
            <w:pPr>
              <w:spacing w:afterLines="50" w:line="360" w:lineRule="auto"/>
              <w:jc w:val="center"/>
              <w:rPr>
                <w:rFonts w:hAnsi="宋体" w:cs="宋体"/>
                <w:color w:val="auto"/>
                <w:szCs w:val="24"/>
                <w:highlight w:val="none"/>
              </w:rPr>
            </w:pPr>
            <w:r>
              <w:rPr>
                <w:rFonts w:hint="eastAsia" w:hAnsi="宋体" w:cs="宋体"/>
                <w:color w:val="auto"/>
                <w:szCs w:val="24"/>
                <w:highlight w:val="none"/>
              </w:rPr>
              <w:t>19</w:t>
            </w:r>
          </w:p>
        </w:tc>
        <w:tc>
          <w:tcPr>
            <w:tcW w:w="1090" w:type="dxa"/>
            <w:vAlign w:val="center"/>
          </w:tcPr>
          <w:p w14:paraId="6E0953B7">
            <w:pPr>
              <w:widowControl/>
              <w:spacing w:line="360" w:lineRule="auto"/>
              <w:jc w:val="center"/>
              <w:rPr>
                <w:rFonts w:hAnsi="宋体" w:cs="宋体"/>
                <w:b/>
                <w:bCs/>
                <w:color w:val="auto"/>
                <w:szCs w:val="24"/>
                <w:highlight w:val="none"/>
              </w:rPr>
            </w:pPr>
            <w:r>
              <w:rPr>
                <w:rFonts w:hint="eastAsia" w:hAnsi="宋体" w:cs="宋体"/>
                <w:color w:val="auto"/>
                <w:kern w:val="2"/>
                <w:szCs w:val="24"/>
                <w:highlight w:val="none"/>
              </w:rPr>
              <w:t>其他</w:t>
            </w:r>
          </w:p>
        </w:tc>
        <w:tc>
          <w:tcPr>
            <w:tcW w:w="7215" w:type="dxa"/>
            <w:vAlign w:val="center"/>
          </w:tcPr>
          <w:p w14:paraId="29D6E129">
            <w:pPr>
              <w:spacing w:line="360" w:lineRule="auto"/>
              <w:ind w:firstLine="480" w:firstLineChars="200"/>
              <w:rPr>
                <w:rFonts w:hAnsi="宋体" w:cs="宋体"/>
                <w:color w:val="auto"/>
                <w:szCs w:val="32"/>
                <w:highlight w:val="none"/>
              </w:rPr>
            </w:pPr>
            <w:r>
              <w:rPr>
                <w:rFonts w:hint="eastAsia" w:hAnsi="宋体" w:cs="宋体"/>
                <w:color w:val="auto"/>
                <w:szCs w:val="32"/>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号）等有关规定，按照市场主导、财政引导、银企自愿、风险自担的原则，中标（成交）供应商可根据自身资金需求，登录陕西省政府采购信用融资平台</w:t>
            </w:r>
          </w:p>
          <w:p w14:paraId="3D4B1D36">
            <w:pPr>
              <w:spacing w:line="360" w:lineRule="auto"/>
              <w:rPr>
                <w:rFonts w:hAnsi="宋体" w:cs="宋体"/>
                <w:color w:val="auto"/>
                <w:szCs w:val="32"/>
                <w:highlight w:val="none"/>
              </w:rPr>
            </w:pPr>
            <w:r>
              <w:rPr>
                <w:rFonts w:hint="eastAsia" w:hAnsi="宋体" w:cs="宋体"/>
                <w:color w:val="auto"/>
                <w:szCs w:val="32"/>
                <w:highlight w:val="none"/>
              </w:rPr>
              <w:t>(http://www.ccgp-shaanxi.gov.cn/zcdservice/zcd/shan xi/）在线申请，依法参加政府采购信用融资活动。</w:t>
            </w:r>
          </w:p>
          <w:p w14:paraId="1F9D64DF">
            <w:pPr>
              <w:spacing w:line="500" w:lineRule="exact"/>
              <w:ind w:firstLine="480" w:firstLineChars="200"/>
              <w:rPr>
                <w:rFonts w:hAnsi="宋体" w:cs="宋体"/>
                <w:b/>
                <w:bCs/>
                <w:color w:val="auto"/>
                <w:szCs w:val="24"/>
                <w:highlight w:val="none"/>
              </w:rPr>
            </w:pPr>
            <w:r>
              <w:rPr>
                <w:rFonts w:hint="eastAsia" w:hAnsi="宋体" w:cs="宋体"/>
                <w:color w:val="auto"/>
                <w:szCs w:val="32"/>
                <w:highlight w:val="none"/>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1BC428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26" w:hRule="atLeast"/>
          <w:jc w:val="center"/>
        </w:trPr>
        <w:tc>
          <w:tcPr>
            <w:tcW w:w="592" w:type="dxa"/>
            <w:vAlign w:val="center"/>
          </w:tcPr>
          <w:p w14:paraId="4F46F68F">
            <w:pPr>
              <w:spacing w:afterLines="50" w:line="360" w:lineRule="auto"/>
              <w:jc w:val="center"/>
              <w:rPr>
                <w:rFonts w:hAnsi="宋体" w:cs="宋体"/>
                <w:color w:val="auto"/>
                <w:szCs w:val="24"/>
                <w:highlight w:val="none"/>
              </w:rPr>
            </w:pPr>
            <w:r>
              <w:rPr>
                <w:rFonts w:hint="eastAsia" w:hAnsi="宋体" w:cs="宋体"/>
                <w:color w:val="auto"/>
                <w:szCs w:val="24"/>
                <w:highlight w:val="none"/>
              </w:rPr>
              <w:t>20</w:t>
            </w:r>
          </w:p>
        </w:tc>
        <w:tc>
          <w:tcPr>
            <w:tcW w:w="1090" w:type="dxa"/>
            <w:vAlign w:val="center"/>
          </w:tcPr>
          <w:p w14:paraId="2496B58A">
            <w:pPr>
              <w:spacing w:line="312" w:lineRule="auto"/>
              <w:jc w:val="center"/>
              <w:rPr>
                <w:rFonts w:hAnsi="宋体" w:cs="宋体"/>
                <w:color w:val="auto"/>
                <w:kern w:val="2"/>
                <w:szCs w:val="24"/>
                <w:highlight w:val="none"/>
              </w:rPr>
            </w:pPr>
            <w:r>
              <w:rPr>
                <w:rFonts w:hint="eastAsia" w:hAnsi="宋体" w:cs="宋体"/>
                <w:color w:val="auto"/>
                <w:szCs w:val="24"/>
                <w:highlight w:val="none"/>
              </w:rPr>
              <w:t>价格得分扣减</w:t>
            </w:r>
          </w:p>
        </w:tc>
        <w:tc>
          <w:tcPr>
            <w:tcW w:w="7215" w:type="dxa"/>
            <w:vAlign w:val="center"/>
          </w:tcPr>
          <w:p w14:paraId="4B6AC743">
            <w:pPr>
              <w:spacing w:line="500" w:lineRule="exact"/>
              <w:ind w:firstLine="480" w:firstLineChars="200"/>
              <w:rPr>
                <w:rFonts w:hint="default" w:hAnsi="宋体" w:eastAsia="宋体" w:cs="宋体"/>
                <w:color w:val="auto"/>
                <w:szCs w:val="32"/>
                <w:highlight w:val="none"/>
                <w:lang w:val="en-US" w:eastAsia="zh-CN"/>
              </w:rPr>
            </w:pPr>
            <w:r>
              <w:rPr>
                <w:rFonts w:hint="eastAsia" w:hAnsi="宋体" w:cs="宋体"/>
                <w:color w:val="auto"/>
                <w:szCs w:val="32"/>
                <w:highlight w:val="none"/>
              </w:rPr>
              <w:t>对符合《政府采购促进中小企业发展管理办法》(财库(2020)46号)规定的小微企业(监狱企业视同小型、微型企业)的报价给予10%(10%-20%)的扣除,用扣除后的价格参加评审。</w:t>
            </w:r>
          </w:p>
        </w:tc>
      </w:tr>
      <w:tr w14:paraId="1AA694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1F3912B5">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21</w:t>
            </w:r>
          </w:p>
        </w:tc>
        <w:tc>
          <w:tcPr>
            <w:tcW w:w="1090" w:type="dxa"/>
            <w:vAlign w:val="center"/>
          </w:tcPr>
          <w:p w14:paraId="78C13052">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备注</w:t>
            </w:r>
          </w:p>
        </w:tc>
        <w:tc>
          <w:tcPr>
            <w:tcW w:w="7215" w:type="dxa"/>
            <w:vAlign w:val="center"/>
          </w:tcPr>
          <w:p w14:paraId="65589C04">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供应商注册登记提醒：</w:t>
            </w:r>
          </w:p>
          <w:p w14:paraId="235D0687">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根据陕西省财政厅关于政府采购供应商注册登记有关事项的通知，如所投本项目的供应商未在陕西省政府采购网（</w:t>
            </w:r>
            <w:r>
              <w:rPr>
                <w:color w:val="auto"/>
                <w:highlight w:val="none"/>
              </w:rPr>
              <w:fldChar w:fldCharType="begin"/>
            </w:r>
            <w:r>
              <w:rPr>
                <w:color w:val="auto"/>
                <w:highlight w:val="none"/>
              </w:rPr>
              <w:instrText xml:space="preserve"> HYPERLINK "http://www.ccgp-shaanxi.gov.cn/information/informationDetail.do?informationguid=8a85be3567ed23460167ed36804d0009" </w:instrText>
            </w:r>
            <w:r>
              <w:rPr>
                <w:color w:val="auto"/>
                <w:highlight w:val="none"/>
              </w:rPr>
              <w:fldChar w:fldCharType="separate"/>
            </w:r>
            <w:r>
              <w:rPr>
                <w:rFonts w:hint="eastAsia" w:hAnsi="宋体" w:cs="宋体"/>
                <w:b/>
                <w:bCs/>
                <w:color w:val="auto"/>
                <w:szCs w:val="24"/>
                <w:highlight w:val="none"/>
              </w:rPr>
              <w:t>http://www.ccgp-shaanxi.gov.cn/information/informationDetail.do?informationguid=8a85be3567ed23460167ed36804d0009</w:t>
            </w:r>
            <w:r>
              <w:rPr>
                <w:rFonts w:hint="eastAsia" w:hAnsi="宋体" w:cs="宋体"/>
                <w:b/>
                <w:bCs/>
                <w:color w:val="auto"/>
                <w:szCs w:val="24"/>
                <w:highlight w:val="none"/>
              </w:rPr>
              <w:fldChar w:fldCharType="end"/>
            </w:r>
            <w:r>
              <w:rPr>
                <w:rFonts w:hint="eastAsia" w:hAnsi="宋体" w:cs="宋体"/>
                <w:b/>
                <w:bCs/>
                <w:color w:val="auto"/>
                <w:szCs w:val="24"/>
                <w:highlight w:val="none"/>
              </w:rPr>
              <w:t>）注册登记加入陕西省政府采购供应商库的，应按要求及时办理注册登记，并接受财政部门监督管理。</w:t>
            </w:r>
          </w:p>
        </w:tc>
      </w:tr>
      <w:bookmarkEnd w:id="9"/>
      <w:bookmarkEnd w:id="10"/>
      <w:bookmarkEnd w:id="11"/>
    </w:tbl>
    <w:p w14:paraId="19637806">
      <w:pPr>
        <w:spacing w:beforeLines="50" w:afterLines="50"/>
        <w:jc w:val="center"/>
        <w:outlineLvl w:val="2"/>
        <w:rPr>
          <w:rFonts w:hAnsi="宋体" w:cs="宋体"/>
          <w:color w:val="auto"/>
          <w:sz w:val="32"/>
          <w:szCs w:val="32"/>
          <w:highlight w:val="none"/>
        </w:rPr>
      </w:pPr>
      <w:bookmarkStart w:id="29" w:name="_Toc403077639"/>
      <w:bookmarkStart w:id="30" w:name="_Toc363474017"/>
      <w:bookmarkStart w:id="31" w:name="_Toc363473972"/>
      <w:r>
        <w:rPr>
          <w:rFonts w:hint="eastAsia" w:hAnsi="宋体" w:cs="宋体"/>
          <w:b/>
          <w:color w:val="auto"/>
          <w:sz w:val="32"/>
          <w:szCs w:val="32"/>
          <w:highlight w:val="none"/>
        </w:rPr>
        <w:br w:type="page"/>
      </w:r>
      <w:bookmarkStart w:id="32" w:name="_Toc22284"/>
      <w:bookmarkStart w:id="33" w:name="_Toc30660"/>
      <w:bookmarkStart w:id="34" w:name="_Toc4670"/>
      <w:bookmarkStart w:id="35" w:name="_Toc27537"/>
      <w:bookmarkStart w:id="36" w:name="_Toc3623"/>
      <w:r>
        <w:rPr>
          <w:rFonts w:hint="eastAsia" w:hAnsi="宋体" w:cs="宋体"/>
          <w:b/>
          <w:color w:val="auto"/>
          <w:sz w:val="32"/>
          <w:szCs w:val="32"/>
          <w:highlight w:val="none"/>
        </w:rPr>
        <w:t>一.总  则</w:t>
      </w:r>
      <w:bookmarkEnd w:id="29"/>
      <w:bookmarkEnd w:id="30"/>
      <w:bookmarkEnd w:id="31"/>
      <w:bookmarkEnd w:id="32"/>
      <w:bookmarkEnd w:id="33"/>
      <w:bookmarkEnd w:id="34"/>
      <w:bookmarkEnd w:id="35"/>
      <w:bookmarkEnd w:id="36"/>
    </w:p>
    <w:p w14:paraId="1ADB0052">
      <w:pPr>
        <w:spacing w:line="360" w:lineRule="auto"/>
        <w:rPr>
          <w:rFonts w:hAnsi="宋体" w:cs="宋体"/>
          <w:b/>
          <w:color w:val="auto"/>
          <w:szCs w:val="24"/>
          <w:highlight w:val="none"/>
        </w:rPr>
      </w:pPr>
      <w:r>
        <w:rPr>
          <w:rFonts w:hint="eastAsia" w:hAnsi="宋体" w:cs="宋体"/>
          <w:b/>
          <w:color w:val="auto"/>
          <w:szCs w:val="24"/>
          <w:highlight w:val="none"/>
        </w:rPr>
        <w:t>1.资金来源</w:t>
      </w:r>
    </w:p>
    <w:p w14:paraId="4664693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1.1本次竞争性磋商所签合同使用财政拨款支付，资金已落实到位。</w:t>
      </w:r>
    </w:p>
    <w:p w14:paraId="3F211C92">
      <w:pPr>
        <w:numPr>
          <w:ilvl w:val="0"/>
          <w:numId w:val="1"/>
        </w:numPr>
        <w:spacing w:line="500" w:lineRule="exact"/>
        <w:rPr>
          <w:rFonts w:hAnsi="宋体" w:cs="宋体"/>
          <w:b/>
          <w:color w:val="auto"/>
          <w:szCs w:val="24"/>
          <w:highlight w:val="none"/>
        </w:rPr>
      </w:pPr>
      <w:bookmarkStart w:id="37" w:name="_Toc363474018"/>
      <w:bookmarkStart w:id="38" w:name="_Toc403077640"/>
      <w:bookmarkStart w:id="39" w:name="_Toc363473973"/>
      <w:r>
        <w:rPr>
          <w:rFonts w:hint="eastAsia" w:hAnsi="宋体" w:cs="宋体"/>
          <w:b/>
          <w:color w:val="auto"/>
          <w:szCs w:val="24"/>
          <w:highlight w:val="none"/>
        </w:rPr>
        <w:t>名词解释</w:t>
      </w:r>
    </w:p>
    <w:p w14:paraId="4161EE52">
      <w:pPr>
        <w:tabs>
          <w:tab w:val="left" w:pos="7665"/>
        </w:tabs>
        <w:spacing w:line="360" w:lineRule="auto"/>
        <w:ind w:firstLine="480" w:firstLineChars="200"/>
        <w:rPr>
          <w:rFonts w:hint="eastAsia" w:hAnsi="宋体" w:eastAsia="宋体" w:cs="宋体"/>
          <w:color w:val="auto"/>
          <w:szCs w:val="22"/>
          <w:highlight w:val="none"/>
          <w:lang w:eastAsia="zh-CN"/>
        </w:rPr>
      </w:pPr>
      <w:r>
        <w:rPr>
          <w:rFonts w:hint="eastAsia" w:hAnsi="宋体" w:cs="宋体"/>
          <w:color w:val="auto"/>
          <w:szCs w:val="22"/>
          <w:highlight w:val="none"/>
        </w:rPr>
        <w:t>2.1采购人：中共西安市委网络安全和信息化委员会办公室</w:t>
      </w:r>
    </w:p>
    <w:p w14:paraId="4694902A">
      <w:pPr>
        <w:tabs>
          <w:tab w:val="left" w:pos="7665"/>
        </w:tabs>
        <w:spacing w:line="360" w:lineRule="auto"/>
        <w:ind w:firstLine="480" w:firstLineChars="200"/>
        <w:rPr>
          <w:rFonts w:hAnsi="宋体" w:cs="宋体"/>
          <w:color w:val="auto"/>
          <w:szCs w:val="22"/>
          <w:highlight w:val="none"/>
        </w:rPr>
      </w:pPr>
      <w:r>
        <w:rPr>
          <w:rFonts w:hint="eastAsia" w:hAnsi="宋体" w:cs="宋体"/>
          <w:color w:val="auto"/>
          <w:szCs w:val="22"/>
          <w:highlight w:val="none"/>
        </w:rPr>
        <w:t>2.2监督机构：同级人民政府财政部门</w:t>
      </w:r>
    </w:p>
    <w:p w14:paraId="02CE0AC5">
      <w:pPr>
        <w:tabs>
          <w:tab w:val="left" w:pos="7665"/>
        </w:tabs>
        <w:spacing w:line="360" w:lineRule="auto"/>
        <w:ind w:firstLine="480" w:firstLineChars="200"/>
        <w:rPr>
          <w:rFonts w:hAnsi="宋体" w:cs="宋体"/>
          <w:color w:val="auto"/>
          <w:highlight w:val="none"/>
        </w:rPr>
      </w:pPr>
      <w:r>
        <w:rPr>
          <w:rFonts w:hint="eastAsia" w:hAnsi="宋体" w:cs="宋体"/>
          <w:color w:val="auto"/>
          <w:szCs w:val="22"/>
          <w:highlight w:val="none"/>
        </w:rPr>
        <w:t>2.3采购代理机构：陕西至诚项目管理集团有限公司</w:t>
      </w:r>
    </w:p>
    <w:p w14:paraId="552D7157">
      <w:pPr>
        <w:tabs>
          <w:tab w:val="left" w:pos="7665"/>
        </w:tabs>
        <w:spacing w:line="360" w:lineRule="auto"/>
        <w:ind w:firstLine="480" w:firstLineChars="200"/>
        <w:rPr>
          <w:rFonts w:hAnsi="宋体" w:cs="宋体"/>
          <w:color w:val="auto"/>
          <w:highlight w:val="none"/>
        </w:rPr>
      </w:pPr>
      <w:r>
        <w:rPr>
          <w:rFonts w:hint="eastAsia" w:hAnsi="宋体" w:cs="宋体"/>
          <w:color w:val="auto"/>
          <w:highlight w:val="none"/>
        </w:rPr>
        <w:t>2.4供应商：是指响应和符合竞争性磋商文件规定资格条件且参与竞争性磋商的法人、其他组织或者自然人。</w:t>
      </w:r>
    </w:p>
    <w:p w14:paraId="7E00B95B">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2.5产品是指本竞争性磋商文件中第四章所述所有产品。</w:t>
      </w:r>
    </w:p>
    <w:p w14:paraId="195E3AD5">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2.6服务是指供应商为满足竞争性磋商文件要求而提供的服务。</w:t>
      </w:r>
    </w:p>
    <w:p w14:paraId="7EE4E207">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2.7节能产品或者环保产品是指依据国家确定的认证机构出具的、处于有效期之内的具有节能产品、环境标志产品认证证书的产品。</w:t>
      </w:r>
    </w:p>
    <w:p w14:paraId="7A938199">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2.8进口产品是指通过中国海关报关验放进入中国境内且产自关境外的产品，详见《关于政府采购进口产品管理有关问题的通知》(财库</w:t>
      </w:r>
      <w:r>
        <w:rPr>
          <w:rFonts w:hint="eastAsia" w:hAnsi="宋体" w:cs="宋体"/>
          <w:color w:val="auto"/>
          <w:highlight w:val="none"/>
          <w:lang w:eastAsia="zh-CN"/>
        </w:rPr>
        <w:t>〔2007〕119号</w:t>
      </w:r>
      <w:r>
        <w:rPr>
          <w:rFonts w:hint="eastAsia" w:hAnsi="宋体" w:cs="宋体"/>
          <w:color w:val="auto"/>
          <w:highlight w:val="none"/>
        </w:rPr>
        <w:t>)。</w:t>
      </w:r>
    </w:p>
    <w:p w14:paraId="78133C73">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2.9中小企业是指符合《工业和信息化部、国家统计局、国家发展和改革委员会、财政部关于印发中小企业划型标准规定的通知》（工信部联企业</w:t>
      </w:r>
      <w:r>
        <w:rPr>
          <w:rFonts w:hint="eastAsia" w:hAnsi="宋体" w:cs="宋体"/>
          <w:color w:val="auto"/>
          <w:highlight w:val="none"/>
          <w:lang w:eastAsia="zh-CN"/>
        </w:rPr>
        <w:t>〔2011〕300号</w:t>
      </w:r>
      <w:r>
        <w:rPr>
          <w:rFonts w:hint="eastAsia" w:hAnsi="宋体" w:cs="宋体"/>
          <w:color w:val="auto"/>
          <w:highlight w:val="none"/>
        </w:rPr>
        <w:t>）规定的对中小企业的划分标准的企业。</w:t>
      </w:r>
    </w:p>
    <w:p w14:paraId="7B61084E">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D392DD">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2.11残疾人福利性单位是指符合《三部门联合发布关于促进残疾人就业政府采购政策的通知》财库〔2017〕141号规定的对残疾人福利性单位划分标准的单位。</w:t>
      </w:r>
    </w:p>
    <w:p w14:paraId="4FD5D00D">
      <w:pPr>
        <w:spacing w:line="500" w:lineRule="exact"/>
        <w:rPr>
          <w:rFonts w:hAnsi="宋体" w:cs="宋体"/>
          <w:b/>
          <w:color w:val="auto"/>
          <w:szCs w:val="24"/>
          <w:highlight w:val="none"/>
        </w:rPr>
      </w:pPr>
      <w:r>
        <w:rPr>
          <w:rFonts w:hint="eastAsia" w:hAnsi="宋体" w:cs="宋体"/>
          <w:b/>
          <w:color w:val="auto"/>
          <w:szCs w:val="24"/>
          <w:highlight w:val="none"/>
        </w:rPr>
        <w:t>3.合格的供应商</w:t>
      </w:r>
    </w:p>
    <w:p w14:paraId="2DFA07BF">
      <w:pPr>
        <w:tabs>
          <w:tab w:val="left" w:pos="851"/>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3.1《</w:t>
      </w:r>
      <w:r>
        <w:rPr>
          <w:rFonts w:hint="eastAsia" w:hAnsi="宋体" w:cs="宋体"/>
          <w:color w:val="auto"/>
          <w:szCs w:val="24"/>
          <w:highlight w:val="none"/>
          <w:lang w:val="en-US" w:eastAsia="zh-CN"/>
        </w:rPr>
        <w:t>中华人民共和国</w:t>
      </w:r>
      <w:r>
        <w:rPr>
          <w:rFonts w:hint="eastAsia" w:hAnsi="宋体" w:cs="宋体"/>
          <w:color w:val="auto"/>
          <w:szCs w:val="24"/>
          <w:highlight w:val="none"/>
        </w:rPr>
        <w:t>政府采购法》第二十二条第一款规定的供应商基本资格条件:</w:t>
      </w:r>
    </w:p>
    <w:p w14:paraId="7FD8B3D3">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1）具有独立承担民事责任的能力；</w:t>
      </w:r>
    </w:p>
    <w:p w14:paraId="38B4A690">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2）具有良好的商业信誉和健全的财务会计制度；</w:t>
      </w:r>
    </w:p>
    <w:p w14:paraId="63C4266E">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3）具有履行合同所必需的设备和专业技术能力；</w:t>
      </w:r>
    </w:p>
    <w:p w14:paraId="74088CA7">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4）有依法缴纳税收和社会保障资金的良好记录；</w:t>
      </w:r>
    </w:p>
    <w:p w14:paraId="43D03674">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5）参加政府采购活动前三年内，在经营活动中没有重大违法记录；</w:t>
      </w:r>
    </w:p>
    <w:p w14:paraId="37CBB19E">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6）法律、行政法规规定的其他条件。</w:t>
      </w:r>
    </w:p>
    <w:p w14:paraId="323EC0C5">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3.2根据本次采购项目的特殊要求，规定的供应商特殊条件（见供应商须知前附表）。</w:t>
      </w:r>
    </w:p>
    <w:p w14:paraId="16731083">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3.3法定代表人为同一人的两个及两个以上的法人，母公司、全资子公司及其控股公司，都不得在同一项目（分包的按包）的采购中同时参与磋商，否则均为无效磋商。</w:t>
      </w:r>
    </w:p>
    <w:p w14:paraId="24CBFE71">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3.4供应商必须在陕西至诚项目管理集团有限公司购买</w:t>
      </w:r>
      <w:r>
        <w:rPr>
          <w:rFonts w:hint="eastAsia" w:hAnsi="宋体" w:cs="宋体"/>
          <w:color w:val="auto"/>
          <w:highlight w:val="none"/>
        </w:rPr>
        <w:t>竞争性磋商文件</w:t>
      </w:r>
      <w:r>
        <w:rPr>
          <w:rFonts w:hint="eastAsia" w:hAnsi="宋体" w:cs="宋体"/>
          <w:color w:val="auto"/>
          <w:szCs w:val="24"/>
          <w:highlight w:val="none"/>
        </w:rPr>
        <w:t>，方可参加磋商。</w:t>
      </w:r>
      <w:r>
        <w:rPr>
          <w:rFonts w:hint="eastAsia" w:hAnsi="宋体" w:cs="宋体"/>
          <w:color w:val="auto"/>
          <w:highlight w:val="none"/>
        </w:rPr>
        <w:t>竞争性</w:t>
      </w:r>
      <w:r>
        <w:rPr>
          <w:rFonts w:hint="eastAsia" w:hAnsi="宋体" w:cs="宋体"/>
          <w:color w:val="auto"/>
          <w:szCs w:val="24"/>
          <w:highlight w:val="none"/>
        </w:rPr>
        <w:t>磋商文件售后不退。</w:t>
      </w:r>
    </w:p>
    <w:p w14:paraId="49CD508C">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3.5本项目不接受联合体磋商。</w:t>
      </w:r>
    </w:p>
    <w:p w14:paraId="1396FB1D">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3.6磋商费用自理。不论磋商的结果如何，供应商均应自行承担所有与参加磋商有关的费用。</w:t>
      </w:r>
    </w:p>
    <w:p w14:paraId="4BD4D566">
      <w:pPr>
        <w:tabs>
          <w:tab w:val="left" w:pos="747"/>
        </w:tabs>
        <w:snapToGrid w:val="0"/>
        <w:spacing w:line="500" w:lineRule="exact"/>
        <w:rPr>
          <w:rFonts w:hAnsi="宋体" w:cs="宋体"/>
          <w:b/>
          <w:bCs/>
          <w:color w:val="auto"/>
          <w:highlight w:val="none"/>
        </w:rPr>
      </w:pPr>
      <w:r>
        <w:rPr>
          <w:rFonts w:hint="eastAsia" w:hAnsi="宋体" w:cs="宋体"/>
          <w:b/>
          <w:bCs/>
          <w:color w:val="auto"/>
          <w:highlight w:val="none"/>
        </w:rPr>
        <w:t>4</w:t>
      </w:r>
      <w:r>
        <w:rPr>
          <w:rFonts w:hint="eastAsia" w:hAnsi="宋体" w:cs="宋体"/>
          <w:b/>
          <w:bCs/>
          <w:color w:val="auto"/>
          <w:highlight w:val="none"/>
          <w:lang w:eastAsia="zh-CN"/>
        </w:rPr>
        <w:t>.</w:t>
      </w:r>
      <w:r>
        <w:rPr>
          <w:rFonts w:hint="eastAsia" w:hAnsi="宋体" w:cs="宋体"/>
          <w:b/>
          <w:color w:val="auto"/>
          <w:szCs w:val="24"/>
          <w:highlight w:val="none"/>
        </w:rPr>
        <w:t>竞争性磋商产品（含服务）的合格性和合法性</w:t>
      </w:r>
    </w:p>
    <w:p w14:paraId="08250536">
      <w:pPr>
        <w:tabs>
          <w:tab w:val="left" w:pos="747"/>
        </w:tabs>
        <w:snapToGrid w:val="0"/>
        <w:spacing w:line="500" w:lineRule="exact"/>
        <w:ind w:firstLine="480" w:firstLineChars="200"/>
        <w:rPr>
          <w:rFonts w:hAnsi="宋体" w:cs="宋体"/>
          <w:color w:val="auto"/>
          <w:highlight w:val="none"/>
        </w:rPr>
      </w:pPr>
      <w:r>
        <w:rPr>
          <w:rFonts w:hint="eastAsia" w:hAnsi="宋体" w:cs="宋体"/>
          <w:color w:val="auto"/>
          <w:szCs w:val="24"/>
          <w:highlight w:val="none"/>
        </w:rPr>
        <w:t>4.1竞争性磋商产品（含服务）应满足竞争性磋商文件的要求并应符合国家法律法规、行业管理部门要求的其他强制性标准。</w:t>
      </w:r>
      <w:r>
        <w:rPr>
          <w:rFonts w:hint="eastAsia" w:hAnsi="宋体" w:cs="宋体"/>
          <w:color w:val="auto"/>
          <w:highlight w:val="none"/>
        </w:rPr>
        <w:t>并满足竞争性磋商文件规定的质量、价格、有效期、售后服务及供应商须承担的运输、配送、技术支持和竞争性磋商文件规定的其他伴随服务等要求。</w:t>
      </w:r>
    </w:p>
    <w:p w14:paraId="7522E3F3">
      <w:pPr>
        <w:tabs>
          <w:tab w:val="left" w:pos="747"/>
        </w:tabs>
        <w:snapToGrid w:val="0"/>
        <w:spacing w:line="500" w:lineRule="exact"/>
        <w:ind w:firstLine="480" w:firstLineChars="200"/>
        <w:rPr>
          <w:rFonts w:hAnsi="宋体" w:cs="宋体"/>
          <w:color w:val="auto"/>
          <w:szCs w:val="24"/>
          <w:highlight w:val="none"/>
        </w:rPr>
      </w:pPr>
      <w:r>
        <w:rPr>
          <w:rFonts w:hint="eastAsia" w:hAnsi="宋体" w:cs="宋体"/>
          <w:color w:val="auto"/>
          <w:highlight w:val="none"/>
        </w:rPr>
        <w:t>4.2采购人有权拒绝接受任何不合格的产品和服务，由此产生的费用及相关后果均由供应商自行承担。</w:t>
      </w:r>
    </w:p>
    <w:p w14:paraId="5ECC2FA5">
      <w:pPr>
        <w:spacing w:line="360" w:lineRule="auto"/>
        <w:rPr>
          <w:rFonts w:hAnsi="宋体" w:cs="宋体"/>
          <w:b/>
          <w:color w:val="auto"/>
          <w:szCs w:val="24"/>
          <w:highlight w:val="none"/>
        </w:rPr>
      </w:pPr>
      <w:r>
        <w:rPr>
          <w:rFonts w:hint="eastAsia" w:hAnsi="宋体" w:cs="宋体"/>
          <w:b/>
          <w:color w:val="auto"/>
          <w:szCs w:val="24"/>
          <w:highlight w:val="none"/>
        </w:rPr>
        <w:t>5.竞争性磋商响应文件内容的真实性</w:t>
      </w:r>
    </w:p>
    <w:p w14:paraId="7CBBC82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31B42C0B">
      <w:pPr>
        <w:keepNext/>
        <w:keepLines/>
        <w:spacing w:beforeLines="100" w:afterLines="50" w:line="360" w:lineRule="auto"/>
        <w:jc w:val="center"/>
        <w:outlineLvl w:val="2"/>
        <w:rPr>
          <w:rFonts w:hAnsi="宋体" w:cs="宋体"/>
          <w:b/>
          <w:color w:val="auto"/>
          <w:sz w:val="32"/>
          <w:szCs w:val="32"/>
          <w:highlight w:val="none"/>
        </w:rPr>
      </w:pPr>
      <w:bookmarkStart w:id="40" w:name="_Toc12362"/>
      <w:bookmarkStart w:id="41" w:name="_Toc30698"/>
      <w:bookmarkStart w:id="42" w:name="_Toc15249"/>
      <w:bookmarkStart w:id="43" w:name="_Toc27903"/>
      <w:bookmarkStart w:id="44" w:name="_Toc31742"/>
      <w:r>
        <w:rPr>
          <w:rFonts w:hint="eastAsia" w:hAnsi="宋体" w:cs="宋体"/>
          <w:b/>
          <w:color w:val="auto"/>
          <w:sz w:val="32"/>
          <w:szCs w:val="32"/>
          <w:highlight w:val="none"/>
        </w:rPr>
        <w:t>二.竞争性磋商文件</w:t>
      </w:r>
      <w:bookmarkEnd w:id="37"/>
      <w:bookmarkEnd w:id="38"/>
      <w:bookmarkEnd w:id="39"/>
      <w:bookmarkEnd w:id="40"/>
      <w:bookmarkEnd w:id="41"/>
      <w:bookmarkEnd w:id="42"/>
      <w:bookmarkEnd w:id="43"/>
      <w:bookmarkEnd w:id="44"/>
    </w:p>
    <w:p w14:paraId="2E1F033D">
      <w:pPr>
        <w:spacing w:line="360" w:lineRule="auto"/>
        <w:rPr>
          <w:rFonts w:hAnsi="宋体" w:cs="宋体"/>
          <w:b/>
          <w:color w:val="auto"/>
          <w:szCs w:val="24"/>
          <w:highlight w:val="none"/>
        </w:rPr>
      </w:pPr>
      <w:r>
        <w:rPr>
          <w:rFonts w:hint="eastAsia" w:hAnsi="宋体" w:cs="宋体"/>
          <w:b/>
          <w:color w:val="auto"/>
          <w:szCs w:val="24"/>
          <w:highlight w:val="none"/>
        </w:rPr>
        <w:t>6.竞争性磋商文件构成</w:t>
      </w:r>
    </w:p>
    <w:p w14:paraId="0FEA25C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6.1 竞争性磋商文件规定了要求提供的产品和服务，磋商程序和合同条件在竞争性磋商文件中均有说明。竞争性磋商文件共六章，内容如下：</w:t>
      </w:r>
    </w:p>
    <w:p w14:paraId="0943867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第一章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竞争性磋商公告</w:t>
      </w:r>
    </w:p>
    <w:p w14:paraId="4796F03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第二章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供应商须知</w:t>
      </w:r>
    </w:p>
    <w:p w14:paraId="3FA72E9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第三章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评审方法</w:t>
      </w:r>
    </w:p>
    <w:p w14:paraId="1613BF3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第四章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合同条款及格式</w:t>
      </w:r>
    </w:p>
    <w:p w14:paraId="7E3B47C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第五章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磋商内容及技术要求</w:t>
      </w:r>
    </w:p>
    <w:p w14:paraId="36EF164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第六章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竞争性磋商响应文件构成及格式</w:t>
      </w:r>
    </w:p>
    <w:p w14:paraId="7900DBE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6.2 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4CD45678">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6.3本竞争性磋商文件的解释权归陕西至诚项目管理集团有限公司，如发现竞争性磋商响应文件内容与现行法律法规不相符的情况，以现行法律法规为准。</w:t>
      </w:r>
    </w:p>
    <w:p w14:paraId="7003D107">
      <w:pPr>
        <w:spacing w:line="360" w:lineRule="auto"/>
        <w:rPr>
          <w:rFonts w:hAnsi="宋体" w:cs="宋体"/>
          <w:b/>
          <w:color w:val="auto"/>
          <w:szCs w:val="24"/>
          <w:highlight w:val="none"/>
        </w:rPr>
      </w:pPr>
      <w:r>
        <w:rPr>
          <w:rFonts w:hint="eastAsia" w:hAnsi="宋体" w:cs="宋体"/>
          <w:b/>
          <w:color w:val="auto"/>
          <w:szCs w:val="24"/>
          <w:highlight w:val="none"/>
        </w:rPr>
        <w:t>7.竞争性磋商文件的修改和澄清</w:t>
      </w:r>
    </w:p>
    <w:p w14:paraId="50AFCD1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7.1在磋商响应文件递交截止时间3日前，采购代理机构可以视采购具体情况，延长竞争性磋商响应文件递交截止时间和磋商时间并在财政部门指定的媒体上发布变更公告，同时将变更时间书面通知所有获取竞争性磋商文件的供应商。</w:t>
      </w:r>
    </w:p>
    <w:p w14:paraId="0076D4D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7.2采购代理机构如果对已发出的竞争性磋商文件进行必要的澄清或者修改，将在竞争性磋商文件要求提交竞争性磋商响应文件截止时间5日前，以书面形式通知所有获取竞争性磋商文件的供应商。该澄清或者修改的内容为竞争性磋商文件的组成部分。</w:t>
      </w:r>
    </w:p>
    <w:p w14:paraId="3FD4AC6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7.3已经购买竞争性磋商文件的供应商对竞争性磋商文件有疑问的，均应在磋商截止之日起3日前以书面形式向采购代理机构提出。采购代理机构视情况必要时将书面答复传送给所有获取竞争性磋商文件的供应商。</w:t>
      </w:r>
    </w:p>
    <w:p w14:paraId="124953F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7.4供应商在收到上述通知后，应立即向采购代理机构回函确认。</w:t>
      </w:r>
    </w:p>
    <w:p w14:paraId="0623F531">
      <w:pPr>
        <w:keepNext/>
        <w:keepLines/>
        <w:spacing w:beforeLines="100" w:afterLines="50" w:line="360" w:lineRule="auto"/>
        <w:jc w:val="center"/>
        <w:outlineLvl w:val="2"/>
        <w:rPr>
          <w:rFonts w:hAnsi="宋体" w:cs="宋体"/>
          <w:b/>
          <w:color w:val="auto"/>
          <w:sz w:val="32"/>
          <w:szCs w:val="32"/>
          <w:highlight w:val="none"/>
        </w:rPr>
      </w:pPr>
      <w:bookmarkStart w:id="45" w:name="_Toc363473974"/>
      <w:bookmarkStart w:id="46" w:name="_Toc26653"/>
      <w:bookmarkStart w:id="47" w:name="_Toc403077641"/>
      <w:bookmarkStart w:id="48" w:name="_Toc4913"/>
      <w:bookmarkStart w:id="49" w:name="_Toc28227"/>
      <w:bookmarkStart w:id="50" w:name="_Toc363474019"/>
      <w:bookmarkStart w:id="51" w:name="_Toc13771"/>
      <w:bookmarkStart w:id="52" w:name="_Toc9512"/>
      <w:r>
        <w:rPr>
          <w:rFonts w:hint="eastAsia" w:hAnsi="宋体" w:cs="宋体"/>
          <w:b/>
          <w:color w:val="auto"/>
          <w:sz w:val="32"/>
          <w:szCs w:val="32"/>
          <w:highlight w:val="none"/>
        </w:rPr>
        <w:t>三.磋商响应文件的编制</w:t>
      </w:r>
      <w:bookmarkEnd w:id="45"/>
      <w:bookmarkEnd w:id="46"/>
      <w:bookmarkEnd w:id="47"/>
      <w:bookmarkEnd w:id="48"/>
      <w:bookmarkEnd w:id="49"/>
      <w:bookmarkEnd w:id="50"/>
      <w:bookmarkEnd w:id="51"/>
      <w:bookmarkEnd w:id="52"/>
    </w:p>
    <w:p w14:paraId="4C85A5E3">
      <w:pPr>
        <w:spacing w:line="360" w:lineRule="auto"/>
        <w:rPr>
          <w:rFonts w:hAnsi="宋体" w:cs="宋体"/>
          <w:b/>
          <w:color w:val="auto"/>
          <w:szCs w:val="24"/>
          <w:highlight w:val="none"/>
        </w:rPr>
      </w:pPr>
      <w:r>
        <w:rPr>
          <w:rFonts w:hint="eastAsia" w:hAnsi="宋体" w:cs="宋体"/>
          <w:b/>
          <w:color w:val="auto"/>
          <w:szCs w:val="24"/>
          <w:highlight w:val="none"/>
        </w:rPr>
        <w:t>8. 磋商语言和磋商货币</w:t>
      </w:r>
    </w:p>
    <w:p w14:paraId="6C632407">
      <w:pPr>
        <w:spacing w:line="360" w:lineRule="auto"/>
        <w:ind w:firstLine="480" w:firstLineChars="200"/>
        <w:rPr>
          <w:rFonts w:hAnsi="宋体" w:cs="宋体"/>
          <w:b/>
          <w:color w:val="auto"/>
          <w:szCs w:val="24"/>
          <w:highlight w:val="none"/>
        </w:rPr>
      </w:pPr>
      <w:r>
        <w:rPr>
          <w:rFonts w:hint="eastAsia" w:hAnsi="宋体" w:cs="宋体"/>
          <w:color w:val="auto"/>
          <w:szCs w:val="24"/>
          <w:highlight w:val="none"/>
        </w:rPr>
        <w:t>8.1供应商提交的竞争性磋商响应文件以及供应商与采购代理机构就有关磋商的所有来往函电均应使用中文。</w:t>
      </w:r>
    </w:p>
    <w:p w14:paraId="73BE85E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8.2磋商应以人民币报价。任何包含非人民币报价的磋商将按无效磋商处理。</w:t>
      </w:r>
    </w:p>
    <w:p w14:paraId="6A92DD09">
      <w:pPr>
        <w:spacing w:line="360" w:lineRule="auto"/>
        <w:rPr>
          <w:rFonts w:hAnsi="宋体" w:cs="宋体"/>
          <w:b/>
          <w:color w:val="auto"/>
          <w:szCs w:val="24"/>
          <w:highlight w:val="none"/>
        </w:rPr>
      </w:pPr>
      <w:r>
        <w:rPr>
          <w:rFonts w:hint="eastAsia" w:hAnsi="宋体" w:cs="宋体"/>
          <w:b/>
          <w:color w:val="auto"/>
          <w:szCs w:val="24"/>
          <w:highlight w:val="none"/>
        </w:rPr>
        <w:t>9.竞争性磋商响应文件的构成</w:t>
      </w:r>
    </w:p>
    <w:p w14:paraId="6002A73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9.1 供应商提交的竞争性磋商响应文件应包含下列部分的内容：</w:t>
      </w:r>
    </w:p>
    <w:p w14:paraId="406F4B7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（1）按照供应商须知的要求和竞争性磋商文件规定格式填写的竞争性磋商响应函、磋商报价表、法定代表人授权委托书。</w:t>
      </w:r>
    </w:p>
    <w:p w14:paraId="59187EFD">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（2）按照竞争性磋商文件的要求编制的磋商方案说明。</w:t>
      </w:r>
    </w:p>
    <w:p w14:paraId="5AB044D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（3）按照竞争性磋商文件供应商须知前附表的要求提交的资格证明文件；</w:t>
      </w:r>
    </w:p>
    <w:p w14:paraId="2BE5DB4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（4）按照本须知第14条要求提交的磋商保证金。</w:t>
      </w:r>
    </w:p>
    <w:p w14:paraId="0E2A411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（5）竞争磋商文件中要求的其他证明文件。</w:t>
      </w:r>
    </w:p>
    <w:p w14:paraId="3060273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9.2 如果在竞争性磋商文件中没有允许提供备选方案，则每个供应商只允许提交一个磋商方案，否则，其磋商将按照无效磋商处理。</w:t>
      </w:r>
    </w:p>
    <w:p w14:paraId="174BEB7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9.3本次磋商的最小单元为“项目”，供应商可根据自身的资质情况和经营范围对本次项目进行磋商，不得将其子目再行分解或只对本次项目中的品目进行不完全磋商，任何不完全的响应将会被拒绝。</w:t>
      </w:r>
    </w:p>
    <w:p w14:paraId="39B76B4A">
      <w:pPr>
        <w:spacing w:line="360" w:lineRule="auto"/>
        <w:rPr>
          <w:rFonts w:hAnsi="宋体" w:cs="宋体"/>
          <w:b/>
          <w:color w:val="auto"/>
          <w:szCs w:val="24"/>
          <w:highlight w:val="none"/>
        </w:rPr>
      </w:pPr>
      <w:r>
        <w:rPr>
          <w:rFonts w:hint="eastAsia" w:hAnsi="宋体" w:cs="宋体"/>
          <w:b/>
          <w:color w:val="auto"/>
          <w:szCs w:val="24"/>
          <w:highlight w:val="none"/>
        </w:rPr>
        <w:t xml:space="preserve">10.竞争性磋商响应文件格式 </w:t>
      </w:r>
    </w:p>
    <w:p w14:paraId="76A0083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10.1 供应商应按照竞争性磋商文件中第六章“竞争性磋商响应文件格式及构成”所提供的格式和要求制作竞争性磋商响应文件，明确表达磋商意愿，详细说明磋商方案、承诺及价格。</w:t>
      </w:r>
    </w:p>
    <w:p w14:paraId="202C8B02">
      <w:pPr>
        <w:spacing w:line="360" w:lineRule="auto"/>
        <w:ind w:firstLine="480" w:firstLineChars="200"/>
        <w:rPr>
          <w:rFonts w:hAnsi="宋体" w:cs="宋体"/>
          <w:b/>
          <w:bCs/>
          <w:color w:val="auto"/>
          <w:szCs w:val="24"/>
          <w:highlight w:val="none"/>
        </w:rPr>
      </w:pPr>
      <w:r>
        <w:rPr>
          <w:rFonts w:hint="eastAsia" w:hAnsi="宋体" w:cs="宋体"/>
          <w:color w:val="auto"/>
          <w:szCs w:val="24"/>
          <w:highlight w:val="none"/>
        </w:rPr>
        <w:t>10.2按竞争性磋商文件第9条的内容及要求和第六章提供的格式和要求编写其竞争性磋商响应文件，供应商不得缺少或留空任何竞争性磋商文件要求填写的表格或提交的资料。</w:t>
      </w:r>
    </w:p>
    <w:p w14:paraId="7E8BE697">
      <w:pPr>
        <w:spacing w:line="360" w:lineRule="auto"/>
        <w:rPr>
          <w:rFonts w:hAnsi="宋体" w:cs="宋体"/>
          <w:b/>
          <w:color w:val="auto"/>
          <w:szCs w:val="24"/>
          <w:highlight w:val="none"/>
        </w:rPr>
      </w:pPr>
      <w:r>
        <w:rPr>
          <w:rFonts w:hint="eastAsia" w:hAnsi="宋体" w:cs="宋体"/>
          <w:b/>
          <w:color w:val="auto"/>
          <w:szCs w:val="24"/>
          <w:highlight w:val="none"/>
        </w:rPr>
        <w:t>11.磋商报价</w:t>
      </w:r>
    </w:p>
    <w:p w14:paraId="2DB6A8DB">
      <w:pPr>
        <w:spacing w:line="360" w:lineRule="auto"/>
        <w:ind w:firstLine="480"/>
        <w:rPr>
          <w:rFonts w:hAnsi="宋体" w:cs="宋体"/>
          <w:color w:val="auto"/>
          <w:szCs w:val="24"/>
          <w:highlight w:val="none"/>
        </w:rPr>
      </w:pPr>
      <w:r>
        <w:rPr>
          <w:rFonts w:hint="eastAsia" w:hAnsi="宋体" w:cs="宋体"/>
          <w:color w:val="auto"/>
          <w:szCs w:val="24"/>
          <w:highlight w:val="none"/>
        </w:rPr>
        <w:t>11.1磋商报价：磋商报价是供应商为完成本项目要求的全部服务内容最终价格的体现。</w:t>
      </w:r>
    </w:p>
    <w:p w14:paraId="202FCA5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供应商所报的价格应考虑到可能发生的所有与完成本项目相关服务及履行合同义务有关的一切费用。</w:t>
      </w:r>
    </w:p>
    <w:p w14:paraId="4EBBE46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11.2磋商报价表中标明本次服务的价格，任何有选择的报价将不予接受，按无效文件处理。所有价格均以人民币报价。</w:t>
      </w:r>
    </w:p>
    <w:p w14:paraId="3B71CC3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11.3磋商报价表中标明的价格应为履行合同的总报价，不得以任何理由予以变更。以可调整的价格提交的竞争性磋商响应文件将按无效磋商处理。</w:t>
      </w:r>
    </w:p>
    <w:p w14:paraId="6299A00B">
      <w:pPr>
        <w:spacing w:line="360" w:lineRule="auto"/>
        <w:rPr>
          <w:rFonts w:hAnsi="宋体" w:cs="宋体"/>
          <w:b/>
          <w:color w:val="auto"/>
          <w:szCs w:val="24"/>
          <w:highlight w:val="none"/>
        </w:rPr>
      </w:pPr>
      <w:r>
        <w:rPr>
          <w:rFonts w:hint="eastAsia" w:hAnsi="宋体" w:cs="宋体"/>
          <w:b/>
          <w:color w:val="auto"/>
          <w:szCs w:val="24"/>
          <w:highlight w:val="none"/>
        </w:rPr>
        <w:t>12.证明供应商合格的资格证明文件</w:t>
      </w:r>
    </w:p>
    <w:p w14:paraId="77C317F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12.1供应商应按照竞争性磋商文件供应商须知前附表的要求，在竞争性磋商响应文件中提交合格的资格证明文件。如果资格证明文件不全或不合格的，其磋商响应文件将被作无效文件处理。</w:t>
      </w:r>
    </w:p>
    <w:p w14:paraId="13F40E80">
      <w:pPr>
        <w:spacing w:line="360" w:lineRule="auto"/>
        <w:rPr>
          <w:rFonts w:hAnsi="宋体" w:cs="宋体"/>
          <w:b/>
          <w:color w:val="auto"/>
          <w:szCs w:val="24"/>
          <w:highlight w:val="none"/>
        </w:rPr>
      </w:pPr>
      <w:r>
        <w:rPr>
          <w:rFonts w:hint="eastAsia" w:hAnsi="宋体" w:cs="宋体"/>
          <w:b/>
          <w:color w:val="auto"/>
          <w:szCs w:val="24"/>
          <w:highlight w:val="none"/>
        </w:rPr>
        <w:t>13.证明服务符合竞争性磋商文件规定的文件</w:t>
      </w:r>
    </w:p>
    <w:p w14:paraId="2AA3134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13.1供应商应在竞争性磋商响应文件中提交服务满足竞争性磋商文件要求并符合国家法律法规、行业管理部门要求的其他强制性标准的证明文件。</w:t>
      </w:r>
    </w:p>
    <w:p w14:paraId="6B2E4B2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13.2 供应商须提供全部服务内容的详细说明。</w:t>
      </w:r>
    </w:p>
    <w:p w14:paraId="642B9FCB">
      <w:pPr>
        <w:spacing w:line="360" w:lineRule="auto"/>
        <w:rPr>
          <w:rFonts w:hAnsi="宋体" w:cs="宋体"/>
          <w:b/>
          <w:color w:val="auto"/>
          <w:szCs w:val="24"/>
          <w:highlight w:val="none"/>
        </w:rPr>
      </w:pPr>
      <w:r>
        <w:rPr>
          <w:rFonts w:hint="eastAsia" w:hAnsi="宋体" w:cs="宋体"/>
          <w:b/>
          <w:color w:val="auto"/>
          <w:szCs w:val="24"/>
          <w:highlight w:val="none"/>
        </w:rPr>
        <w:t>14.磋商保证金</w:t>
      </w:r>
    </w:p>
    <w:p w14:paraId="045BEBE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14.1供应商在磋商时应向陕西至诚项目管理集团有限公司提交“供应商须知前附表”规定数额的磋商保证金,并作为其磋商的一部分。</w:t>
      </w:r>
    </w:p>
    <w:p w14:paraId="55D3F65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14.2磋商保证金是为了保护采购单位（包括陕西至诚项目管理集团有限公司及采购人）免遭因供应商的行为而蒙受损失。采购单位在因供应商的行为受到损害时可根据本须知的规定没收供应商的磋商保证金。</w:t>
      </w:r>
    </w:p>
    <w:p w14:paraId="4947523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14.3磋商保证金可采取“供应商须知前附表”规定的任何一种形式。</w:t>
      </w:r>
    </w:p>
    <w:p w14:paraId="19C4917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14.4磋商保证金必须按照竞争性磋商文件“供应商须知前附表”中规定的缴纳金额及方式办理。</w:t>
      </w:r>
    </w:p>
    <w:p w14:paraId="2C42A61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14.5磋商后经审查，未提交磋商保证金、未按竞争性磋商文件规定时间提交磋商保证金</w:t>
      </w:r>
      <w:r>
        <w:rPr>
          <w:rFonts w:hint="eastAsia" w:hAnsi="宋体" w:cs="宋体"/>
          <w:color w:val="auto"/>
          <w:highlight w:val="none"/>
        </w:rPr>
        <w:t>或担保机构出具的保函正本未在采购代理机构备案的</w:t>
      </w:r>
      <w:r>
        <w:rPr>
          <w:rFonts w:hint="eastAsia" w:hAnsi="宋体" w:cs="宋体"/>
          <w:color w:val="auto"/>
          <w:szCs w:val="24"/>
          <w:highlight w:val="none"/>
        </w:rPr>
        <w:t>、磋商保证金金额不足或磋商保证金转账凭证复印件/担保机构出具的保函正本复印件未附在磋商响应文件内的磋商将按无效磋商处理。</w:t>
      </w:r>
    </w:p>
    <w:p w14:paraId="15EDC0D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14.6未成交供应商的磋商保证金，将在成交通知书发出后五个工作日内按原账户退还；成交供应商的磋商保证金，在采购合同签订并按规定缴纳成交代理服务费后五个工作日内退还</w:t>
      </w:r>
      <w:r>
        <w:rPr>
          <w:rFonts w:hint="eastAsia" w:hAnsi="宋体" w:cs="宋体"/>
          <w:b/>
          <w:color w:val="auto"/>
          <w:szCs w:val="24"/>
          <w:highlight w:val="none"/>
        </w:rPr>
        <w:t>（退还时，须向采购代理机构提供采购合同原件、开户许可证及转账凭证复印件壹份）</w:t>
      </w:r>
      <w:r>
        <w:rPr>
          <w:rFonts w:hint="eastAsia" w:hAnsi="宋体" w:cs="宋体"/>
          <w:color w:val="auto"/>
          <w:szCs w:val="24"/>
          <w:highlight w:val="none"/>
        </w:rPr>
        <w:t>。</w:t>
      </w:r>
    </w:p>
    <w:p w14:paraId="2A667F6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14.7供应商以担保机构保函形式缴纳磋商保证金的，磋商结束之后将担保机构保函原件退回（退还时间参照14.6条款）。供应商领取担保机构保函原件时需携带法人授权委托书原件。</w:t>
      </w:r>
    </w:p>
    <w:p w14:paraId="3983600C">
      <w:p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14.8 下列任何情况发生时，视为供应商违约，其磋商保证金将被没收：</w:t>
      </w:r>
    </w:p>
    <w:p w14:paraId="5F5CFE1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 供应商在磋商有效期内撤回其磋商响应文件；</w:t>
      </w:r>
    </w:p>
    <w:p w14:paraId="02EF8A0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2）供应商在响应文件中提供伪造、套改、虚假资料参加磋商的。</w:t>
      </w:r>
    </w:p>
    <w:p w14:paraId="36E00E1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 供应商成交后放弃成交或未能按规定签订合同；或未能按规定缴纳成交代理服务费。</w:t>
      </w:r>
    </w:p>
    <w:p w14:paraId="700151D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4）供应商成交后将成交项目转让给他人，或者在响应文件中未说明，且未经采购人同意，将成交项目分包给他人的。</w:t>
      </w:r>
    </w:p>
    <w:p w14:paraId="7340649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5）供应商事先未通告无故不参加磋商活动的。</w:t>
      </w:r>
    </w:p>
    <w:p w14:paraId="73C9C56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6）供应商不按法定程序进行质疑和投诉，捏造事实，查无实据，造成恶劣影响，导致采购活动无法正常进行的。</w:t>
      </w:r>
    </w:p>
    <w:p w14:paraId="4B84C005">
      <w:pPr>
        <w:spacing w:line="360" w:lineRule="auto"/>
        <w:rPr>
          <w:rFonts w:hAnsi="宋体" w:cs="宋体"/>
          <w:b/>
          <w:color w:val="auto"/>
          <w:szCs w:val="24"/>
          <w:highlight w:val="none"/>
        </w:rPr>
      </w:pPr>
      <w:r>
        <w:rPr>
          <w:rFonts w:hint="eastAsia" w:hAnsi="宋体" w:cs="宋体"/>
          <w:b/>
          <w:color w:val="auto"/>
          <w:szCs w:val="24"/>
          <w:highlight w:val="none"/>
        </w:rPr>
        <w:t>15.磋商有效期</w:t>
      </w:r>
    </w:p>
    <w:p w14:paraId="3F680A6B">
      <w:pPr>
        <w:spacing w:line="360" w:lineRule="auto"/>
        <w:ind w:firstLine="480" w:firstLineChars="200"/>
        <w:rPr>
          <w:rFonts w:hAnsi="宋体" w:cs="宋体"/>
          <w:color w:val="auto"/>
          <w:szCs w:val="24"/>
          <w:highlight w:val="none"/>
        </w:rPr>
      </w:pPr>
      <w:bookmarkStart w:id="53" w:name="OLE_LINK4"/>
      <w:r>
        <w:rPr>
          <w:rFonts w:hint="eastAsia" w:hAnsi="宋体" w:cs="宋体"/>
          <w:color w:val="auto"/>
          <w:szCs w:val="24"/>
          <w:highlight w:val="none"/>
        </w:rPr>
        <w:t>15.1磋商响应文件应在“供应商须知前附表”中规定的期限内保持有效。磋商有效期不满足规定有效期的磋商响应文件将被视为非响应性磋商而予以拒绝。</w:t>
      </w:r>
      <w:bookmarkEnd w:id="53"/>
    </w:p>
    <w:p w14:paraId="32BE686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15.2在特殊情况下，在原磋商有效期期满之前，采购代理机构可向供应商提出延长磋商有效期的要求。这种要求与答复均应以书面的形式。供应商可以拒绝采购代理机构的这种要求,其磋商保证金也不被没收。同意延长的供应商既不能要求也不允许修改其竞争性磋商响应文件，但要相应延长其磋商保证金的有效期。在这种情况下，本章第14条有关磋商保证金的退还和没收的规定将在延长了的有效期内继续有效。</w:t>
      </w:r>
    </w:p>
    <w:p w14:paraId="5D0C86D6">
      <w:pPr>
        <w:spacing w:line="360" w:lineRule="auto"/>
        <w:rPr>
          <w:rFonts w:hAnsi="宋体" w:cs="宋体"/>
          <w:b/>
          <w:color w:val="auto"/>
          <w:szCs w:val="24"/>
          <w:highlight w:val="none"/>
        </w:rPr>
      </w:pPr>
      <w:r>
        <w:rPr>
          <w:rFonts w:hint="eastAsia" w:hAnsi="宋体" w:cs="宋体"/>
          <w:b/>
          <w:color w:val="auto"/>
          <w:szCs w:val="24"/>
          <w:highlight w:val="none"/>
        </w:rPr>
        <w:t>16.竞争性磋商响应文件的式样和签署</w:t>
      </w:r>
    </w:p>
    <w:p w14:paraId="1B4086A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16.1供应商应按照供应商须知的要求,准备一份竞争性磋商响应文件正本和“供应商须知前附表”中规定数量的副本，每套竞争性磋商响应文件封面须清楚地标明“正本”或“副本”。同时提供与正本内容一致的</w:t>
      </w:r>
      <w:r>
        <w:rPr>
          <w:rFonts w:hint="eastAsia" w:hAnsi="宋体" w:cs="宋体"/>
          <w:color w:val="auto"/>
          <w:spacing w:val="4"/>
          <w:highlight w:val="none"/>
        </w:rPr>
        <w:t>电子版（U盘）</w:t>
      </w:r>
      <w:r>
        <w:rPr>
          <w:rFonts w:hint="eastAsia" w:hAnsi="宋体" w:cs="宋体"/>
          <w:color w:val="auto"/>
          <w:szCs w:val="24"/>
          <w:highlight w:val="none"/>
        </w:rPr>
        <w:t>并在盘面标注供应商全称、项目名称、项目编号，并与竞争性磋商响应文件同时递交。</w:t>
      </w:r>
    </w:p>
    <w:p w14:paraId="19514DA2">
      <w:pPr>
        <w:spacing w:line="500" w:lineRule="exact"/>
        <w:ind w:firstLine="480" w:firstLineChars="200"/>
        <w:rPr>
          <w:rFonts w:hint="eastAsia" w:ascii="宋体" w:hAnsi="宋体" w:eastAsia="宋体" w:cs="宋体"/>
          <w:b/>
          <w:bCs/>
          <w:highlight w:val="none"/>
        </w:rPr>
      </w:pPr>
      <w:r>
        <w:rPr>
          <w:rFonts w:hint="eastAsia" w:hAnsi="宋体" w:cs="宋体"/>
          <w:color w:val="auto"/>
          <w:szCs w:val="24"/>
          <w:highlight w:val="none"/>
        </w:rPr>
        <w:t>16.2竞争性磋商响应文件正本需打印或用不褪色的蓝(黑)色墨水(汁)书写,并由供应商法定代表人或经法定代表人正式授权的代表签字【竞争性磋商文件要求竞争性磋商响应文件中法定代表人签字处由法定代表人签署，要求授权代表签字处由授权代表签署】，若由授权代表签署，须按竞争性磋商文件规定的格式出具的“法定代表人授权书”附在竞争性磋商响应文件中，所有要求签字（名）处，均须由签字（名）者本人用不褪色的蓝(黑)色墨水(汁)书写，不得用任何形式的图章代替。</w:t>
      </w:r>
      <w:r>
        <w:rPr>
          <w:rFonts w:hint="eastAsia" w:ascii="宋体" w:hAnsi="宋体" w:eastAsia="宋体" w:cs="宋体"/>
          <w:b/>
          <w:bCs/>
          <w:szCs w:val="24"/>
          <w:highlight w:val="none"/>
        </w:rPr>
        <w:t>所有竞争性磋商响应文件正本和副本须按第六章规定的顺序编排、并应编制目录、逐页标注连续页码，并</w:t>
      </w:r>
      <w:r>
        <w:rPr>
          <w:rFonts w:hint="eastAsia" w:ascii="宋体" w:hAnsi="宋体" w:eastAsia="宋体" w:cs="宋体"/>
          <w:b/>
          <w:bCs/>
          <w:highlight w:val="none"/>
        </w:rPr>
        <w:t>分别胶装成册。</w:t>
      </w:r>
      <w:r>
        <w:rPr>
          <w:rFonts w:hint="eastAsia" w:hAnsi="宋体" w:cs="宋体"/>
          <w:b/>
          <w:bCs/>
          <w:highlight w:val="none"/>
          <w:lang w:val="en-US" w:eastAsia="zh-CN"/>
        </w:rPr>
        <w:t>为响应国家节约资源的政策要求，建议供应商进行双面打印。</w:t>
      </w:r>
    </w:p>
    <w:p w14:paraId="385F235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16.3任何行间插字、涂改和增删，必须由供应商的法定代表人或其授权代表在旁边签字才有效。</w:t>
      </w:r>
    </w:p>
    <w:p w14:paraId="70784076">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16.4供应商名称应填写全称。磋商响应文件正本及所有副本必须逐页加盖供应商公章（鲜章），否则按无效处理。</w:t>
      </w:r>
    </w:p>
    <w:p w14:paraId="2AADBCE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16.5因字迹潦草、表述不清或不按竞争性磋商文件格式编制的竞争性磋商响应文件，所引起的对供应商不利的后果，由供应商自行负责。</w:t>
      </w:r>
    </w:p>
    <w:p w14:paraId="6C040207">
      <w:pPr>
        <w:spacing w:line="500" w:lineRule="exact"/>
        <w:ind w:firstLine="480" w:firstLineChars="200"/>
        <w:rPr>
          <w:rFonts w:hAnsi="宋体" w:cs="宋体"/>
          <w:color w:val="auto"/>
          <w:highlight w:val="none"/>
        </w:rPr>
      </w:pPr>
      <w:r>
        <w:rPr>
          <w:rFonts w:hint="eastAsia" w:hAnsi="宋体" w:cs="宋体"/>
          <w:color w:val="auto"/>
          <w:szCs w:val="24"/>
          <w:highlight w:val="none"/>
        </w:rPr>
        <w:t>16.6竞争性磋商文件的副本、电子版须和正本保持一致。</w:t>
      </w:r>
      <w:r>
        <w:rPr>
          <w:rFonts w:hint="eastAsia" w:hAnsi="宋体" w:cs="宋体"/>
          <w:color w:val="auto"/>
          <w:highlight w:val="none"/>
        </w:rPr>
        <w:t>若正本、副本和电子版有不一致的内容，以正本为准。</w:t>
      </w:r>
    </w:p>
    <w:p w14:paraId="4ECE7AA5">
      <w:pPr>
        <w:keepNext/>
        <w:keepLines/>
        <w:spacing w:beforeLines="100" w:afterLines="50" w:line="360" w:lineRule="auto"/>
        <w:jc w:val="center"/>
        <w:outlineLvl w:val="2"/>
        <w:rPr>
          <w:rFonts w:hAnsi="宋体" w:cs="宋体"/>
          <w:b/>
          <w:color w:val="auto"/>
          <w:sz w:val="32"/>
          <w:szCs w:val="32"/>
          <w:highlight w:val="none"/>
        </w:rPr>
      </w:pPr>
      <w:bookmarkStart w:id="54" w:name="_Toc12266"/>
      <w:bookmarkStart w:id="55" w:name="_Toc20799"/>
      <w:bookmarkStart w:id="56" w:name="_Toc28120"/>
      <w:bookmarkStart w:id="57" w:name="_Toc18686"/>
      <w:bookmarkStart w:id="58" w:name="_Toc13194"/>
      <w:r>
        <w:rPr>
          <w:rFonts w:hint="eastAsia" w:hAnsi="宋体" w:cs="宋体"/>
          <w:b/>
          <w:color w:val="auto"/>
          <w:sz w:val="32"/>
          <w:szCs w:val="32"/>
          <w:highlight w:val="none"/>
        </w:rPr>
        <w:t>四.竞争性磋商响应文件的递交</w:t>
      </w:r>
      <w:bookmarkEnd w:id="54"/>
      <w:bookmarkEnd w:id="55"/>
      <w:bookmarkEnd w:id="56"/>
      <w:bookmarkEnd w:id="57"/>
      <w:bookmarkEnd w:id="58"/>
    </w:p>
    <w:p w14:paraId="7B0B077C">
      <w:pPr>
        <w:spacing w:line="360" w:lineRule="auto"/>
        <w:rPr>
          <w:rFonts w:hAnsi="宋体" w:cs="宋体"/>
          <w:b/>
          <w:color w:val="auto"/>
          <w:szCs w:val="24"/>
          <w:highlight w:val="none"/>
        </w:rPr>
      </w:pPr>
      <w:r>
        <w:rPr>
          <w:rFonts w:hint="eastAsia" w:hAnsi="宋体" w:cs="宋体"/>
          <w:b/>
          <w:color w:val="auto"/>
          <w:szCs w:val="24"/>
          <w:highlight w:val="none"/>
        </w:rPr>
        <w:t>17.竞争性磋商响应文件的密封和标记</w:t>
      </w:r>
    </w:p>
    <w:p w14:paraId="21BDAC9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17.1报价一览表除在竞争性磋商响应文件内装订外，再制作一份单独放在一个信封中。封线处加贴封条并加盖供应商公章，封袋正面要粘贴标识，单独递交（该单独密封报价一览表的报价必须与竞争性磋商响应文件正本中的报价一览表（报价表）报价一致，若不一致，则按单独密封的报价一览表为准。</w:t>
      </w:r>
    </w:p>
    <w:p w14:paraId="6DB5DBF3">
      <w:pPr>
        <w:spacing w:line="360" w:lineRule="auto"/>
        <w:ind w:firstLine="480" w:firstLineChars="200"/>
        <w:rPr>
          <w:rFonts w:hAnsi="宋体" w:cs="宋体"/>
          <w:color w:val="auto"/>
          <w:szCs w:val="24"/>
          <w:highlight w:val="none"/>
        </w:rPr>
      </w:pPr>
      <w:r>
        <w:rPr>
          <w:rFonts w:hint="eastAsia" w:hAnsi="宋体" w:cs="宋体"/>
          <w:color w:val="auto"/>
          <w:highlight w:val="none"/>
        </w:rPr>
        <w:t>17.2供应商应将竞争性磋商响应文件正本、电子版本、报价一览表密封装在“正本”封袋中，所有的副本密封装在“副本”的封袋中（封袋不得有破损），。封袋应加贴封条，并在封线处加盖供应商公章，封袋正面要粘贴供应商全称、项目名称、编号等标识。</w:t>
      </w:r>
    </w:p>
    <w:p w14:paraId="7EA8BC2F">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外层包装请按以下要求标记：</w:t>
      </w:r>
    </w:p>
    <w:p w14:paraId="5AD868D3">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1) 磋商响应单位的全称；</w:t>
      </w:r>
    </w:p>
    <w:p w14:paraId="09FEAD03">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2) 磋商项目名称、项目编号；</w:t>
      </w:r>
    </w:p>
    <w:p w14:paraId="602C93EF">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3）正本或副本“请勿在＿＿＿＿＿(磋商时间)之前启封”。</w:t>
      </w:r>
    </w:p>
    <w:p w14:paraId="6C74B98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17.4如果供应商未对竞争性磋商响应文件按上述要求进行完好密封，由此产生的不利后果由供应商自行承担。</w:t>
      </w:r>
    </w:p>
    <w:p w14:paraId="3D032E12">
      <w:pPr>
        <w:spacing w:line="360" w:lineRule="auto"/>
        <w:rPr>
          <w:rFonts w:hAnsi="宋体" w:cs="宋体"/>
          <w:b/>
          <w:color w:val="auto"/>
          <w:szCs w:val="24"/>
          <w:highlight w:val="none"/>
        </w:rPr>
      </w:pPr>
      <w:r>
        <w:rPr>
          <w:rFonts w:hint="eastAsia" w:hAnsi="宋体" w:cs="宋体"/>
          <w:b/>
          <w:color w:val="auto"/>
          <w:szCs w:val="24"/>
          <w:highlight w:val="none"/>
        </w:rPr>
        <w:t>18．竞争性磋商响应文件的递交</w:t>
      </w:r>
    </w:p>
    <w:p w14:paraId="296F6D6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18.1供应商应按照竞争性磋商公告中规定的时间、地点，在规定的竞争性磋商响应文件递交截止时间前将全部竞争性磋商响应文件和磋商资料递交至采购代理机构接收人处。</w:t>
      </w:r>
    </w:p>
    <w:p w14:paraId="6B58D83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18.2采购代理机构在竞争性磋商文件规定的竞争性磋商响应文件递交截止时间前，只负责竞争性磋商响应文件的接收、清点、造册登记工作，并请递交人签字确认，对其有效性不负任何责任；</w:t>
      </w:r>
    </w:p>
    <w:p w14:paraId="478F6E2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18.3无论供应商成交与否，其竞争性磋商响应文件恕不退还。</w:t>
      </w:r>
    </w:p>
    <w:p w14:paraId="6B5374D6">
      <w:pPr>
        <w:spacing w:line="360" w:lineRule="auto"/>
        <w:rPr>
          <w:rFonts w:hAnsi="宋体" w:cs="宋体"/>
          <w:b/>
          <w:color w:val="auto"/>
          <w:szCs w:val="24"/>
          <w:highlight w:val="none"/>
        </w:rPr>
      </w:pPr>
      <w:r>
        <w:rPr>
          <w:rFonts w:hint="eastAsia" w:hAnsi="宋体" w:cs="宋体"/>
          <w:b/>
          <w:color w:val="auto"/>
          <w:szCs w:val="24"/>
          <w:highlight w:val="none"/>
        </w:rPr>
        <w:t>19．递交的竞争性磋商响应文件</w:t>
      </w:r>
    </w:p>
    <w:p w14:paraId="221E574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19.1按照供应商须知的规定，采购代理机构将拒绝接受在规定的磋商截止时间后递交的任何竞争性磋商响应文件。</w:t>
      </w:r>
    </w:p>
    <w:p w14:paraId="76F034F6">
      <w:pPr>
        <w:spacing w:line="360" w:lineRule="auto"/>
        <w:rPr>
          <w:rFonts w:hAnsi="宋体" w:cs="宋体"/>
          <w:b/>
          <w:color w:val="auto"/>
          <w:szCs w:val="24"/>
          <w:highlight w:val="none"/>
        </w:rPr>
      </w:pPr>
      <w:r>
        <w:rPr>
          <w:rFonts w:hint="eastAsia" w:hAnsi="宋体" w:cs="宋体"/>
          <w:b/>
          <w:color w:val="auto"/>
          <w:szCs w:val="24"/>
          <w:highlight w:val="none"/>
        </w:rPr>
        <w:t>20．磋商的修改与撤回</w:t>
      </w:r>
    </w:p>
    <w:p w14:paraId="72ABB31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20.1 供应商在递交竞争性磋商响应文件后，可以修改或撤回其竞争性磋商响应文件，也可以提出价格变动声明，但供应商必须在规定的磋商截止时间之前将修改或撤回或变动价格的书面通知文件递交到采购代理机构。</w:t>
      </w:r>
    </w:p>
    <w:p w14:paraId="70100DB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20.2 供应商的修改或撤回或变动价格的通知应按本须知第17条的规定编制、密封、标记和递交。</w:t>
      </w:r>
    </w:p>
    <w:p w14:paraId="19B9443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20.3 在磋商截止时间之后，供应商不得对其磋商响应文件做任何修改或撤回。</w:t>
      </w:r>
    </w:p>
    <w:p w14:paraId="4D74A7F4">
      <w:pPr>
        <w:keepNext/>
        <w:keepLines/>
        <w:spacing w:beforeLines="100" w:afterLines="50" w:line="360" w:lineRule="auto"/>
        <w:jc w:val="center"/>
        <w:outlineLvl w:val="2"/>
        <w:rPr>
          <w:rFonts w:hAnsi="宋体" w:cs="宋体"/>
          <w:b/>
          <w:color w:val="auto"/>
          <w:sz w:val="32"/>
          <w:szCs w:val="32"/>
          <w:highlight w:val="none"/>
        </w:rPr>
      </w:pPr>
      <w:bookmarkStart w:id="59" w:name="_Toc15436"/>
      <w:bookmarkStart w:id="60" w:name="_Toc403077643"/>
      <w:bookmarkStart w:id="61" w:name="_Toc363473976"/>
      <w:bookmarkStart w:id="62" w:name="_Toc30850"/>
      <w:bookmarkStart w:id="63" w:name="_Toc22043"/>
      <w:bookmarkStart w:id="64" w:name="_Toc25852"/>
      <w:bookmarkStart w:id="65" w:name="_Toc363474021"/>
      <w:bookmarkStart w:id="66" w:name="_Toc13669"/>
      <w:r>
        <w:rPr>
          <w:rFonts w:hint="eastAsia" w:hAnsi="宋体" w:cs="宋体"/>
          <w:b/>
          <w:color w:val="auto"/>
          <w:sz w:val="32"/>
          <w:szCs w:val="32"/>
          <w:highlight w:val="none"/>
        </w:rPr>
        <w:t>五.磋商与评标</w:t>
      </w:r>
      <w:bookmarkEnd w:id="59"/>
      <w:bookmarkEnd w:id="60"/>
      <w:bookmarkEnd w:id="61"/>
      <w:bookmarkEnd w:id="62"/>
      <w:bookmarkEnd w:id="63"/>
      <w:bookmarkEnd w:id="64"/>
      <w:bookmarkEnd w:id="65"/>
      <w:bookmarkEnd w:id="66"/>
    </w:p>
    <w:p w14:paraId="688393B9">
      <w:pPr>
        <w:spacing w:line="360" w:lineRule="auto"/>
        <w:rPr>
          <w:rFonts w:hAnsi="宋体" w:cs="宋体"/>
          <w:b/>
          <w:color w:val="auto"/>
          <w:szCs w:val="24"/>
          <w:highlight w:val="none"/>
        </w:rPr>
      </w:pPr>
      <w:r>
        <w:rPr>
          <w:rFonts w:hint="eastAsia" w:hAnsi="宋体" w:cs="宋体"/>
          <w:b/>
          <w:color w:val="auto"/>
          <w:szCs w:val="24"/>
          <w:highlight w:val="none"/>
        </w:rPr>
        <w:t>21.磋商大会</w:t>
      </w:r>
    </w:p>
    <w:p w14:paraId="3384C4D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21.1 采购代理机构在规定的时间和地点组织竞争性磋商。磋商时所有供应商代表自愿参加，参加磋商的代表应签名报到以证明其出席。</w:t>
      </w:r>
    </w:p>
    <w:p w14:paraId="641C8345">
      <w:pPr>
        <w:spacing w:line="360" w:lineRule="auto"/>
        <w:ind w:firstLine="480" w:firstLineChars="200"/>
        <w:rPr>
          <w:rFonts w:hAnsi="宋体" w:cs="宋体"/>
          <w:b/>
          <w:color w:val="auto"/>
          <w:szCs w:val="24"/>
          <w:highlight w:val="none"/>
        </w:rPr>
      </w:pPr>
      <w:r>
        <w:rPr>
          <w:rFonts w:hint="eastAsia" w:hAnsi="宋体" w:cs="宋体"/>
          <w:color w:val="auto"/>
          <w:szCs w:val="24"/>
          <w:highlight w:val="none"/>
        </w:rPr>
        <w:t>21.2采购代理机构将做好磋商记录，存档备查。</w:t>
      </w:r>
    </w:p>
    <w:p w14:paraId="39105E2E">
      <w:pPr>
        <w:spacing w:line="360" w:lineRule="auto"/>
        <w:rPr>
          <w:rFonts w:hAnsi="宋体" w:cs="宋体"/>
          <w:b/>
          <w:color w:val="auto"/>
          <w:szCs w:val="24"/>
          <w:highlight w:val="none"/>
        </w:rPr>
      </w:pPr>
      <w:r>
        <w:rPr>
          <w:rFonts w:hint="eastAsia" w:hAnsi="宋体" w:cs="宋体"/>
          <w:b/>
          <w:color w:val="auto"/>
          <w:szCs w:val="24"/>
          <w:highlight w:val="none"/>
        </w:rPr>
        <w:t>22．评审程序</w:t>
      </w:r>
    </w:p>
    <w:p w14:paraId="61E0DBD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按照竞争性磋商响应文件初审、澄清有关问题、分别磋商、二次报价、比较与评审、推荐成交候选人名单的工作程序进行评审。在上一步评审中被认定为无效磋商者，不进入下一步的评审。</w:t>
      </w:r>
    </w:p>
    <w:p w14:paraId="3A430B8E">
      <w:pPr>
        <w:spacing w:line="360" w:lineRule="auto"/>
        <w:rPr>
          <w:rFonts w:hAnsi="宋体" w:cs="宋体"/>
          <w:b/>
          <w:color w:val="auto"/>
          <w:szCs w:val="24"/>
          <w:highlight w:val="none"/>
        </w:rPr>
      </w:pPr>
      <w:r>
        <w:rPr>
          <w:rFonts w:hint="eastAsia" w:hAnsi="宋体" w:cs="宋体"/>
          <w:b/>
          <w:color w:val="auto"/>
          <w:szCs w:val="24"/>
          <w:highlight w:val="none"/>
        </w:rPr>
        <w:t>23．评审组织及评审原则</w:t>
      </w:r>
    </w:p>
    <w:p w14:paraId="124FDDAF">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23.1</w:t>
      </w:r>
      <w:r>
        <w:rPr>
          <w:rFonts w:hAnsi="宋体"/>
          <w:color w:val="auto"/>
          <w:szCs w:val="24"/>
          <w:highlight w:val="none"/>
        </w:rPr>
        <w:t>按照《中华人民共和国政府采购法》</w:t>
      </w:r>
      <w:r>
        <w:rPr>
          <w:rFonts w:hint="eastAsia" w:hAnsi="宋体"/>
          <w:color w:val="auto"/>
          <w:szCs w:val="24"/>
          <w:highlight w:val="none"/>
        </w:rPr>
        <w:t>及实施条例和</w:t>
      </w:r>
      <w:r>
        <w:rPr>
          <w:rFonts w:hAnsi="宋体"/>
          <w:color w:val="auto"/>
          <w:szCs w:val="24"/>
          <w:highlight w:val="none"/>
        </w:rPr>
        <w:t>关于印发《政府采购竞争性磋商采购方式管理暂行办法》的通知</w:t>
      </w:r>
      <w:r>
        <w:rPr>
          <w:rFonts w:hint="eastAsia" w:hAnsi="宋体"/>
          <w:color w:val="auto"/>
          <w:szCs w:val="24"/>
          <w:highlight w:val="none"/>
        </w:rPr>
        <w:t>（</w:t>
      </w:r>
      <w:r>
        <w:rPr>
          <w:rFonts w:hAnsi="宋体"/>
          <w:color w:val="auto"/>
          <w:szCs w:val="24"/>
          <w:highlight w:val="none"/>
        </w:rPr>
        <w:t>财库【2014】214号</w:t>
      </w:r>
      <w:r>
        <w:rPr>
          <w:rFonts w:hint="eastAsia" w:hAnsi="宋体"/>
          <w:color w:val="auto"/>
          <w:szCs w:val="24"/>
          <w:highlight w:val="none"/>
        </w:rPr>
        <w:t>）</w:t>
      </w:r>
      <w:r>
        <w:rPr>
          <w:rFonts w:hAnsi="宋体"/>
          <w:color w:val="auto"/>
          <w:szCs w:val="24"/>
          <w:highlight w:val="none"/>
        </w:rPr>
        <w:t>，依法组建</w:t>
      </w:r>
      <w:r>
        <w:rPr>
          <w:rFonts w:hint="eastAsia" w:hAnsi="宋体"/>
          <w:color w:val="auto"/>
          <w:szCs w:val="24"/>
          <w:highlight w:val="none"/>
        </w:rPr>
        <w:t>资格审查小组和磋商小组</w:t>
      </w:r>
      <w:r>
        <w:rPr>
          <w:rFonts w:hAnsi="宋体"/>
          <w:color w:val="auto"/>
          <w:szCs w:val="24"/>
          <w:highlight w:val="none"/>
        </w:rPr>
        <w:t>。</w:t>
      </w:r>
      <w:r>
        <w:rPr>
          <w:rFonts w:hint="eastAsia" w:hAnsi="宋体"/>
          <w:color w:val="auto"/>
          <w:szCs w:val="24"/>
          <w:highlight w:val="none"/>
        </w:rPr>
        <w:t>资格审查小组由采购人代表和代理机构代表组成，成员人数应当为3人以上单数。磋商小组由采购人代表和评审专家组成，成员人数应当为3人以上单数，其中采购人代表须持有授权书。磋商小组</w:t>
      </w:r>
      <w:r>
        <w:rPr>
          <w:rFonts w:hAnsi="宋体"/>
          <w:color w:val="auto"/>
          <w:szCs w:val="24"/>
          <w:highlight w:val="none"/>
        </w:rPr>
        <w:t>按照</w:t>
      </w:r>
      <w:r>
        <w:rPr>
          <w:rFonts w:hint="eastAsia" w:hAnsi="宋体"/>
          <w:color w:val="auto"/>
          <w:szCs w:val="24"/>
          <w:highlight w:val="none"/>
        </w:rPr>
        <w:t>竞争性磋商</w:t>
      </w:r>
      <w:r>
        <w:rPr>
          <w:rFonts w:hAnsi="宋体"/>
          <w:color w:val="auto"/>
          <w:szCs w:val="24"/>
          <w:highlight w:val="none"/>
        </w:rPr>
        <w:t>文件规定的</w:t>
      </w:r>
      <w:r>
        <w:rPr>
          <w:rFonts w:hint="eastAsia" w:hAnsi="宋体"/>
          <w:color w:val="auto"/>
          <w:szCs w:val="24"/>
          <w:highlight w:val="none"/>
        </w:rPr>
        <w:t>评审</w:t>
      </w:r>
      <w:r>
        <w:rPr>
          <w:rFonts w:hAnsi="宋体"/>
          <w:color w:val="auto"/>
          <w:szCs w:val="24"/>
          <w:highlight w:val="none"/>
        </w:rPr>
        <w:t>方法独立进行</w:t>
      </w:r>
      <w:r>
        <w:rPr>
          <w:rFonts w:hint="eastAsia" w:hAnsi="宋体"/>
          <w:color w:val="auto"/>
          <w:szCs w:val="24"/>
          <w:highlight w:val="none"/>
        </w:rPr>
        <w:t>评审</w:t>
      </w:r>
      <w:r>
        <w:rPr>
          <w:rFonts w:hAnsi="宋体"/>
          <w:color w:val="auto"/>
          <w:szCs w:val="24"/>
          <w:highlight w:val="none"/>
        </w:rPr>
        <w:t>工作</w:t>
      </w:r>
      <w:r>
        <w:rPr>
          <w:rFonts w:hint="eastAsia" w:hAnsi="宋体" w:cs="宋体"/>
          <w:color w:val="auto"/>
          <w:szCs w:val="24"/>
          <w:highlight w:val="none"/>
        </w:rPr>
        <w:t>。</w:t>
      </w:r>
    </w:p>
    <w:p w14:paraId="0560039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23.2竞争性磋商文件和竞争性磋商响应文件是评审的依据。在评审中，不得改变竞争性磋商文件中规定的评审标准、方法和成交条件。</w:t>
      </w:r>
    </w:p>
    <w:p w14:paraId="09ED7D6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5DCDE2A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23.4如果供应商在澄清规定期限内，未能答复或拒绝答复磋商小组提出的澄清要求，将由磋商小组根据其竞争性磋商响应文件按最大风险进行评审。</w:t>
      </w:r>
    </w:p>
    <w:p w14:paraId="13A8C06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23.5磋商过程中的实质性变动：</w:t>
      </w:r>
    </w:p>
    <w:p w14:paraId="394604D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3514371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23.5.2对竞争性磋商文件做出的实质性变动是磋商文件的有效组成部分，磋商小组应当及时以书面形式通知所有参加磋商的供应商。</w:t>
      </w:r>
    </w:p>
    <w:p w14:paraId="4AB278C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23.6竞争性磋商响应文件的初审（含资格性检查和符合性检查）</w:t>
      </w:r>
    </w:p>
    <w:p w14:paraId="5C141E5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23.6.1磋商小组将审查竞争性磋商响应文件是否完整、资格证明文件是否齐全，磋商保证金是否合格、有无计算上的错误等。</w:t>
      </w:r>
    </w:p>
    <w:p w14:paraId="45921A5B">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23.6.2计算错误将按以下方法更正：</w:t>
      </w:r>
    </w:p>
    <w:p w14:paraId="19A6A9EC">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2E838D9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（2）磋商响应文件的大写金额和小写金额不一致的，以大写金额为准；</w:t>
      </w:r>
    </w:p>
    <w:p w14:paraId="5BF93EF9">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（3）单价金额小数点或者百分比有明显错位的，以单独密封的报价一览表的总价为准，并修改单价；</w:t>
      </w:r>
    </w:p>
    <w:p w14:paraId="2749A0A0">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（4）总价金额与按单价汇总金额不一致的，以单价金额计算结果为准。</w:t>
      </w:r>
    </w:p>
    <w:p w14:paraId="6F99B6D1">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按上述修正的顺序和方法调整的报价应对供应商具有约束力。如果供应商不接受修正后的价格，其响应文件将按无效响应处理。</w:t>
      </w:r>
    </w:p>
    <w:p w14:paraId="3C79034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23.6.3对于竞争性磋商响应文件中明显的标点符号错误或不构成实质性偏差的不正规、不一致或不规则，采购人可以接受。</w:t>
      </w:r>
    </w:p>
    <w:p w14:paraId="4121109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23.6.4在详细评审之前，根据本须知第22.6.5条的规定，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1C85A4D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23.6.5实质上没有响应竞争性磋商文件要求的磋商将被拒绝。供应商不得通过修正或撤销不合要求的偏离从而使其磋商成为实质性响应的磋商。</w:t>
      </w:r>
      <w:r>
        <w:rPr>
          <w:rFonts w:hint="eastAsia" w:hAnsi="宋体" w:cs="宋体"/>
          <w:b/>
          <w:bCs/>
          <w:color w:val="auto"/>
          <w:szCs w:val="24"/>
          <w:highlight w:val="none"/>
        </w:rPr>
        <w:t>如发现下列情况之一的，其磋商将构成非实质性响应，按无效磋商处理：</w:t>
      </w:r>
    </w:p>
    <w:p w14:paraId="3058CF40">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1）没有按照竞争性磋商文件要求提供的竞争性磋商响应文件或竞争性磋商响应文件构成有重大缺项；</w:t>
      </w:r>
    </w:p>
    <w:p w14:paraId="5C13D539">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2）竞争性磋商响应文件未按竞争性磋商文件要求密封、签署、盖章的；</w:t>
      </w:r>
    </w:p>
    <w:p w14:paraId="70939F8E">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3）供应商未提交有效的磋商保证金或金额不足的、磋商保证金形式不符合竞争性磋商文件要求的；</w:t>
      </w:r>
    </w:p>
    <w:p w14:paraId="647876CC">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4）资格证明文件不全的或无效的，或不符合国家规定的；</w:t>
      </w:r>
    </w:p>
    <w:p w14:paraId="39F18A5F">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5）竞争性磋商响应文件无供应商公章、无法定代表人签字或签字人无法定代表人有效委托书的；</w:t>
      </w:r>
    </w:p>
    <w:p w14:paraId="13220E69">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6）</w:t>
      </w:r>
      <w:r>
        <w:rPr>
          <w:rFonts w:hint="eastAsia" w:hAnsi="宋体" w:cs="宋体"/>
          <w:b/>
          <w:bCs/>
          <w:color w:val="auto"/>
          <w:spacing w:val="-6"/>
          <w:szCs w:val="24"/>
          <w:highlight w:val="none"/>
        </w:rPr>
        <w:t>无磋商有效期或有效期达不到竞争性磋商文件要求的</w:t>
      </w:r>
      <w:r>
        <w:rPr>
          <w:rFonts w:hint="eastAsia" w:hAnsi="宋体" w:cs="宋体"/>
          <w:b/>
          <w:bCs/>
          <w:color w:val="auto"/>
          <w:szCs w:val="24"/>
          <w:highlight w:val="none"/>
        </w:rPr>
        <w:t>；</w:t>
      </w:r>
    </w:p>
    <w:p w14:paraId="698DF9A6">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7）供应商在同一份竞争性磋商响应文件中，有两个或多个报价的；</w:t>
      </w:r>
    </w:p>
    <w:p w14:paraId="4F465DF1">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8）存在有重大缺漏项和重大偏离的；</w:t>
      </w:r>
    </w:p>
    <w:p w14:paraId="1C8C044D">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9）供应商有串通磋商、以他人名义磋商、行贿、提供虚假证明（包括第三方提供的虚假证明），开具虚假资质，出现虚假应答的，除按无效文件处理外，还将按照政府采购的有关规定进行处罚；</w:t>
      </w:r>
    </w:p>
    <w:p w14:paraId="7355132C">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10）磋商总报价低于成本或者高于竞争性磋商文件公布的采购预算的。</w:t>
      </w:r>
    </w:p>
    <w:p w14:paraId="79B5A6E2">
      <w:pPr>
        <w:pStyle w:val="19"/>
        <w:spacing w:before="0" w:beforeAutospacing="0" w:after="0" w:afterAutospacing="0" w:line="500" w:lineRule="exact"/>
        <w:ind w:firstLine="482" w:firstLineChars="200"/>
        <w:jc w:val="both"/>
        <w:rPr>
          <w:rFonts w:cs="宋体"/>
          <w:b/>
          <w:bCs/>
          <w:color w:val="auto"/>
          <w:highlight w:val="none"/>
        </w:rPr>
      </w:pPr>
      <w:r>
        <w:rPr>
          <w:rFonts w:hint="eastAsia" w:cs="宋体"/>
          <w:b/>
          <w:bCs/>
          <w:color w:val="auto"/>
          <w:highlight w:val="none"/>
        </w:rPr>
        <w:t>11）竞争性磋商响应文件含有采购人不能接受的附加条件的；</w:t>
      </w:r>
    </w:p>
    <w:p w14:paraId="6FAD219E">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12）竞争性磋商响应文件不符合法律法规要求的；</w:t>
      </w:r>
    </w:p>
    <w:p w14:paraId="5B59D88F">
      <w:pPr>
        <w:pStyle w:val="19"/>
        <w:spacing w:before="0" w:beforeAutospacing="0" w:after="0" w:afterAutospacing="0" w:line="500" w:lineRule="exact"/>
        <w:ind w:firstLine="482" w:firstLineChars="200"/>
        <w:jc w:val="both"/>
        <w:rPr>
          <w:rFonts w:cs="宋体"/>
          <w:color w:val="auto"/>
          <w:highlight w:val="none"/>
        </w:rPr>
      </w:pPr>
      <w:r>
        <w:rPr>
          <w:rFonts w:hint="eastAsia" w:cs="宋体"/>
          <w:b/>
          <w:bCs/>
          <w:color w:val="auto"/>
          <w:highlight w:val="none"/>
        </w:rPr>
        <w:t>13）供应商被列入失信被执行人、重大税收违法案件当事人名单、政府采购严重违法失信行为记录名单及其他不符合《中华人民共和国政府采购法》第二十二条规定条件。</w:t>
      </w:r>
    </w:p>
    <w:p w14:paraId="7152515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23.7竞争性磋商响应文件的详细评审</w:t>
      </w:r>
    </w:p>
    <w:p w14:paraId="6950583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23.7.1磋商小组将按照本须知第22.6.4条规定，只对确定为实质性响应竞争性磋商文件要求的磋商响应文件进行详细评审。</w:t>
      </w:r>
    </w:p>
    <w:p w14:paraId="342EBB9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23.7.2详细评审按照“供应商须知前附表”的评审方法进行。</w:t>
      </w:r>
    </w:p>
    <w:p w14:paraId="70AE234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23.8成交候选人的确定</w:t>
      </w:r>
    </w:p>
    <w:p w14:paraId="2E8A21F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磋商小组完成评审后，向采购人提出书面评审，并推荐1-3名成交候选人，标明排列顺序。</w:t>
      </w:r>
    </w:p>
    <w:p w14:paraId="1B3237CE">
      <w:pPr>
        <w:spacing w:line="360" w:lineRule="auto"/>
        <w:rPr>
          <w:rFonts w:hAnsi="宋体" w:cs="宋体"/>
          <w:b/>
          <w:color w:val="auto"/>
          <w:szCs w:val="24"/>
          <w:highlight w:val="none"/>
        </w:rPr>
      </w:pPr>
      <w:r>
        <w:rPr>
          <w:rFonts w:hint="eastAsia" w:hAnsi="宋体" w:cs="宋体"/>
          <w:b/>
          <w:color w:val="auto"/>
          <w:szCs w:val="24"/>
          <w:highlight w:val="none"/>
        </w:rPr>
        <w:t>24．评审过程的保密</w:t>
      </w:r>
    </w:p>
    <w:p w14:paraId="73D1F99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磋商小组成员和与评审活动有关的工作人员不得泄露有关竞争性磋商响应文件的评审和比较、成交候选人的推荐以及与评审有关的其他情况。</w:t>
      </w:r>
    </w:p>
    <w:p w14:paraId="5FABAAEA">
      <w:pPr>
        <w:jc w:val="left"/>
        <w:rPr>
          <w:rFonts w:hAnsi="宋体" w:cs="宋体"/>
          <w:b/>
          <w:color w:val="auto"/>
          <w:szCs w:val="24"/>
          <w:highlight w:val="none"/>
        </w:rPr>
      </w:pPr>
      <w:r>
        <w:rPr>
          <w:rFonts w:hint="eastAsia" w:hAnsi="宋体" w:cs="宋体"/>
          <w:b/>
          <w:color w:val="auto"/>
          <w:szCs w:val="24"/>
          <w:highlight w:val="none"/>
        </w:rPr>
        <w:t>25．评审方法</w:t>
      </w:r>
    </w:p>
    <w:p w14:paraId="31C79E7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24.1按照《中华人民共和国政府采购法》及实施条例和关于印发《政府采购竞争性磋商采购方式管理暂行办法》的通知（财库【2014】214号），本次评审采用综合评分法，即在全部满足竞争性磋商文件实质性要求前提下，磋商小组应当根据综合评分情况，按照评审得分高低顺序推荐1-3名成交候选人。</w:t>
      </w:r>
    </w:p>
    <w:p w14:paraId="0AA06E22">
      <w:pPr>
        <w:keepNext/>
        <w:keepLines/>
        <w:spacing w:beforeLines="100" w:afterLines="50" w:line="360" w:lineRule="auto"/>
        <w:jc w:val="center"/>
        <w:outlineLvl w:val="2"/>
        <w:rPr>
          <w:rFonts w:hAnsi="宋体" w:cs="宋体"/>
          <w:b/>
          <w:color w:val="auto"/>
          <w:sz w:val="32"/>
          <w:szCs w:val="32"/>
          <w:highlight w:val="none"/>
        </w:rPr>
      </w:pPr>
      <w:bookmarkStart w:id="67" w:name="_Toc15100"/>
      <w:bookmarkStart w:id="68" w:name="_Toc29694"/>
      <w:bookmarkStart w:id="69" w:name="_Toc7759"/>
      <w:bookmarkStart w:id="70" w:name="_Toc29146"/>
      <w:bookmarkStart w:id="71" w:name="_Toc24420"/>
      <w:r>
        <w:rPr>
          <w:rFonts w:hint="eastAsia" w:hAnsi="宋体" w:cs="宋体"/>
          <w:b/>
          <w:color w:val="auto"/>
          <w:sz w:val="32"/>
          <w:szCs w:val="32"/>
          <w:highlight w:val="none"/>
        </w:rPr>
        <w:t>六.成交、通知与签约</w:t>
      </w:r>
      <w:bookmarkEnd w:id="67"/>
      <w:bookmarkEnd w:id="68"/>
      <w:bookmarkEnd w:id="69"/>
      <w:bookmarkEnd w:id="70"/>
      <w:bookmarkEnd w:id="71"/>
    </w:p>
    <w:p w14:paraId="0AB47BBD">
      <w:pPr>
        <w:spacing w:line="360" w:lineRule="auto"/>
        <w:rPr>
          <w:rFonts w:hAnsi="宋体" w:cs="宋体"/>
          <w:b/>
          <w:color w:val="auto"/>
          <w:szCs w:val="24"/>
          <w:highlight w:val="none"/>
        </w:rPr>
      </w:pPr>
      <w:r>
        <w:rPr>
          <w:rFonts w:hint="eastAsia" w:hAnsi="宋体" w:cs="宋体"/>
          <w:b/>
          <w:color w:val="auto"/>
          <w:szCs w:val="24"/>
          <w:highlight w:val="none"/>
        </w:rPr>
        <w:t>26．成交程序</w:t>
      </w:r>
    </w:p>
    <w:p w14:paraId="6247C12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26.1磋商小组根据评审方法的规定对供应商进行评审排序，推荐1-3名成交候选人，作为评审结果。评审结果由全体磋商小组成员签字确认。</w:t>
      </w:r>
    </w:p>
    <w:p w14:paraId="675DB37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26.2采购人根据磋商报告中推荐的成交候选人排列顺序，确定排名第一的为成交供应商。</w:t>
      </w:r>
    </w:p>
    <w:p w14:paraId="40B65E7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41C0C7B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26.4采购人也可以授权磋商小组评审后直接确定成交供应商。</w:t>
      </w:r>
    </w:p>
    <w:p w14:paraId="19692BB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26.5成交供应商确定之后，成交结果将在财政部门指定的政府采购信息发布媒体上公告。</w:t>
      </w:r>
    </w:p>
    <w:p w14:paraId="27AE075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26.6供应商或者其他利害关系人对评审结果有异议的，应当在法律规定的时间内提出。</w:t>
      </w:r>
    </w:p>
    <w:p w14:paraId="77687630">
      <w:pPr>
        <w:spacing w:line="360" w:lineRule="auto"/>
        <w:rPr>
          <w:rFonts w:hAnsi="宋体" w:cs="宋体"/>
          <w:b/>
          <w:color w:val="auto"/>
          <w:szCs w:val="24"/>
          <w:highlight w:val="none"/>
        </w:rPr>
      </w:pPr>
      <w:r>
        <w:rPr>
          <w:rFonts w:hint="eastAsia" w:hAnsi="宋体" w:cs="宋体"/>
          <w:b/>
          <w:color w:val="auto"/>
          <w:szCs w:val="24"/>
          <w:highlight w:val="none"/>
        </w:rPr>
        <w:t>27．成交通知</w:t>
      </w:r>
    </w:p>
    <w:p w14:paraId="6634FE4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27.1采购代理机构向成交供应商发出《成交通知书》。</w:t>
      </w:r>
      <w:r>
        <w:rPr>
          <w:rFonts w:hint="eastAsia" w:hAnsi="宋体" w:cs="宋体"/>
          <w:b/>
          <w:bCs/>
          <w:color w:val="auto"/>
          <w:szCs w:val="24"/>
          <w:highlight w:val="none"/>
        </w:rPr>
        <w:t>成交供应商领取成交通知书时须携带法定代表人授权书及加盖单位公章的被授权人身份证复印件。</w:t>
      </w:r>
    </w:p>
    <w:p w14:paraId="1B418F7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27.2成交通知书对采购人和成交供应商具有同等法律效力。成交通知书发出之后，采购人改变成交结果，或者成交供应商放弃成交，应当承担相应的法律责任。</w:t>
      </w:r>
    </w:p>
    <w:p w14:paraId="799407AC">
      <w:pPr>
        <w:spacing w:line="360" w:lineRule="auto"/>
        <w:rPr>
          <w:rFonts w:hAnsi="宋体" w:cs="宋体"/>
          <w:b/>
          <w:color w:val="auto"/>
          <w:szCs w:val="24"/>
          <w:highlight w:val="none"/>
        </w:rPr>
      </w:pPr>
      <w:r>
        <w:rPr>
          <w:rFonts w:hint="eastAsia" w:hAnsi="宋体" w:cs="宋体"/>
          <w:b/>
          <w:color w:val="auto"/>
          <w:szCs w:val="24"/>
          <w:highlight w:val="none"/>
        </w:rPr>
        <w:t>28. 采购合同的签订</w:t>
      </w:r>
    </w:p>
    <w:p w14:paraId="408CA24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28.1采购人应当自成交通知书发出之日起</w:t>
      </w:r>
      <w:r>
        <w:rPr>
          <w:rFonts w:hint="eastAsia" w:hAnsi="宋体" w:cs="宋体"/>
          <w:color w:val="auto"/>
          <w:szCs w:val="24"/>
          <w:highlight w:val="none"/>
          <w:lang w:val="en-US" w:eastAsia="zh-CN"/>
        </w:rPr>
        <w:t>二十五</w:t>
      </w:r>
      <w:r>
        <w:rPr>
          <w:rFonts w:hint="eastAsia" w:hAnsi="宋体" w:cs="宋体"/>
          <w:color w:val="auto"/>
          <w:szCs w:val="24"/>
          <w:highlight w:val="none"/>
        </w:rPr>
        <w:t>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2B15A2D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28.2采购人自采购合同签订之日起七个工作日内，将采购合同副本报同级人民政府财政部门备案。</w:t>
      </w:r>
    </w:p>
    <w:p w14:paraId="78D82F4B">
      <w:pPr>
        <w:spacing w:line="360" w:lineRule="auto"/>
        <w:rPr>
          <w:rFonts w:hAnsi="宋体" w:cs="宋体"/>
          <w:b/>
          <w:color w:val="auto"/>
          <w:szCs w:val="24"/>
          <w:highlight w:val="none"/>
        </w:rPr>
      </w:pPr>
      <w:r>
        <w:rPr>
          <w:rFonts w:hint="eastAsia" w:hAnsi="宋体" w:cs="宋体"/>
          <w:b/>
          <w:color w:val="auto"/>
          <w:szCs w:val="24"/>
          <w:highlight w:val="none"/>
        </w:rPr>
        <w:t>29．成交代理服务费</w:t>
      </w:r>
      <w:r>
        <w:rPr>
          <w:rFonts w:hint="eastAsia" w:hAnsi="宋体" w:cs="宋体"/>
          <w:color w:val="auto"/>
          <w:szCs w:val="24"/>
          <w:highlight w:val="none"/>
        </w:rPr>
        <w:t xml:space="preserve"> </w:t>
      </w:r>
    </w:p>
    <w:p w14:paraId="4443052B">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29.1代理服务费：以中标金额为基数，依据国家计委颁发的《招标代理服务收费管理暂行办法》（计价格〔2002〕1980号）</w:t>
      </w:r>
      <w:r>
        <w:rPr>
          <w:rFonts w:hint="eastAsia" w:hAnsi="宋体" w:cs="宋体"/>
          <w:color w:val="auto"/>
          <w:szCs w:val="24"/>
          <w:highlight w:val="none"/>
          <w:lang w:val="en-US" w:eastAsia="zh-CN"/>
        </w:rPr>
        <w:t>及</w:t>
      </w:r>
      <w:r>
        <w:rPr>
          <w:rFonts w:hint="eastAsia" w:hAnsi="宋体" w:cs="宋体"/>
          <w:color w:val="auto"/>
          <w:szCs w:val="24"/>
          <w:highlight w:val="none"/>
        </w:rPr>
        <w:t>国家发展和改革委员会办公厅颁发的《关于招标代理服务收费有关问题的通知》（发改办价格〔2003〕857号）的有关规定执行，不足6000元按6000元收取。</w:t>
      </w:r>
    </w:p>
    <w:p w14:paraId="5556B53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29.2本项目代理服务费由中标单位支付，中标单位应依据成交金额向招标代理机构交纳招标代理服务费。</w:t>
      </w:r>
    </w:p>
    <w:p w14:paraId="2E319217">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代理服务费转账账户：</w:t>
      </w:r>
    </w:p>
    <w:p w14:paraId="19A3D154">
      <w:pPr>
        <w:spacing w:line="360" w:lineRule="auto"/>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1、采购代理机构开户名称: 陕西至诚项目管理集团有限公司</w:t>
      </w:r>
    </w:p>
    <w:p w14:paraId="4F10F33C">
      <w:pPr>
        <w:spacing w:line="360" w:lineRule="auto"/>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2、开户行名称：中国建设银行股份有限公司西安高新技术产业开发区支行</w:t>
      </w:r>
    </w:p>
    <w:p w14:paraId="6D8EC207">
      <w:pPr>
        <w:spacing w:line="360" w:lineRule="auto"/>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3、账号：61050192090000002152。</w:t>
      </w:r>
    </w:p>
    <w:p w14:paraId="6B0D706E">
      <w:pPr>
        <w:numPr>
          <w:ilvl w:val="0"/>
          <w:numId w:val="2"/>
        </w:numPr>
        <w:spacing w:line="600" w:lineRule="exact"/>
        <w:rPr>
          <w:rFonts w:hAnsi="宋体" w:cs="宋体"/>
          <w:b/>
          <w:bCs/>
          <w:color w:val="auto"/>
          <w:szCs w:val="24"/>
          <w:highlight w:val="none"/>
        </w:rPr>
      </w:pPr>
      <w:r>
        <w:rPr>
          <w:rFonts w:hint="eastAsia" w:hAnsi="宋体" w:cs="宋体"/>
          <w:b/>
          <w:bCs/>
          <w:color w:val="auto"/>
          <w:szCs w:val="24"/>
          <w:highlight w:val="none"/>
        </w:rPr>
        <w:t>质疑</w:t>
      </w:r>
    </w:p>
    <w:p w14:paraId="4B45F489">
      <w:pPr>
        <w:spacing w:line="500" w:lineRule="exact"/>
        <w:ind w:right="12" w:firstLine="480"/>
        <w:rPr>
          <w:rFonts w:hAnsi="宋体" w:cs="宋体"/>
          <w:color w:val="auto"/>
          <w:szCs w:val="24"/>
          <w:highlight w:val="none"/>
        </w:rPr>
      </w:pPr>
      <w:r>
        <w:rPr>
          <w:rFonts w:hint="eastAsia" w:hAnsi="宋体" w:cs="宋体"/>
          <w:color w:val="auto"/>
          <w:szCs w:val="24"/>
          <w:highlight w:val="none"/>
        </w:rPr>
        <w:t>30.1供应商认为磋商文件、采购过程、成交结果使自己的权益受到损害的，可以在知道或者应知其权益受到损害之日起7个工作日内，以书面形式向采购人、采购代理机构提出质疑。</w:t>
      </w:r>
    </w:p>
    <w:p w14:paraId="78B2289F">
      <w:pPr>
        <w:spacing w:line="500" w:lineRule="exact"/>
        <w:ind w:right="12" w:firstLine="480"/>
        <w:rPr>
          <w:rStyle w:val="25"/>
          <w:rFonts w:hAnsi="宋体" w:cs="宋体"/>
          <w:bCs w:val="0"/>
          <w:color w:val="auto"/>
          <w:szCs w:val="24"/>
          <w:highlight w:val="none"/>
          <w:shd w:val="clear" w:color="auto" w:fill="FFFFFF"/>
        </w:rPr>
      </w:pPr>
      <w:r>
        <w:rPr>
          <w:rFonts w:hint="eastAsia" w:hAnsi="宋体" w:cs="宋体"/>
          <w:color w:val="auto"/>
          <w:szCs w:val="24"/>
          <w:highlight w:val="none"/>
        </w:rPr>
        <w:t>30.2供应商必须在法定质疑期内一次性提出针对同一采购程序环节的质疑。</w:t>
      </w:r>
    </w:p>
    <w:p w14:paraId="1E44F10C">
      <w:pPr>
        <w:spacing w:line="500" w:lineRule="exact"/>
        <w:ind w:left="3" w:firstLine="518" w:firstLineChars="216"/>
        <w:rPr>
          <w:rStyle w:val="25"/>
          <w:rFonts w:hAnsi="宋体" w:cs="宋体"/>
          <w:b w:val="0"/>
          <w:color w:val="auto"/>
          <w:szCs w:val="24"/>
          <w:highlight w:val="none"/>
          <w:shd w:val="clear" w:color="auto" w:fill="FFFFFF"/>
        </w:rPr>
      </w:pPr>
      <w:r>
        <w:rPr>
          <w:rStyle w:val="25"/>
          <w:rFonts w:hint="eastAsia" w:hAnsi="宋体" w:cs="宋体"/>
          <w:b w:val="0"/>
          <w:color w:val="auto"/>
          <w:szCs w:val="24"/>
          <w:highlight w:val="none"/>
          <w:shd w:val="clear" w:color="auto" w:fill="FFFFFF"/>
        </w:rPr>
        <w:t>30.3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85C91B3">
      <w:pPr>
        <w:spacing w:line="500" w:lineRule="exact"/>
        <w:ind w:left="3" w:firstLine="518" w:firstLineChars="216"/>
        <w:rPr>
          <w:rStyle w:val="25"/>
          <w:rFonts w:hAnsi="宋体" w:cs="宋体"/>
          <w:b w:val="0"/>
          <w:color w:val="auto"/>
          <w:szCs w:val="24"/>
          <w:highlight w:val="none"/>
          <w:shd w:val="clear" w:color="auto" w:fill="FFFFFF"/>
        </w:rPr>
      </w:pPr>
      <w:r>
        <w:rPr>
          <w:rStyle w:val="25"/>
          <w:rFonts w:hint="eastAsia" w:hAnsi="宋体" w:cs="宋体"/>
          <w:b w:val="0"/>
          <w:color w:val="auto"/>
          <w:szCs w:val="24"/>
          <w:highlight w:val="none"/>
          <w:shd w:val="clear" w:color="auto" w:fill="FFFFFF"/>
        </w:rPr>
        <w:t>30.4以联合体形式参加政府采购活动的，其质疑应当由组成联合体的所有供应商共同提出。</w:t>
      </w:r>
    </w:p>
    <w:p w14:paraId="5131905E">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30.5供应商提出质疑应当提交质疑函和必要的证明材料。质疑函应当包括下列内容：</w:t>
      </w:r>
    </w:p>
    <w:p w14:paraId="56588463">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30.5.1供应商的姓名或者名称、地址、邮编、联系人及联系电话；</w:t>
      </w:r>
    </w:p>
    <w:p w14:paraId="5331BEE6">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30.5.2质疑项目的名称、编号；</w:t>
      </w:r>
    </w:p>
    <w:p w14:paraId="6814B3D5">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30.5.3具体、明确的质疑事项和与质疑事项相关的请求；</w:t>
      </w:r>
    </w:p>
    <w:p w14:paraId="01A0F197">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30.5.4事实依据；</w:t>
      </w:r>
    </w:p>
    <w:p w14:paraId="200C348A">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30.5.5必要的法律依据；</w:t>
      </w:r>
    </w:p>
    <w:p w14:paraId="0559B8B6">
      <w:pPr>
        <w:spacing w:line="500" w:lineRule="exact"/>
        <w:ind w:right="12" w:firstLine="480" w:firstLineChars="200"/>
        <w:rPr>
          <w:rStyle w:val="25"/>
          <w:rFonts w:hAnsi="宋体" w:cs="宋体"/>
          <w:b w:val="0"/>
          <w:color w:val="auto"/>
          <w:szCs w:val="24"/>
          <w:highlight w:val="none"/>
          <w:shd w:val="clear" w:color="auto" w:fill="FFFFFF"/>
        </w:rPr>
      </w:pPr>
      <w:r>
        <w:rPr>
          <w:rFonts w:hint="eastAsia" w:hAnsi="宋体" w:cs="宋体"/>
          <w:color w:val="auto"/>
          <w:szCs w:val="24"/>
          <w:highlight w:val="none"/>
        </w:rPr>
        <w:t>30.5.6提出质疑的日期。</w:t>
      </w:r>
    </w:p>
    <w:p w14:paraId="12BB8839">
      <w:pPr>
        <w:widowControl/>
        <w:spacing w:line="360" w:lineRule="auto"/>
        <w:ind w:firstLine="480" w:firstLineChars="200"/>
        <w:rPr>
          <w:rFonts w:hAnsi="宋体" w:cs="宋体"/>
          <w:color w:val="auto"/>
          <w:highlight w:val="none"/>
        </w:rPr>
      </w:pPr>
      <w:r>
        <w:rPr>
          <w:rFonts w:hint="eastAsia" w:hAnsi="宋体" w:cs="宋体"/>
          <w:color w:val="auto"/>
          <w:highlight w:val="none"/>
        </w:rPr>
        <w:t>30.6有下列情形之一的，属于无效质疑，采购代理机构和采购人不予受理：</w:t>
      </w:r>
    </w:p>
    <w:p w14:paraId="22BB598E">
      <w:pPr>
        <w:widowControl/>
        <w:spacing w:line="360" w:lineRule="auto"/>
        <w:ind w:firstLine="480" w:firstLineChars="200"/>
        <w:rPr>
          <w:rFonts w:hAnsi="宋体" w:cs="宋体"/>
          <w:color w:val="auto"/>
          <w:highlight w:val="none"/>
        </w:rPr>
      </w:pPr>
      <w:r>
        <w:rPr>
          <w:rFonts w:hint="eastAsia" w:hAnsi="宋体" w:cs="宋体"/>
          <w:color w:val="auto"/>
          <w:highlight w:val="none"/>
        </w:rPr>
        <w:t>30.6.1质疑供应商不是参与本次政府采购项目的供应商；</w:t>
      </w:r>
    </w:p>
    <w:p w14:paraId="58075677">
      <w:pPr>
        <w:widowControl/>
        <w:spacing w:line="360" w:lineRule="auto"/>
        <w:ind w:firstLine="480" w:firstLineChars="200"/>
        <w:rPr>
          <w:rFonts w:hAnsi="宋体" w:cs="宋体"/>
          <w:color w:val="auto"/>
          <w:highlight w:val="none"/>
        </w:rPr>
      </w:pPr>
      <w:r>
        <w:rPr>
          <w:rFonts w:hint="eastAsia" w:hAnsi="宋体" w:cs="宋体"/>
          <w:color w:val="auto"/>
          <w:highlight w:val="none"/>
        </w:rPr>
        <w:t>30.6.2质疑供应商与质疑事项不存在利害关系的；</w:t>
      </w:r>
    </w:p>
    <w:p w14:paraId="23E33EA5">
      <w:pPr>
        <w:widowControl/>
        <w:spacing w:line="360" w:lineRule="auto"/>
        <w:ind w:firstLine="480" w:firstLineChars="200"/>
        <w:rPr>
          <w:rFonts w:hAnsi="宋体" w:cs="宋体"/>
          <w:color w:val="auto"/>
          <w:highlight w:val="none"/>
        </w:rPr>
      </w:pPr>
      <w:r>
        <w:rPr>
          <w:rFonts w:hint="eastAsia" w:hAnsi="宋体" w:cs="宋体"/>
          <w:color w:val="auto"/>
          <w:highlight w:val="none"/>
        </w:rPr>
        <w:t>30.6.3未在法定期限内提出质疑的；</w:t>
      </w:r>
    </w:p>
    <w:p w14:paraId="536720BB">
      <w:pPr>
        <w:widowControl/>
        <w:spacing w:line="360" w:lineRule="auto"/>
        <w:ind w:firstLine="480" w:firstLineChars="200"/>
        <w:rPr>
          <w:rFonts w:hAnsi="宋体" w:cs="宋体"/>
          <w:color w:val="auto"/>
          <w:highlight w:val="none"/>
        </w:rPr>
      </w:pPr>
      <w:r>
        <w:rPr>
          <w:rFonts w:hint="eastAsia" w:hAnsi="宋体" w:cs="宋体"/>
          <w:color w:val="auto"/>
          <w:highlight w:val="none"/>
        </w:rPr>
        <w:t>30.6.4质疑未以书面形式提出，或质疑函主要内容构成不完整的；</w:t>
      </w:r>
    </w:p>
    <w:p w14:paraId="4651AB30">
      <w:pPr>
        <w:widowControl/>
        <w:spacing w:line="360" w:lineRule="auto"/>
        <w:ind w:firstLine="480" w:firstLineChars="200"/>
        <w:rPr>
          <w:rFonts w:hAnsi="宋体" w:cs="宋体"/>
          <w:color w:val="auto"/>
          <w:highlight w:val="none"/>
        </w:rPr>
      </w:pPr>
      <w:r>
        <w:rPr>
          <w:rFonts w:hint="eastAsia" w:hAnsi="宋体" w:cs="宋体"/>
          <w:color w:val="auto"/>
          <w:highlight w:val="none"/>
        </w:rPr>
        <w:t>30.6.5应当提交授权书而未提交的；</w:t>
      </w:r>
    </w:p>
    <w:p w14:paraId="29FD2410">
      <w:pPr>
        <w:widowControl/>
        <w:spacing w:line="360" w:lineRule="auto"/>
        <w:ind w:firstLine="480" w:firstLineChars="200"/>
        <w:rPr>
          <w:rFonts w:hAnsi="宋体" w:cs="宋体"/>
          <w:color w:val="auto"/>
          <w:highlight w:val="none"/>
        </w:rPr>
      </w:pPr>
      <w:r>
        <w:rPr>
          <w:rFonts w:hint="eastAsia" w:hAnsi="宋体" w:cs="宋体"/>
          <w:color w:val="auto"/>
          <w:highlight w:val="none"/>
        </w:rPr>
        <w:t>30.6.6以非法手段取得证据、材料的；</w:t>
      </w:r>
    </w:p>
    <w:p w14:paraId="292100D2">
      <w:pPr>
        <w:widowControl/>
        <w:spacing w:line="360" w:lineRule="auto"/>
        <w:ind w:firstLine="480" w:firstLineChars="200"/>
        <w:rPr>
          <w:rFonts w:hAnsi="宋体" w:cs="宋体"/>
          <w:color w:val="auto"/>
          <w:highlight w:val="none"/>
        </w:rPr>
      </w:pPr>
      <w:r>
        <w:rPr>
          <w:rFonts w:hint="eastAsia" w:hAnsi="宋体" w:cs="宋体"/>
          <w:color w:val="auto"/>
          <w:highlight w:val="none"/>
        </w:rPr>
        <w:t>30.6.7质疑答复后，同一质疑人就同一事项或同一采购程序环节再次提出质疑的；</w:t>
      </w:r>
    </w:p>
    <w:p w14:paraId="5ABFDDE9">
      <w:pPr>
        <w:widowControl/>
        <w:spacing w:line="360" w:lineRule="auto"/>
        <w:ind w:firstLine="480" w:firstLineChars="200"/>
        <w:rPr>
          <w:rFonts w:hAnsi="宋体" w:cs="宋体"/>
          <w:color w:val="auto"/>
          <w:highlight w:val="none"/>
        </w:rPr>
      </w:pPr>
      <w:r>
        <w:rPr>
          <w:rFonts w:hint="eastAsia" w:hAnsi="宋体" w:cs="宋体"/>
          <w:color w:val="auto"/>
          <w:highlight w:val="none"/>
        </w:rPr>
        <w:t>30.6.8不符合法律、法规、规章和政府采购监管机构规定的其他条件的。</w:t>
      </w:r>
    </w:p>
    <w:p w14:paraId="61BD182B">
      <w:pPr>
        <w:widowControl/>
        <w:spacing w:line="360" w:lineRule="auto"/>
        <w:ind w:firstLine="480" w:firstLineChars="200"/>
        <w:rPr>
          <w:rFonts w:hAnsi="宋体" w:cs="宋体"/>
          <w:color w:val="auto"/>
          <w:highlight w:val="none"/>
        </w:rPr>
      </w:pPr>
      <w:r>
        <w:rPr>
          <w:rFonts w:hint="eastAsia" w:hAnsi="宋体" w:cs="宋体"/>
          <w:color w:val="auto"/>
          <w:highlight w:val="none"/>
        </w:rPr>
        <w:t>30.7质疑答复</w:t>
      </w:r>
    </w:p>
    <w:p w14:paraId="654F04C9">
      <w:pPr>
        <w:widowControl/>
        <w:spacing w:line="360" w:lineRule="auto"/>
        <w:ind w:firstLine="480" w:firstLineChars="200"/>
        <w:rPr>
          <w:rFonts w:hAnsi="宋体" w:cs="宋体"/>
          <w:color w:val="auto"/>
          <w:highlight w:val="none"/>
        </w:rPr>
      </w:pPr>
      <w:r>
        <w:rPr>
          <w:rFonts w:hint="eastAsia" w:hAnsi="宋体" w:cs="宋体"/>
          <w:color w:val="auto"/>
          <w:highlight w:val="none"/>
        </w:rPr>
        <w:t>30.7.1采购人或采购代理机构在收到质疑函后7个工作日内作出答复，并以书面形式通知质疑供应商和其他有关供应商。</w:t>
      </w:r>
    </w:p>
    <w:p w14:paraId="2DC51516">
      <w:pPr>
        <w:spacing w:line="360" w:lineRule="auto"/>
        <w:rPr>
          <w:rFonts w:hAnsi="宋体" w:cs="宋体"/>
          <w:b/>
          <w:color w:val="auto"/>
          <w:szCs w:val="24"/>
          <w:highlight w:val="none"/>
        </w:rPr>
      </w:pPr>
      <w:r>
        <w:rPr>
          <w:rFonts w:hint="eastAsia" w:hAnsi="宋体" w:cs="宋体"/>
          <w:b/>
          <w:color w:val="auto"/>
          <w:szCs w:val="24"/>
          <w:highlight w:val="none"/>
        </w:rPr>
        <w:t>31.其他</w:t>
      </w:r>
    </w:p>
    <w:p w14:paraId="7244838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31.1磋商步骤为：第一次报价---初步评审---分别磋商---第二次报价---综合评审推荐成交候选人。（以供应商递交的磋商响应文件中的总报价为第一次报价。分别磋商后，供应商现场填报的磋商响应总报价为第二次报价）</w:t>
      </w:r>
    </w:p>
    <w:p w14:paraId="531C508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31.2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17CE158A">
      <w:pPr>
        <w:spacing w:line="360" w:lineRule="auto"/>
        <w:ind w:firstLine="480" w:firstLineChars="200"/>
        <w:jc w:val="left"/>
        <w:rPr>
          <w:rFonts w:hAnsi="宋体" w:cs="宋体"/>
          <w:color w:val="auto"/>
          <w:szCs w:val="24"/>
          <w:highlight w:val="none"/>
        </w:rPr>
      </w:pPr>
      <w:r>
        <w:rPr>
          <w:rFonts w:hint="eastAsia" w:hAnsi="宋体" w:cs="宋体"/>
          <w:color w:val="auto"/>
          <w:szCs w:val="24"/>
          <w:highlight w:val="none"/>
        </w:rPr>
        <w:t>31.3采用竞争性磋商采购方式采购的政府购买服务项目（含政府和社会资本合作项目），</w:t>
      </w:r>
      <w:r>
        <w:rPr>
          <w:rFonts w:hint="eastAsia" w:hAnsi="宋体" w:cs="宋体"/>
          <w:color w:val="auto"/>
          <w:highlight w:val="none"/>
        </w:rPr>
        <w:t>采购过程中符合要求的供应商</w:t>
      </w:r>
      <w:r>
        <w:rPr>
          <w:rFonts w:hint="eastAsia" w:hAnsi="宋体" w:cs="宋体"/>
          <w:color w:val="auto"/>
          <w:szCs w:val="24"/>
          <w:highlight w:val="none"/>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0D33F824">
      <w:pPr>
        <w:spacing w:line="360" w:lineRule="auto"/>
        <w:ind w:firstLine="480" w:firstLineChars="200"/>
        <w:rPr>
          <w:rFonts w:hAnsi="宋体" w:cs="宋体"/>
          <w:color w:val="auto"/>
          <w:highlight w:val="none"/>
        </w:rPr>
      </w:pPr>
      <w:r>
        <w:rPr>
          <w:rFonts w:hint="eastAsia" w:hAnsi="宋体" w:cs="宋体"/>
          <w:color w:val="auto"/>
          <w:szCs w:val="24"/>
          <w:highlight w:val="none"/>
        </w:rPr>
        <w:t>31.4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磋商保证金额的，供应商还应当对超过部分予以赔偿，并依法承担相应法律责任。</w:t>
      </w:r>
      <w:bookmarkStart w:id="72" w:name="_Toc363474023"/>
    </w:p>
    <w:p w14:paraId="0A08DA7C">
      <w:pPr>
        <w:pStyle w:val="2"/>
        <w:numPr>
          <w:ilvl w:val="0"/>
          <w:numId w:val="0"/>
        </w:numPr>
        <w:jc w:val="center"/>
        <w:rPr>
          <w:rFonts w:ascii="宋体" w:eastAsia="宋体" w:cs="宋体"/>
          <w:color w:val="auto"/>
          <w:highlight w:val="none"/>
        </w:rPr>
      </w:pPr>
      <w:bookmarkStart w:id="73" w:name="_Toc403077645"/>
      <w:bookmarkStart w:id="74" w:name="_Toc25783"/>
      <w:bookmarkStart w:id="75" w:name="_Toc423973074"/>
      <w:r>
        <w:rPr>
          <w:rFonts w:hint="eastAsia" w:ascii="宋体" w:eastAsia="宋体" w:cs="宋体"/>
          <w:bCs/>
          <w:color w:val="auto"/>
          <w:sz w:val="36"/>
          <w:szCs w:val="36"/>
          <w:highlight w:val="none"/>
        </w:rPr>
        <w:br w:type="page"/>
      </w:r>
      <w:bookmarkStart w:id="76" w:name="_Toc22973"/>
      <w:r>
        <w:rPr>
          <w:rFonts w:hint="eastAsia" w:ascii="宋体" w:eastAsia="宋体" w:cs="宋体"/>
          <w:bCs/>
          <w:color w:val="auto"/>
          <w:sz w:val="36"/>
          <w:szCs w:val="36"/>
          <w:highlight w:val="none"/>
          <w:lang w:val="en-US" w:eastAsia="zh-CN"/>
        </w:rPr>
        <w:t>第三章</w:t>
      </w:r>
      <w:r>
        <w:rPr>
          <w:rFonts w:hint="eastAsia" w:ascii="宋体" w:eastAsia="宋体" w:cs="宋体"/>
          <w:bCs/>
          <w:color w:val="auto"/>
          <w:sz w:val="36"/>
          <w:szCs w:val="36"/>
          <w:highlight w:val="none"/>
        </w:rPr>
        <w:t xml:space="preserve">  </w:t>
      </w:r>
      <w:bookmarkStart w:id="77" w:name="_Toc9687"/>
      <w:bookmarkStart w:id="78" w:name="_Toc11536"/>
      <w:r>
        <w:rPr>
          <w:rFonts w:hint="eastAsia" w:ascii="宋体" w:eastAsia="宋体" w:cs="宋体"/>
          <w:bCs/>
          <w:color w:val="auto"/>
          <w:sz w:val="36"/>
          <w:szCs w:val="36"/>
          <w:highlight w:val="none"/>
        </w:rPr>
        <w:t>评审方法</w:t>
      </w:r>
      <w:bookmarkEnd w:id="76"/>
      <w:bookmarkEnd w:id="77"/>
      <w:bookmarkEnd w:id="78"/>
    </w:p>
    <w:p w14:paraId="54A0580A">
      <w:pPr>
        <w:spacing w:line="360" w:lineRule="auto"/>
        <w:outlineLvl w:val="1"/>
        <w:rPr>
          <w:rFonts w:hAnsi="宋体" w:cs="宋体"/>
          <w:b/>
          <w:color w:val="auto"/>
          <w:szCs w:val="24"/>
          <w:highlight w:val="none"/>
        </w:rPr>
      </w:pPr>
      <w:bookmarkStart w:id="79" w:name="_Toc28665"/>
      <w:bookmarkStart w:id="80" w:name="_Toc26649"/>
      <w:bookmarkStart w:id="81" w:name="_Toc32051"/>
      <w:bookmarkStart w:id="82" w:name="_Toc23722"/>
      <w:bookmarkStart w:id="83" w:name="_Toc23762"/>
      <w:bookmarkStart w:id="84" w:name="_Toc7988"/>
      <w:r>
        <w:rPr>
          <w:rFonts w:hint="eastAsia" w:hAnsi="宋体" w:cs="宋体"/>
          <w:b/>
          <w:color w:val="auto"/>
          <w:szCs w:val="24"/>
          <w:highlight w:val="none"/>
        </w:rPr>
        <w:t>一、评审方法</w:t>
      </w:r>
      <w:bookmarkEnd w:id="79"/>
      <w:bookmarkEnd w:id="80"/>
      <w:bookmarkEnd w:id="81"/>
      <w:bookmarkEnd w:id="82"/>
      <w:bookmarkEnd w:id="83"/>
      <w:bookmarkEnd w:id="84"/>
    </w:p>
    <w:p w14:paraId="6F03D154">
      <w:pPr>
        <w:spacing w:line="500" w:lineRule="exact"/>
        <w:ind w:firstLine="520" w:firstLineChars="217"/>
        <w:rPr>
          <w:rFonts w:hAnsi="宋体" w:cs="宋体"/>
          <w:color w:val="auto"/>
          <w:spacing w:val="4"/>
          <w:szCs w:val="24"/>
          <w:highlight w:val="none"/>
        </w:rPr>
      </w:pPr>
      <w:r>
        <w:rPr>
          <w:rFonts w:hint="eastAsia" w:hAnsi="宋体" w:cs="宋体"/>
          <w:color w:val="auto"/>
          <w:szCs w:val="24"/>
          <w:highlight w:val="none"/>
        </w:rPr>
        <w:t>按照《中华人民共和国政府采购法》及实施条例和关于印发《政府采购竞争性磋商采购方式管理暂行办法》的通知（财库【2014】214号）</w:t>
      </w:r>
      <w:r>
        <w:rPr>
          <w:rFonts w:hint="eastAsia" w:hAnsi="宋体" w:cs="宋体"/>
          <w:color w:val="auto"/>
          <w:spacing w:val="4"/>
          <w:szCs w:val="24"/>
          <w:highlight w:val="none"/>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241B5FAF">
      <w:pPr>
        <w:spacing w:line="500" w:lineRule="exact"/>
        <w:outlineLvl w:val="1"/>
        <w:rPr>
          <w:rFonts w:hAnsi="宋体" w:cs="宋体"/>
          <w:b/>
          <w:color w:val="auto"/>
          <w:spacing w:val="4"/>
          <w:szCs w:val="24"/>
          <w:highlight w:val="none"/>
        </w:rPr>
      </w:pPr>
      <w:bookmarkStart w:id="85" w:name="_Toc2374"/>
      <w:bookmarkStart w:id="86" w:name="_Toc20714"/>
      <w:bookmarkStart w:id="87" w:name="_Toc27615"/>
      <w:bookmarkStart w:id="88" w:name="_Toc23145"/>
      <w:bookmarkStart w:id="89" w:name="_Toc20625"/>
      <w:bookmarkStart w:id="90" w:name="_Toc27029"/>
      <w:r>
        <w:rPr>
          <w:rFonts w:hint="eastAsia" w:hAnsi="宋体" w:cs="宋体"/>
          <w:b/>
          <w:color w:val="auto"/>
          <w:spacing w:val="4"/>
          <w:szCs w:val="24"/>
          <w:highlight w:val="none"/>
        </w:rPr>
        <w:t>二、评审程序</w:t>
      </w:r>
      <w:bookmarkEnd w:id="85"/>
      <w:bookmarkEnd w:id="86"/>
      <w:bookmarkEnd w:id="87"/>
      <w:bookmarkEnd w:id="88"/>
      <w:bookmarkEnd w:id="89"/>
      <w:bookmarkEnd w:id="90"/>
    </w:p>
    <w:p w14:paraId="749BD7B8">
      <w:pPr>
        <w:tabs>
          <w:tab w:val="left" w:pos="0"/>
        </w:tabs>
        <w:adjustRightInd w:val="0"/>
        <w:snapToGrid w:val="0"/>
        <w:spacing w:line="500" w:lineRule="exact"/>
        <w:ind w:firstLine="470" w:firstLineChars="196"/>
        <w:rPr>
          <w:rFonts w:hAnsi="宋体" w:cs="宋体"/>
          <w:color w:val="auto"/>
          <w:highlight w:val="none"/>
        </w:rPr>
      </w:pPr>
      <w:r>
        <w:rPr>
          <w:rFonts w:hint="eastAsia" w:hAnsi="宋体" w:cs="宋体"/>
          <w:color w:val="auto"/>
          <w:szCs w:val="24"/>
          <w:highlight w:val="none"/>
        </w:rPr>
        <w:t>按照竞争性磋商响应文件初审、澄清有关问题、分别磋商、二次报价、比较与评审、推荐成交候选人名单。在上一步评审中被认定为无效磋商者，不进入下一步的评审。</w:t>
      </w:r>
    </w:p>
    <w:p w14:paraId="42482F17">
      <w:pPr>
        <w:numPr>
          <w:ilvl w:val="0"/>
          <w:numId w:val="3"/>
        </w:numPr>
        <w:spacing w:line="500" w:lineRule="exact"/>
        <w:ind w:firstLine="498" w:firstLineChars="200"/>
        <w:rPr>
          <w:rFonts w:hAnsi="宋体" w:cs="宋体"/>
          <w:b/>
          <w:bCs/>
          <w:color w:val="auto"/>
          <w:spacing w:val="4"/>
          <w:szCs w:val="24"/>
          <w:highlight w:val="none"/>
        </w:rPr>
      </w:pPr>
      <w:r>
        <w:rPr>
          <w:rFonts w:hint="eastAsia" w:hAnsi="宋体" w:cs="宋体"/>
          <w:b/>
          <w:bCs/>
          <w:color w:val="auto"/>
          <w:spacing w:val="4"/>
          <w:szCs w:val="24"/>
          <w:highlight w:val="none"/>
        </w:rPr>
        <w:t>对磋商响应文件的初审：</w:t>
      </w:r>
    </w:p>
    <w:p w14:paraId="468563AA">
      <w:pPr>
        <w:tabs>
          <w:tab w:val="left" w:pos="0"/>
        </w:tabs>
        <w:adjustRightInd w:val="0"/>
        <w:snapToGrid w:val="0"/>
        <w:spacing w:line="500" w:lineRule="exact"/>
        <w:ind w:firstLine="472" w:firstLineChars="196"/>
        <w:rPr>
          <w:rFonts w:hAnsi="宋体" w:cs="宋体"/>
          <w:color w:val="auto"/>
          <w:highlight w:val="none"/>
        </w:rPr>
      </w:pPr>
      <w:r>
        <w:rPr>
          <w:rFonts w:hint="eastAsia" w:hAnsi="宋体" w:cs="宋体"/>
          <w:b/>
          <w:bCs/>
          <w:color w:val="auto"/>
          <w:highlight w:val="none"/>
        </w:rPr>
        <w:t>1.1资格性审查。</w:t>
      </w:r>
      <w:r>
        <w:rPr>
          <w:rFonts w:hint="eastAsia" w:hAnsi="宋体" w:cs="宋体"/>
          <w:color w:val="auto"/>
          <w:highlight w:val="none"/>
          <w:lang w:val="en-US" w:eastAsia="zh-CN"/>
        </w:rPr>
        <w:t>采购人或采购代理机构</w:t>
      </w:r>
      <w:r>
        <w:rPr>
          <w:rFonts w:hint="eastAsia" w:hAnsi="宋体" w:cs="宋体"/>
          <w:color w:val="auto"/>
          <w:highlight w:val="none"/>
        </w:rPr>
        <w:t>将依据磋商响应文件，按照磋商文件第二章供应商须知前附表12.1条所述资格要求进行资格性审查，如果供应商不满足磋商文件所规定的资格要求或提供资格证明文件不全,将被视为未实质性响应磋商文件。</w:t>
      </w:r>
    </w:p>
    <w:p w14:paraId="609A94C7">
      <w:pPr>
        <w:tabs>
          <w:tab w:val="left" w:pos="0"/>
        </w:tabs>
        <w:adjustRightInd w:val="0"/>
        <w:snapToGrid w:val="0"/>
        <w:spacing w:line="500" w:lineRule="exact"/>
        <w:ind w:firstLine="472" w:firstLineChars="196"/>
        <w:rPr>
          <w:rFonts w:hAnsi="宋体" w:cs="宋体"/>
          <w:color w:val="auto"/>
          <w:highlight w:val="none"/>
        </w:rPr>
      </w:pPr>
      <w:r>
        <w:rPr>
          <w:rFonts w:hint="eastAsia" w:hAnsi="宋体" w:cs="宋体"/>
          <w:b/>
          <w:bCs/>
          <w:color w:val="auto"/>
          <w:highlight w:val="none"/>
        </w:rPr>
        <w:t>1.2符合性审查。</w:t>
      </w:r>
      <w:r>
        <w:rPr>
          <w:rFonts w:hint="eastAsia" w:hAnsi="宋体" w:cs="宋体"/>
          <w:color w:val="auto"/>
          <w:highlight w:val="none"/>
        </w:rPr>
        <w:t>磋商小组从磋商响应文件的完整性、有效性和对磋商文件的响应程度进行审查，以确定其是否对磋商文件实质性内容作出响应。</w:t>
      </w:r>
    </w:p>
    <w:p w14:paraId="3B894B91">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1.2.1竞争性磋商响应文件的完整性。竞争性磋商响应文件构成是否有重大缺项，是否按照竞争性磋商文件要求的格式编写竞争性磋商响应文件。</w:t>
      </w:r>
    </w:p>
    <w:p w14:paraId="3C281654">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1.2.2竞争性磋商响应文件的有效性。竞争性磋商响应文件的签署、加盖印章是否合格、有效；提供的各种证明文件、数据、资料是否真实、有效。</w:t>
      </w:r>
    </w:p>
    <w:p w14:paraId="46BCFF41">
      <w:pPr>
        <w:spacing w:line="500" w:lineRule="exact"/>
        <w:ind w:firstLine="496" w:firstLineChars="200"/>
        <w:rPr>
          <w:rFonts w:hAnsi="宋体" w:cs="宋体"/>
          <w:color w:val="auto"/>
          <w:szCs w:val="24"/>
          <w:highlight w:val="none"/>
        </w:rPr>
      </w:pPr>
      <w:r>
        <w:rPr>
          <w:rFonts w:hint="eastAsia" w:hAnsi="宋体" w:cs="宋体"/>
          <w:bCs/>
          <w:color w:val="auto"/>
          <w:spacing w:val="4"/>
          <w:szCs w:val="24"/>
          <w:highlight w:val="none"/>
        </w:rPr>
        <w:t>1.2.3竞争性磋商</w:t>
      </w:r>
      <w:r>
        <w:rPr>
          <w:rFonts w:hint="eastAsia" w:hAnsi="宋体" w:cs="宋体"/>
          <w:color w:val="auto"/>
          <w:szCs w:val="24"/>
          <w:highlight w:val="none"/>
        </w:rPr>
        <w:t>响应文件的响应性。磋商有效期是否符合竞争性磋商文件要求；是否满足本次磋商的特殊要求；磋商方案是否有重大缺漏项；磋商产品的技术规格是否有重大偏离；磋商商务响应条款是否有重大偏离；对合同中规定的双方的权利和义务是否做出了实质性修改。</w:t>
      </w:r>
    </w:p>
    <w:p w14:paraId="42A57B3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1.2.4报价是否超过采购预算。</w:t>
      </w:r>
    </w:p>
    <w:p w14:paraId="17B76982">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1.2.5</w:t>
      </w:r>
      <w:r>
        <w:rPr>
          <w:rFonts w:hint="eastAsia" w:hAnsi="宋体" w:cs="宋体"/>
          <w:szCs w:val="24"/>
          <w:highlight w:val="none"/>
          <w:lang w:val="en-US" w:eastAsia="zh-CN"/>
        </w:rPr>
        <w:t>异常低价审查：</w:t>
      </w:r>
      <w:r>
        <w:rPr>
          <w:rFonts w:hint="eastAsia" w:ascii="宋体" w:hAnsi="宋体" w:eastAsia="宋体" w:cs="宋体"/>
          <w:szCs w:val="24"/>
          <w:highlight w:val="none"/>
        </w:rPr>
        <w:t>在评标过程中出现下列情形之一的，评审委员会应当启动异常低价投标（响应）审查程序：①投标（响应）报价低于全部通过符合性审查供应商投标（响应）报价平均值50%的，即投标（响应）报价&lt;全部通过符合性审查供应商投标（响应）报价平均值×50%；</w:t>
      </w:r>
    </w:p>
    <w:p w14:paraId="22DB3537">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②投标（响应）报价低于通过符合性审查的次低报价供应商投标（响应）报价50%的，即投标（响应）报价&lt;通过符合性审查的次低报价供应商投标（响应）报价×50%；</w:t>
      </w:r>
    </w:p>
    <w:p w14:paraId="64D36B3F">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③投标（响应）报价低于采购项目最高限价45%的，即投标（响应）报价&lt;采购项目最高限价×45%；</w:t>
      </w:r>
    </w:p>
    <w:p w14:paraId="41EFB06C">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④评审委员会基于专业判断，认为供应商报价过低，有可能影响产品质量或者不能诚信履约的其他情形。</w:t>
      </w:r>
    </w:p>
    <w:p w14:paraId="621099A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025EF25">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9C31024">
      <w:pPr>
        <w:spacing w:afterLines="50" w:line="500" w:lineRule="exact"/>
        <w:ind w:firstLine="482" w:firstLineChars="200"/>
        <w:rPr>
          <w:rFonts w:hAnsi="宋体" w:cs="宋体"/>
          <w:b/>
          <w:color w:val="auto"/>
          <w:highlight w:val="none"/>
        </w:rPr>
      </w:pPr>
      <w:r>
        <w:rPr>
          <w:rFonts w:hint="eastAsia" w:hAnsi="宋体" w:cs="宋体"/>
          <w:b/>
          <w:color w:val="auto"/>
          <w:highlight w:val="none"/>
        </w:rPr>
        <w:t>2、磋商响应文件的澄清</w:t>
      </w:r>
    </w:p>
    <w:p w14:paraId="66BE5529">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1.3.1磋商小组发现供应商的报价明显低于其他磋商报价、或明显低于市场价格，使得其磋商报价可能低于其成本的，有可能影响产品质量或者不能诚信履约的，应当要求其在合理的时间内做出书面说明并提交相关证明材料。供应商不能证明其报价合理性的，由磋商小组认定该供应商以低于成本报价竞标，将其作为无效响应处理。</w:t>
      </w:r>
    </w:p>
    <w:p w14:paraId="25069FA1">
      <w:pPr>
        <w:spacing w:line="500" w:lineRule="exact"/>
        <w:ind w:firstLine="480" w:firstLineChars="200"/>
        <w:rPr>
          <w:rFonts w:hAnsi="宋体" w:cs="宋体"/>
          <w:bCs/>
          <w:color w:val="auto"/>
          <w:spacing w:val="4"/>
          <w:szCs w:val="24"/>
          <w:highlight w:val="none"/>
        </w:rPr>
      </w:pPr>
      <w:r>
        <w:rPr>
          <w:rFonts w:hint="eastAsia" w:hAnsi="宋体" w:cs="宋体"/>
          <w:color w:val="auto"/>
          <w:szCs w:val="24"/>
          <w:highlight w:val="none"/>
        </w:rPr>
        <w:t>1.3.2有效的书面澄清材料，是磋商响应文件的补充材料，成为磋商响应文件的组成部分。</w:t>
      </w:r>
    </w:p>
    <w:p w14:paraId="4FBC21D3">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3、磋商：</w:t>
      </w:r>
      <w:r>
        <w:rPr>
          <w:rFonts w:hint="eastAsia" w:hAnsi="宋体" w:cs="宋体"/>
          <w:color w:val="auto"/>
          <w:szCs w:val="24"/>
          <w:highlight w:val="none"/>
        </w:rPr>
        <w:t>磋商小组所有成员集中与单一供应商分别进行磋商，并要求供应商在规定的时间内提交最后报价。在磋商过程中，磋商小组可以根据磋商文件和磋商情况实质性变动采购需求中的技术、服务要求以及合同草案条款，但不得变动磋商文件中的其他内容。实质性变动得内容，需经采购人代表确认。</w:t>
      </w:r>
    </w:p>
    <w:p w14:paraId="1CE6A32C">
      <w:pPr>
        <w:pStyle w:val="9"/>
        <w:ind w:firstLine="482"/>
        <w:rPr>
          <w:color w:val="auto"/>
          <w:kern w:val="0"/>
          <w:highlight w:val="none"/>
        </w:rPr>
      </w:pPr>
      <w:r>
        <w:rPr>
          <w:rFonts w:hint="eastAsia"/>
          <w:b/>
          <w:bCs/>
          <w:color w:val="auto"/>
          <w:highlight w:val="none"/>
        </w:rPr>
        <w:t>4、综合评审：</w:t>
      </w:r>
      <w:r>
        <w:rPr>
          <w:rFonts w:hint="eastAsia"/>
          <w:color w:val="auto"/>
          <w:kern w:val="0"/>
          <w:highlight w:val="none"/>
        </w:rPr>
        <w:t>对于经初审合格的所有供应商，由磋商小组各成员依据磋商响应文件和最终报价，按照下列《评标要素和分值分解表》规定的内容独立进行综合评价、比较打分，然后汇总每个供应商的得分，从高到低依次排序，推荐中标候选人。</w:t>
      </w:r>
    </w:p>
    <w:p w14:paraId="62F42C04">
      <w:pPr>
        <w:spacing w:line="500" w:lineRule="exact"/>
        <w:jc w:val="left"/>
        <w:outlineLvl w:val="1"/>
        <w:rPr>
          <w:rFonts w:hAnsi="宋体" w:cs="宋体"/>
          <w:b/>
          <w:color w:val="auto"/>
          <w:szCs w:val="24"/>
          <w:highlight w:val="none"/>
        </w:rPr>
      </w:pPr>
      <w:bookmarkStart w:id="91" w:name="_Toc7905"/>
      <w:bookmarkStart w:id="92" w:name="_Toc17111"/>
      <w:bookmarkStart w:id="93" w:name="_Toc4428"/>
      <w:bookmarkStart w:id="94" w:name="_Toc19221"/>
      <w:bookmarkStart w:id="95" w:name="_Toc24776"/>
      <w:bookmarkStart w:id="96" w:name="_Toc30804"/>
      <w:r>
        <w:rPr>
          <w:rFonts w:hint="eastAsia" w:hAnsi="宋体" w:cs="宋体"/>
          <w:b/>
          <w:color w:val="auto"/>
          <w:szCs w:val="24"/>
          <w:highlight w:val="none"/>
        </w:rPr>
        <w:t>三、政策性扣减</w:t>
      </w:r>
      <w:bookmarkEnd w:id="91"/>
      <w:bookmarkEnd w:id="92"/>
      <w:bookmarkEnd w:id="93"/>
      <w:bookmarkEnd w:id="94"/>
      <w:bookmarkEnd w:id="95"/>
      <w:bookmarkEnd w:id="96"/>
    </w:p>
    <w:p w14:paraId="2622355B">
      <w:pPr>
        <w:spacing w:line="500" w:lineRule="exact"/>
        <w:ind w:firstLine="482" w:firstLineChars="200"/>
        <w:jc w:val="left"/>
        <w:rPr>
          <w:rFonts w:hAnsi="宋体" w:cs="宋体"/>
          <w:b/>
          <w:bCs/>
          <w:color w:val="auto"/>
          <w:szCs w:val="24"/>
          <w:highlight w:val="none"/>
        </w:rPr>
      </w:pPr>
      <w:r>
        <w:rPr>
          <w:rFonts w:hint="eastAsia" w:hAnsi="宋体" w:cs="宋体"/>
          <w:b/>
          <w:bCs/>
          <w:color w:val="auto"/>
          <w:szCs w:val="24"/>
          <w:highlight w:val="none"/>
        </w:rPr>
        <w:t>1政策性扣减范围</w:t>
      </w:r>
    </w:p>
    <w:p w14:paraId="4D880E7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1.1供应商符合小型、微型企业或监狱企业、残疾人福利性单位条件的，其磋商报价价格评审时将按相应比例进行扣减。</w:t>
      </w:r>
    </w:p>
    <w:p w14:paraId="75A4F3A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1.2依照《政府采购促进中小企业发展管理办法》（财库〔2020〕46号）的规定，小型、微型企业应当同时符合以下条件：</w:t>
      </w:r>
    </w:p>
    <w:p w14:paraId="2D8904BC">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1.2.1符合中小企业划分标准（中小企业划分标准是指国务院有关部门根据企业从业人员、营业收入、资产总额等指标制定的中小企业划型标准（工信部联企业〔2011〕300号））。</w:t>
      </w:r>
    </w:p>
    <w:p w14:paraId="5D162CA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1.2.2提供本企业制造的货物、承担的工程或者服务，或者提供其他中小企业制造的货物，不包括提供或使用大型企业注册商标的货物。</w:t>
      </w:r>
    </w:p>
    <w:p w14:paraId="76E40DDD">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1.2.3小型、微型企业提供中型企业制造的货物的，视同为中型企业；小型、微型、中型企业提供大型企业制造的货物的，视同为大型企业。</w:t>
      </w:r>
    </w:p>
    <w:p w14:paraId="0503367E">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1.3采购人拟采购产品属于优先采购节能环境标志产品范围的，应当优先采购节能环境标志产品，节能产品以财政部国家发展改革委关于调整公布第十七期节能产品政府采购清单所列产品为准。环保产品以财政部环境保护部关于调整公布第十五期环境标志产品政府采购清单所列产品为准。</w:t>
      </w:r>
    </w:p>
    <w:p w14:paraId="6E33268C">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1.3.1“节能产品政府采购清单”：符合政府采购优先采购政策的，所投产品属于“节能产品政府采购清单”中品目的产品，需提供最新一期“节能产品政府采购清单”中磋商产品所在清单页并加盖供应商公章。该清单可在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hAnsi="宋体" w:cs="宋体"/>
          <w:color w:val="auto"/>
          <w:szCs w:val="24"/>
          <w:highlight w:val="none"/>
        </w:rPr>
        <w:t>http://www.ccgp.gov.cn/</w:t>
      </w:r>
      <w:r>
        <w:rPr>
          <w:rFonts w:hint="eastAsia" w:hAnsi="宋体" w:cs="宋体"/>
          <w:color w:val="auto"/>
          <w:szCs w:val="24"/>
          <w:highlight w:val="none"/>
        </w:rPr>
        <w:fldChar w:fldCharType="end"/>
      </w:r>
      <w:r>
        <w:rPr>
          <w:rFonts w:hint="eastAsia" w:hAnsi="宋体" w:cs="宋体"/>
          <w:color w:val="auto"/>
          <w:szCs w:val="24"/>
          <w:highlight w:val="none"/>
        </w:rPr>
        <w:t>）上查找。</w:t>
      </w:r>
    </w:p>
    <w:p w14:paraId="625D8D50">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1.3.2 “环境标志产品政府采购清单”：所投产品属于“环境标志产品政府采购清单”中品目的产品，需提供最新一期“环境标志产品政府采购清单”中磋商产品所在清单页并加盖供应商公章。该清单可在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hAnsi="宋体" w:cs="宋体"/>
          <w:color w:val="auto"/>
          <w:szCs w:val="24"/>
          <w:highlight w:val="none"/>
        </w:rPr>
        <w:t>http://www.ccgp.gov.cn/</w:t>
      </w:r>
      <w:r>
        <w:rPr>
          <w:rFonts w:hint="eastAsia" w:hAnsi="宋体" w:cs="宋体"/>
          <w:color w:val="auto"/>
          <w:szCs w:val="24"/>
          <w:highlight w:val="none"/>
        </w:rPr>
        <w:fldChar w:fldCharType="end"/>
      </w:r>
      <w:r>
        <w:rPr>
          <w:rFonts w:hint="eastAsia" w:hAnsi="宋体" w:cs="宋体"/>
          <w:color w:val="auto"/>
          <w:szCs w:val="24"/>
          <w:highlight w:val="none"/>
        </w:rPr>
        <w:t>）上查找。</w:t>
      </w:r>
    </w:p>
    <w:p w14:paraId="2A3F1981">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1.4监狱企业参加政府采购活动时，应当提供由省级以上监狱管理局、戒毒管理局(含新疆生产建设兵团)出具的属于监狱企业的证明文件。监狱企业参加政府采购活动时，视同小型、微型企业。</w:t>
      </w:r>
    </w:p>
    <w:p w14:paraId="518AC175">
      <w:pPr>
        <w:spacing w:line="500" w:lineRule="exact"/>
        <w:ind w:firstLine="600" w:firstLineChars="250"/>
        <w:rPr>
          <w:rFonts w:hAnsi="宋体" w:cs="宋体"/>
          <w:color w:val="auto"/>
          <w:szCs w:val="24"/>
          <w:highlight w:val="none"/>
        </w:rPr>
      </w:pPr>
      <w:r>
        <w:rPr>
          <w:rFonts w:hint="eastAsia" w:hAnsi="宋体" w:cs="宋体"/>
          <w:color w:val="auto"/>
          <w:szCs w:val="24"/>
          <w:highlight w:val="none"/>
        </w:rPr>
        <w:t>1.5符合条件的残疾人福利性单位在参加政府采购活动时，应当提供本通知规定的《残疾人福利性单位声明函》，并对声明的真实性负责。残疾人福利性单位参加政府采购活动时，视同小型、微型企业；残疾人福利性单位属于小型、微型企业的，不重复享受政策。</w:t>
      </w:r>
    </w:p>
    <w:p w14:paraId="249881B4">
      <w:pPr>
        <w:spacing w:line="500" w:lineRule="exact"/>
        <w:ind w:firstLine="482" w:firstLineChars="200"/>
        <w:jc w:val="left"/>
        <w:rPr>
          <w:rFonts w:hAnsi="宋体" w:cs="宋体"/>
          <w:b/>
          <w:bCs/>
          <w:color w:val="auto"/>
          <w:szCs w:val="24"/>
          <w:highlight w:val="none"/>
        </w:rPr>
      </w:pPr>
      <w:r>
        <w:rPr>
          <w:rFonts w:hint="eastAsia" w:hAnsi="宋体" w:cs="宋体"/>
          <w:b/>
          <w:bCs/>
          <w:color w:val="auto"/>
          <w:szCs w:val="24"/>
          <w:highlight w:val="none"/>
        </w:rPr>
        <w:t>2、政策性扣减方式：</w:t>
      </w:r>
    </w:p>
    <w:p w14:paraId="37DE5FE3">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2.1供应商为非联合体参与磋商的情况：</w:t>
      </w:r>
    </w:p>
    <w:p w14:paraId="244AA55E">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2.1.1在磋商最终报价的基础上，小型企业或达到小型企业划分标准的监狱企业（或残疾人福利性单位），按“磋商最终报价×10%”进行扣减；</w:t>
      </w:r>
    </w:p>
    <w:p w14:paraId="30EB5EF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2.1.2在磋商最终报价的基础上，注册资金在十五万元以上的微型企业或注册资金在十五万元以上达到微型企业划分标准的监狱企业（或残疾人福利性单位），按“磋商最终报价×10%”进行扣减；</w:t>
      </w:r>
    </w:p>
    <w:p w14:paraId="2A8EC0F3">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2.1.3在磋商最终报价的基础上，注册资金在十五万元以下的微型企业或注册资金在十五万元以下达到微型企业划分标准的监狱企业（或残疾人福利性单位），按“磋商最终报价×10%”进行扣减。</w:t>
      </w:r>
    </w:p>
    <w:p w14:paraId="1479697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2.2供应商为联合体参与磋商且联合协议中约定小型或微型企业的协议合同金额占到联合体协议合同总金额30％以上的情况：</w:t>
      </w:r>
    </w:p>
    <w:p w14:paraId="1AE8C4EB">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2.2.1在磋商最终报价的基础上，与小型企业或达到小型企业划分标准的监狱企业（或残疾人福利性单位）联合的，按“磋商最终报价×2%”进行扣减；</w:t>
      </w:r>
    </w:p>
    <w:p w14:paraId="3C4810A1">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2.2.2在磋商最终报价的基础上，与微型企业或达到微型企业划分标准的监狱企业（或残疾人福利性单位）联合的，按“磋商最终报价×3%”进行扣减。</w:t>
      </w:r>
    </w:p>
    <w:p w14:paraId="05522DB7">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2.2.3在磋商最终报价的基础上，同时与小型、微型企业或达到小型、微型企业划分标准的监狱企业（或残疾人福利性单位）组成两家以上的联合体的，仅按照“磋商最终报价×3%”进行扣减。不累计扣减。</w:t>
      </w:r>
    </w:p>
    <w:p w14:paraId="673AEA19">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2.3供应商享受支持中小型企业发展政策优惠的，可以同时享受节能、环境标志产品优先采购政策。</w:t>
      </w:r>
    </w:p>
    <w:p w14:paraId="725B1A15">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2.3.1单个合同项为单一产品的，所投产品为节能、环境标志产品的在磋商最终报价的基础上，按“磋商最终报价×6%”进行扣减；</w:t>
      </w:r>
    </w:p>
    <w:p w14:paraId="7636F423">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2.3.2单个合同项为多种产品的，所投产品为节能、环境标志产品报价占到总报价30％以上的，在磋商最终报价的基础上，按“磋商最终报价×3%”进行扣减；在磋商最终报价时须对此类产品单独分项报价，计算出小计及占总价的百分比，未提供节能、环境标志产品报价明细表及1.3.1和1.3.2条规定的证明材料，在评审时不享受政府采购优惠政策。</w:t>
      </w:r>
    </w:p>
    <w:p w14:paraId="7BAE006D">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3、成交价格=成交供应商的有效磋商报价。</w:t>
      </w:r>
    </w:p>
    <w:p w14:paraId="68421BBD">
      <w:pPr>
        <w:spacing w:line="360" w:lineRule="auto"/>
        <w:ind w:firstLine="498" w:firstLineChars="200"/>
        <w:jc w:val="center"/>
        <w:outlineLvl w:val="1"/>
        <w:rPr>
          <w:rFonts w:hint="eastAsia" w:hAnsi="宋体" w:cs="宋体"/>
          <w:b/>
          <w:color w:val="auto"/>
          <w:szCs w:val="24"/>
          <w:highlight w:val="none"/>
        </w:rPr>
      </w:pPr>
      <w:r>
        <w:rPr>
          <w:rFonts w:hint="eastAsia" w:hAnsi="宋体" w:cs="宋体"/>
          <w:b/>
          <w:color w:val="auto"/>
          <w:spacing w:val="4"/>
          <w:szCs w:val="24"/>
          <w:highlight w:val="none"/>
        </w:rPr>
        <w:br w:type="page"/>
      </w:r>
      <w:bookmarkStart w:id="97" w:name="_Toc14745"/>
      <w:bookmarkStart w:id="98" w:name="_Toc13330"/>
      <w:bookmarkStart w:id="99" w:name="_Toc23630"/>
      <w:bookmarkStart w:id="100" w:name="_Toc4223"/>
      <w:bookmarkStart w:id="101" w:name="_Toc28532"/>
      <w:bookmarkStart w:id="102" w:name="_Toc25458"/>
      <w:r>
        <w:rPr>
          <w:rFonts w:hint="eastAsia" w:hAnsi="宋体" w:cs="宋体"/>
          <w:b/>
          <w:color w:val="auto"/>
          <w:spacing w:val="4"/>
          <w:szCs w:val="24"/>
          <w:highlight w:val="none"/>
        </w:rPr>
        <w:t>四、</w:t>
      </w:r>
      <w:r>
        <w:rPr>
          <w:rFonts w:hint="eastAsia" w:hAnsi="宋体" w:cs="宋体"/>
          <w:b/>
          <w:color w:val="auto"/>
          <w:szCs w:val="24"/>
          <w:highlight w:val="none"/>
        </w:rPr>
        <w:t>评审要素和分值分解表</w:t>
      </w:r>
      <w:bookmarkEnd w:id="97"/>
      <w:bookmarkEnd w:id="98"/>
      <w:bookmarkEnd w:id="99"/>
      <w:bookmarkEnd w:id="100"/>
      <w:bookmarkEnd w:id="101"/>
      <w:bookmarkEnd w:id="102"/>
    </w:p>
    <w:tbl>
      <w:tblPr>
        <w:tblStyle w:val="22"/>
        <w:tblpPr w:leftFromText="180" w:rightFromText="180" w:vertAnchor="text" w:horzAnchor="page" w:tblpXSpec="center" w:tblpY="869"/>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
        <w:gridCol w:w="6713"/>
        <w:gridCol w:w="964"/>
        <w:gridCol w:w="909"/>
      </w:tblGrid>
      <w:tr w14:paraId="532C3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noWrap w:val="0"/>
            <w:vAlign w:val="center"/>
          </w:tcPr>
          <w:p w14:paraId="4E050F61">
            <w:pPr>
              <w:bidi w:val="0"/>
              <w:jc w:val="center"/>
              <w:rPr>
                <w:rFonts w:hint="eastAsia" w:ascii="宋体" w:hAnsi="宋体" w:eastAsia="宋体" w:cs="宋体"/>
                <w:sz w:val="24"/>
                <w:szCs w:val="24"/>
              </w:rPr>
            </w:pPr>
            <w:r>
              <w:rPr>
                <w:rFonts w:hint="eastAsia" w:ascii="宋体" w:hAnsi="宋体" w:eastAsia="宋体" w:cs="宋体"/>
                <w:sz w:val="24"/>
                <w:szCs w:val="24"/>
              </w:rPr>
              <w:t>评审内容</w:t>
            </w:r>
          </w:p>
        </w:tc>
        <w:tc>
          <w:tcPr>
            <w:tcW w:w="6713" w:type="dxa"/>
            <w:noWrap w:val="0"/>
            <w:vAlign w:val="center"/>
          </w:tcPr>
          <w:p w14:paraId="44007F6B">
            <w:pPr>
              <w:bidi w:val="0"/>
              <w:jc w:val="center"/>
              <w:rPr>
                <w:rFonts w:hint="eastAsia" w:ascii="宋体" w:hAnsi="宋体" w:eastAsia="宋体" w:cs="宋体"/>
                <w:sz w:val="24"/>
                <w:szCs w:val="24"/>
              </w:rPr>
            </w:pPr>
            <w:r>
              <w:rPr>
                <w:rFonts w:hint="eastAsia" w:ascii="宋体" w:hAnsi="宋体" w:eastAsia="宋体" w:cs="宋体"/>
                <w:sz w:val="24"/>
                <w:szCs w:val="24"/>
              </w:rPr>
              <w:t>评审原则与标准</w:t>
            </w:r>
          </w:p>
        </w:tc>
        <w:tc>
          <w:tcPr>
            <w:tcW w:w="964" w:type="dxa"/>
            <w:noWrap w:val="0"/>
            <w:vAlign w:val="center"/>
          </w:tcPr>
          <w:p w14:paraId="6615C3C8">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主观/客观</w:t>
            </w:r>
          </w:p>
        </w:tc>
        <w:tc>
          <w:tcPr>
            <w:tcW w:w="909" w:type="dxa"/>
            <w:noWrap w:val="0"/>
            <w:vAlign w:val="center"/>
          </w:tcPr>
          <w:p w14:paraId="7348ABB2">
            <w:pPr>
              <w:bidi w:val="0"/>
              <w:jc w:val="center"/>
              <w:rPr>
                <w:rFonts w:hint="eastAsia" w:ascii="宋体" w:hAnsi="宋体" w:eastAsia="宋体" w:cs="宋体"/>
                <w:sz w:val="24"/>
                <w:szCs w:val="24"/>
              </w:rPr>
            </w:pPr>
            <w:r>
              <w:rPr>
                <w:rFonts w:hint="eastAsia" w:ascii="宋体" w:hAnsi="宋体" w:eastAsia="宋体" w:cs="宋体"/>
                <w:sz w:val="24"/>
                <w:szCs w:val="24"/>
              </w:rPr>
              <w:t>分值</w:t>
            </w:r>
          </w:p>
        </w:tc>
      </w:tr>
      <w:tr w14:paraId="373AF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noWrap w:val="0"/>
            <w:vAlign w:val="center"/>
          </w:tcPr>
          <w:p w14:paraId="7648BD82">
            <w:pPr>
              <w:bidi w:val="0"/>
              <w:jc w:val="center"/>
              <w:rPr>
                <w:rFonts w:hint="eastAsia" w:ascii="宋体" w:hAnsi="宋体" w:eastAsia="宋体" w:cs="宋体"/>
                <w:sz w:val="24"/>
                <w:szCs w:val="24"/>
              </w:rPr>
            </w:pPr>
            <w:r>
              <w:rPr>
                <w:rFonts w:hint="eastAsia" w:ascii="宋体" w:hAnsi="宋体" w:eastAsia="宋体" w:cs="宋体"/>
                <w:sz w:val="24"/>
                <w:szCs w:val="24"/>
              </w:rPr>
              <w:t>价格评审</w:t>
            </w:r>
          </w:p>
        </w:tc>
        <w:tc>
          <w:tcPr>
            <w:tcW w:w="6713" w:type="dxa"/>
            <w:noWrap w:val="0"/>
            <w:vAlign w:val="center"/>
          </w:tcPr>
          <w:p w14:paraId="0C2AFC90">
            <w:pPr>
              <w:bidi w:val="0"/>
              <w:rPr>
                <w:rFonts w:hint="eastAsia" w:ascii="宋体" w:hAnsi="宋体" w:eastAsia="宋体" w:cs="宋体"/>
                <w:sz w:val="24"/>
                <w:szCs w:val="24"/>
              </w:rPr>
            </w:pPr>
            <w:r>
              <w:rPr>
                <w:rFonts w:hint="eastAsia" w:ascii="宋体" w:hAnsi="宋体" w:eastAsia="宋体" w:cs="宋体"/>
                <w:sz w:val="24"/>
                <w:szCs w:val="24"/>
              </w:rPr>
              <w:t>满足磋商文件商务及技术要求且最后报价最低的供应商的价格为磋商基准价，其价格分为满分。</w:t>
            </w:r>
          </w:p>
          <w:p w14:paraId="3B22F373">
            <w:pPr>
              <w:bidi w:val="0"/>
              <w:rPr>
                <w:rFonts w:hint="eastAsia" w:ascii="宋体" w:hAnsi="宋体" w:eastAsia="宋体" w:cs="宋体"/>
                <w:sz w:val="24"/>
                <w:szCs w:val="24"/>
              </w:rPr>
            </w:pPr>
            <w:r>
              <w:rPr>
                <w:rFonts w:hint="eastAsia" w:ascii="宋体" w:hAnsi="宋体" w:eastAsia="宋体" w:cs="宋体"/>
                <w:sz w:val="24"/>
                <w:szCs w:val="24"/>
              </w:rPr>
              <w:t>报价得分=（磋商基准价/最后磋商报价）*价格分值</w:t>
            </w:r>
          </w:p>
        </w:tc>
        <w:tc>
          <w:tcPr>
            <w:tcW w:w="964" w:type="dxa"/>
            <w:noWrap w:val="0"/>
            <w:vAlign w:val="center"/>
          </w:tcPr>
          <w:p w14:paraId="2687E0B7">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客观</w:t>
            </w:r>
          </w:p>
        </w:tc>
        <w:tc>
          <w:tcPr>
            <w:tcW w:w="909" w:type="dxa"/>
            <w:noWrap w:val="0"/>
            <w:vAlign w:val="center"/>
          </w:tcPr>
          <w:p w14:paraId="0C6D63AE">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20分</w:t>
            </w:r>
          </w:p>
        </w:tc>
      </w:tr>
      <w:tr w14:paraId="01D42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noWrap w:val="0"/>
            <w:vAlign w:val="center"/>
          </w:tcPr>
          <w:p w14:paraId="736DDB2C">
            <w:pPr>
              <w:bidi w:val="0"/>
              <w:jc w:val="center"/>
              <w:rPr>
                <w:rFonts w:hint="eastAsia" w:ascii="宋体" w:hAnsi="宋体" w:eastAsia="宋体" w:cs="宋体"/>
                <w:sz w:val="24"/>
                <w:szCs w:val="24"/>
              </w:rPr>
            </w:pPr>
            <w:r>
              <w:rPr>
                <w:rFonts w:hint="eastAsia" w:ascii="宋体" w:hAnsi="宋体" w:eastAsia="宋体" w:cs="宋体"/>
                <w:sz w:val="24"/>
                <w:szCs w:val="24"/>
              </w:rPr>
              <w:t>项目执行团队配置</w:t>
            </w:r>
          </w:p>
        </w:tc>
        <w:tc>
          <w:tcPr>
            <w:tcW w:w="6713" w:type="dxa"/>
            <w:noWrap w:val="0"/>
            <w:vAlign w:val="center"/>
          </w:tcPr>
          <w:p w14:paraId="083C9626">
            <w:pPr>
              <w:bidi w:val="0"/>
              <w:rPr>
                <w:rFonts w:hint="eastAsia" w:ascii="宋体" w:hAnsi="宋体" w:eastAsia="宋体" w:cs="宋体"/>
                <w:sz w:val="24"/>
                <w:szCs w:val="24"/>
                <w:lang w:eastAsia="zh-CN"/>
              </w:rPr>
            </w:pPr>
            <w:r>
              <w:rPr>
                <w:rFonts w:hint="eastAsia" w:ascii="宋体" w:hAnsi="宋体" w:eastAsia="宋体" w:cs="宋体"/>
                <w:sz w:val="24"/>
                <w:szCs w:val="24"/>
                <w:lang w:eastAsia="zh-CN"/>
              </w:rPr>
              <w:t>提供人员名单、岗位说明</w:t>
            </w:r>
            <w:r>
              <w:rPr>
                <w:rFonts w:hint="eastAsia" w:ascii="宋体" w:hAnsi="宋体" w:eastAsia="宋体" w:cs="宋体"/>
                <w:sz w:val="24"/>
                <w:szCs w:val="24"/>
                <w:lang w:val="en-US" w:eastAsia="zh-CN"/>
              </w:rPr>
              <w:t>清单</w:t>
            </w:r>
            <w:r>
              <w:rPr>
                <w:rFonts w:hint="eastAsia" w:ascii="宋体" w:hAnsi="宋体" w:eastAsia="宋体" w:cs="宋体"/>
                <w:sz w:val="24"/>
                <w:szCs w:val="24"/>
                <w:lang w:eastAsia="zh-CN"/>
              </w:rPr>
              <w:t>，逐项计分：</w:t>
            </w:r>
          </w:p>
          <w:p w14:paraId="7FEF1F0D">
            <w:pPr>
              <w:bidi w:val="0"/>
              <w:rPr>
                <w:rFonts w:hint="eastAsia" w:ascii="宋体" w:hAnsi="宋体" w:eastAsia="宋体" w:cs="宋体"/>
                <w:sz w:val="24"/>
                <w:szCs w:val="24"/>
                <w:lang w:val="en-US" w:eastAsia="zh-CN"/>
              </w:rPr>
            </w:pPr>
            <w:r>
              <w:rPr>
                <w:rFonts w:hint="eastAsia" w:hAnsi="宋体" w:cs="宋体"/>
                <w:sz w:val="24"/>
                <w:szCs w:val="24"/>
                <w:lang w:val="en-US" w:eastAsia="zh-CN"/>
              </w:rPr>
              <w:t>①</w:t>
            </w:r>
            <w:r>
              <w:rPr>
                <w:rFonts w:hint="eastAsia" w:ascii="宋体" w:hAnsi="宋体" w:eastAsia="宋体" w:cs="宋体"/>
                <w:sz w:val="24"/>
                <w:szCs w:val="24"/>
                <w:lang w:eastAsia="zh-CN"/>
              </w:rPr>
              <w:t>配备项目总负责人</w:t>
            </w:r>
            <w:r>
              <w:rPr>
                <w:rFonts w:hint="eastAsia" w:hAnsi="宋体" w:cs="宋体"/>
                <w:sz w:val="24"/>
                <w:szCs w:val="24"/>
                <w:lang w:eastAsia="zh-CN"/>
              </w:rPr>
              <w:t>、</w:t>
            </w:r>
            <w:r>
              <w:rPr>
                <w:rFonts w:hint="eastAsia" w:ascii="宋体" w:hAnsi="宋体" w:eastAsia="宋体" w:cs="宋体"/>
                <w:sz w:val="24"/>
                <w:szCs w:val="24"/>
                <w:lang w:eastAsia="zh-CN"/>
              </w:rPr>
              <w:t>线下活动执行专员，</w:t>
            </w:r>
            <w:r>
              <w:rPr>
                <w:rFonts w:hint="eastAsia" w:ascii="宋体" w:hAnsi="宋体" w:eastAsia="宋体" w:cs="宋体"/>
                <w:sz w:val="24"/>
                <w:szCs w:val="24"/>
                <w:lang w:val="en-US" w:eastAsia="zh-CN"/>
              </w:rPr>
              <w:t>每提供1人得2分，本项最高得6分；</w:t>
            </w:r>
          </w:p>
          <w:p w14:paraId="0EBFCB6A">
            <w:pPr>
              <w:bidi w:val="0"/>
              <w:rPr>
                <w:rFonts w:hint="eastAsia" w:ascii="宋体" w:hAnsi="宋体" w:eastAsia="宋体" w:cs="宋体"/>
                <w:sz w:val="24"/>
                <w:szCs w:val="24"/>
                <w:lang w:val="en-US" w:eastAsia="zh-CN"/>
              </w:rPr>
            </w:pPr>
            <w:r>
              <w:rPr>
                <w:rFonts w:hint="eastAsia" w:hAnsi="宋体" w:cs="宋体"/>
                <w:sz w:val="24"/>
                <w:szCs w:val="24"/>
                <w:lang w:val="en-US" w:eastAsia="zh-CN"/>
              </w:rPr>
              <w:t>②</w:t>
            </w:r>
            <w:r>
              <w:rPr>
                <w:rFonts w:hint="eastAsia" w:ascii="宋体" w:hAnsi="宋体" w:eastAsia="宋体" w:cs="宋体"/>
                <w:sz w:val="24"/>
                <w:szCs w:val="24"/>
                <w:lang w:eastAsia="zh-CN"/>
              </w:rPr>
              <w:t>配备</w:t>
            </w:r>
            <w:r>
              <w:rPr>
                <w:rFonts w:hint="eastAsia" w:hAnsi="宋体" w:cs="宋体"/>
                <w:sz w:val="24"/>
                <w:szCs w:val="24"/>
                <w:lang w:val="en-US" w:eastAsia="zh-CN"/>
              </w:rPr>
              <w:t>策划</w:t>
            </w:r>
            <w:r>
              <w:rPr>
                <w:rFonts w:hint="eastAsia" w:ascii="宋体" w:hAnsi="宋体" w:eastAsia="宋体" w:cs="宋体"/>
                <w:sz w:val="24"/>
                <w:szCs w:val="24"/>
                <w:lang w:eastAsia="zh-CN"/>
              </w:rPr>
              <w:t>文案、</w:t>
            </w:r>
            <w:r>
              <w:rPr>
                <w:rFonts w:hint="eastAsia" w:hAnsi="宋体" w:cs="宋体"/>
                <w:sz w:val="24"/>
                <w:szCs w:val="24"/>
                <w:lang w:val="en-US" w:eastAsia="zh-CN"/>
              </w:rPr>
              <w:t>图文和</w:t>
            </w:r>
            <w:r>
              <w:rPr>
                <w:rFonts w:hint="eastAsia" w:ascii="宋体" w:hAnsi="宋体" w:eastAsia="宋体" w:cs="宋体"/>
                <w:sz w:val="24"/>
                <w:szCs w:val="24"/>
                <w:lang w:eastAsia="zh-CN"/>
              </w:rPr>
              <w:t>短视频制作、</w:t>
            </w:r>
            <w:r>
              <w:rPr>
                <w:rFonts w:hint="eastAsia" w:hAnsi="宋体" w:cs="宋体"/>
                <w:sz w:val="24"/>
                <w:szCs w:val="24"/>
                <w:lang w:val="en-US" w:eastAsia="zh-CN"/>
              </w:rPr>
              <w:t>摄影摄像、网络</w:t>
            </w:r>
            <w:r>
              <w:rPr>
                <w:rFonts w:hint="eastAsia" w:ascii="宋体" w:hAnsi="宋体" w:eastAsia="宋体" w:cs="宋体"/>
                <w:sz w:val="24"/>
                <w:szCs w:val="24"/>
                <w:lang w:eastAsia="zh-CN"/>
              </w:rPr>
              <w:t>宣发专职人员，</w:t>
            </w:r>
            <w:r>
              <w:rPr>
                <w:rFonts w:hint="eastAsia" w:ascii="宋体" w:hAnsi="宋体" w:eastAsia="宋体" w:cs="宋体"/>
                <w:sz w:val="24"/>
                <w:szCs w:val="24"/>
                <w:lang w:val="en-US" w:eastAsia="zh-CN"/>
              </w:rPr>
              <w:t>各岗位每配备1人</w:t>
            </w:r>
            <w:r>
              <w:rPr>
                <w:rFonts w:hint="eastAsia" w:ascii="宋体" w:hAnsi="宋体" w:eastAsia="宋体" w:cs="宋体"/>
                <w:sz w:val="24"/>
                <w:szCs w:val="24"/>
                <w:lang w:eastAsia="zh-CN"/>
              </w:rPr>
              <w:t>得</w:t>
            </w:r>
            <w:r>
              <w:rPr>
                <w:rFonts w:hint="eastAsia" w:ascii="宋体" w:hAnsi="宋体" w:eastAsia="宋体" w:cs="宋体"/>
                <w:sz w:val="24"/>
                <w:szCs w:val="24"/>
                <w:lang w:val="en-US" w:eastAsia="zh-CN"/>
              </w:rPr>
              <w:t>1</w:t>
            </w:r>
            <w:r>
              <w:rPr>
                <w:rFonts w:hint="eastAsia" w:hAnsi="宋体" w:cs="宋体"/>
                <w:sz w:val="24"/>
                <w:szCs w:val="24"/>
                <w:lang w:val="en-US" w:eastAsia="zh-CN"/>
              </w:rPr>
              <w:t>.5</w:t>
            </w:r>
            <w:r>
              <w:rPr>
                <w:rFonts w:hint="eastAsia" w:ascii="宋体" w:hAnsi="宋体" w:eastAsia="宋体" w:cs="宋体"/>
                <w:sz w:val="24"/>
                <w:szCs w:val="24"/>
                <w:lang w:eastAsia="zh-CN"/>
              </w:rPr>
              <w:t>分；</w:t>
            </w:r>
            <w:r>
              <w:rPr>
                <w:rFonts w:hint="eastAsia" w:ascii="宋体" w:hAnsi="宋体" w:eastAsia="宋体" w:cs="宋体"/>
                <w:sz w:val="24"/>
                <w:szCs w:val="24"/>
                <w:lang w:val="en-US" w:eastAsia="zh-CN"/>
              </w:rPr>
              <w:t>本项最高得</w:t>
            </w:r>
            <w:r>
              <w:rPr>
                <w:rFonts w:hint="eastAsia" w:hAnsi="宋体" w:cs="宋体"/>
                <w:sz w:val="24"/>
                <w:szCs w:val="24"/>
                <w:lang w:val="en-US" w:eastAsia="zh-CN"/>
              </w:rPr>
              <w:t>6</w:t>
            </w:r>
            <w:r>
              <w:rPr>
                <w:rFonts w:hint="eastAsia" w:ascii="宋体" w:hAnsi="宋体" w:eastAsia="宋体" w:cs="宋体"/>
                <w:sz w:val="24"/>
                <w:szCs w:val="24"/>
                <w:lang w:val="en-US" w:eastAsia="zh-CN"/>
              </w:rPr>
              <w:t>分；</w:t>
            </w:r>
          </w:p>
          <w:p w14:paraId="1121FEAC">
            <w:pPr>
              <w:bidi w:val="0"/>
              <w:rPr>
                <w:rFonts w:hint="default" w:ascii="宋体" w:hAnsi="宋体" w:eastAsia="宋体" w:cs="宋体"/>
                <w:sz w:val="24"/>
                <w:szCs w:val="24"/>
                <w:lang w:val="en-US" w:eastAsia="zh-CN"/>
              </w:rPr>
            </w:pPr>
            <w:r>
              <w:rPr>
                <w:rFonts w:hint="eastAsia" w:hAnsi="宋体" w:cs="宋体"/>
                <w:sz w:val="24"/>
                <w:szCs w:val="24"/>
                <w:lang w:val="en-US" w:eastAsia="zh-CN"/>
              </w:rPr>
              <w:t>③有完善的岗位管理制度，得2分</w:t>
            </w:r>
          </w:p>
          <w:p w14:paraId="1E065026">
            <w:pPr>
              <w:bidi w:val="0"/>
              <w:rPr>
                <w:rFonts w:hint="eastAsia" w:ascii="宋体" w:hAnsi="宋体" w:eastAsia="宋体" w:cs="宋体"/>
                <w:sz w:val="24"/>
                <w:szCs w:val="24"/>
                <w:lang w:eastAsia="zh-CN"/>
              </w:rPr>
            </w:pPr>
            <w:r>
              <w:rPr>
                <w:rFonts w:hint="eastAsia" w:ascii="宋体" w:hAnsi="宋体" w:eastAsia="宋体" w:cs="宋体"/>
                <w:sz w:val="24"/>
                <w:szCs w:val="24"/>
                <w:lang w:val="en-US" w:eastAsia="zh-CN"/>
              </w:rPr>
              <w:t>以上人员需提供身份证、毕业证等证明资料</w:t>
            </w:r>
          </w:p>
        </w:tc>
        <w:tc>
          <w:tcPr>
            <w:tcW w:w="964" w:type="dxa"/>
            <w:noWrap w:val="0"/>
            <w:vAlign w:val="center"/>
          </w:tcPr>
          <w:p w14:paraId="41B4A74E">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客观</w:t>
            </w:r>
          </w:p>
        </w:tc>
        <w:tc>
          <w:tcPr>
            <w:tcW w:w="909" w:type="dxa"/>
            <w:noWrap w:val="0"/>
            <w:vAlign w:val="center"/>
          </w:tcPr>
          <w:p w14:paraId="2D8F26EE">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14分</w:t>
            </w:r>
          </w:p>
        </w:tc>
      </w:tr>
      <w:tr w14:paraId="1D83F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noWrap w:val="0"/>
            <w:vAlign w:val="center"/>
          </w:tcPr>
          <w:p w14:paraId="21B5FC14">
            <w:pPr>
              <w:bidi w:val="0"/>
              <w:jc w:val="center"/>
              <w:rPr>
                <w:rFonts w:hint="eastAsia" w:ascii="宋体" w:hAnsi="宋体" w:eastAsia="宋体" w:cs="宋体"/>
                <w:sz w:val="24"/>
                <w:szCs w:val="24"/>
              </w:rPr>
            </w:pPr>
            <w:r>
              <w:rPr>
                <w:rFonts w:hint="eastAsia" w:ascii="宋体" w:hAnsi="宋体" w:eastAsia="宋体" w:cs="宋体"/>
                <w:sz w:val="24"/>
                <w:szCs w:val="24"/>
              </w:rPr>
              <w:t>专业设备配置</w:t>
            </w:r>
          </w:p>
        </w:tc>
        <w:tc>
          <w:tcPr>
            <w:tcW w:w="6713" w:type="dxa"/>
            <w:noWrap w:val="0"/>
            <w:vAlign w:val="center"/>
          </w:tcPr>
          <w:p w14:paraId="39E6A882">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①配齐专业摄像、灯光音响、直播等线下活动设备，</w:t>
            </w:r>
            <w:r>
              <w:rPr>
                <w:rFonts w:hint="eastAsia" w:hAnsi="宋体" w:cs="宋体"/>
                <w:sz w:val="24"/>
                <w:szCs w:val="24"/>
                <w:lang w:val="en-US" w:eastAsia="zh-CN"/>
              </w:rPr>
              <w:t>且提供设备清单的，</w:t>
            </w:r>
            <w:r>
              <w:rPr>
                <w:rFonts w:hint="eastAsia" w:ascii="宋体" w:hAnsi="宋体" w:eastAsia="宋体" w:cs="宋体"/>
                <w:sz w:val="24"/>
                <w:szCs w:val="24"/>
                <w:lang w:val="en-US" w:eastAsia="zh-CN"/>
              </w:rPr>
              <w:t>得4 分；设备不全</w:t>
            </w:r>
            <w:r>
              <w:rPr>
                <w:rFonts w:hint="eastAsia" w:hAnsi="宋体" w:cs="宋体"/>
                <w:sz w:val="24"/>
                <w:szCs w:val="24"/>
                <w:lang w:val="en-US" w:eastAsia="zh-CN"/>
              </w:rPr>
              <w:t>或无设备清单的。</w:t>
            </w:r>
            <w:r>
              <w:rPr>
                <w:rFonts w:hint="eastAsia" w:ascii="宋体" w:hAnsi="宋体" w:eastAsia="宋体" w:cs="宋体"/>
                <w:sz w:val="24"/>
                <w:szCs w:val="24"/>
                <w:lang w:val="en-US" w:eastAsia="zh-CN"/>
              </w:rPr>
              <w:t>得2分，未提供得0分。</w:t>
            </w:r>
          </w:p>
          <w:p w14:paraId="610CAFBD">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②配齐后期剪辑、融媒体制作软硬件、网络传输设备</w:t>
            </w:r>
            <w:r>
              <w:rPr>
                <w:rFonts w:hint="eastAsia" w:hAnsi="宋体" w:cs="宋体"/>
                <w:sz w:val="24"/>
                <w:szCs w:val="24"/>
                <w:lang w:val="en-US" w:eastAsia="zh-CN"/>
              </w:rPr>
              <w:t>，且提供设备清单，</w:t>
            </w:r>
            <w:r>
              <w:rPr>
                <w:rFonts w:hint="eastAsia" w:ascii="宋体" w:hAnsi="宋体" w:eastAsia="宋体" w:cs="宋体"/>
                <w:sz w:val="24"/>
                <w:szCs w:val="24"/>
                <w:lang w:val="en-US" w:eastAsia="zh-CN"/>
              </w:rPr>
              <w:t>可满足内容生产需求，得 4 分；设备不全</w:t>
            </w:r>
            <w:r>
              <w:rPr>
                <w:rFonts w:hint="eastAsia" w:hAnsi="宋体" w:cs="宋体"/>
                <w:sz w:val="24"/>
                <w:szCs w:val="24"/>
                <w:lang w:val="en-US" w:eastAsia="zh-CN"/>
              </w:rPr>
              <w:t>或无设备清单的</w:t>
            </w:r>
            <w:r>
              <w:rPr>
                <w:rFonts w:hint="eastAsia" w:ascii="宋体" w:hAnsi="宋体" w:eastAsia="宋体" w:cs="宋体"/>
                <w:sz w:val="24"/>
                <w:szCs w:val="24"/>
                <w:lang w:val="en-US" w:eastAsia="zh-CN"/>
              </w:rPr>
              <w:t>得2分，未提供得0分</w:t>
            </w:r>
          </w:p>
          <w:p w14:paraId="525379CA">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供应商须在响应文件中附设备清单、实物照片</w:t>
            </w:r>
            <w:r>
              <w:rPr>
                <w:rFonts w:hint="eastAsia" w:hAnsi="宋体" w:cs="宋体"/>
                <w:sz w:val="24"/>
                <w:szCs w:val="24"/>
                <w:lang w:val="en-US" w:eastAsia="zh-CN"/>
              </w:rPr>
              <w:t>或</w:t>
            </w:r>
            <w:r>
              <w:rPr>
                <w:rFonts w:hint="eastAsia" w:ascii="宋体" w:hAnsi="宋体" w:eastAsia="宋体" w:cs="宋体"/>
                <w:sz w:val="24"/>
                <w:szCs w:val="24"/>
                <w:lang w:val="en-US" w:eastAsia="zh-CN"/>
              </w:rPr>
              <w:t>购置凭证</w:t>
            </w:r>
            <w:r>
              <w:rPr>
                <w:rFonts w:hint="eastAsia" w:hAnsi="宋体" w:cs="宋体"/>
                <w:sz w:val="24"/>
                <w:szCs w:val="24"/>
                <w:lang w:val="en-US" w:eastAsia="zh-CN"/>
              </w:rPr>
              <w:t>或租赁凭证或</w:t>
            </w:r>
            <w:r>
              <w:rPr>
                <w:rFonts w:hint="eastAsia" w:ascii="宋体" w:hAnsi="宋体" w:eastAsia="宋体" w:cs="宋体"/>
                <w:sz w:val="24"/>
                <w:szCs w:val="24"/>
                <w:lang w:val="en-US" w:eastAsia="zh-CN"/>
              </w:rPr>
              <w:t>设备台账等实证材料</w:t>
            </w:r>
          </w:p>
        </w:tc>
        <w:tc>
          <w:tcPr>
            <w:tcW w:w="964" w:type="dxa"/>
            <w:noWrap w:val="0"/>
            <w:vAlign w:val="center"/>
          </w:tcPr>
          <w:p w14:paraId="7174CBC8">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客观</w:t>
            </w:r>
          </w:p>
        </w:tc>
        <w:tc>
          <w:tcPr>
            <w:tcW w:w="909" w:type="dxa"/>
            <w:noWrap w:val="0"/>
            <w:vAlign w:val="center"/>
          </w:tcPr>
          <w:p w14:paraId="50E96BB2">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8分</w:t>
            </w:r>
          </w:p>
        </w:tc>
      </w:tr>
      <w:tr w14:paraId="25B29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noWrap w:val="0"/>
            <w:vAlign w:val="center"/>
          </w:tcPr>
          <w:p w14:paraId="67C20925">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合理化建议</w:t>
            </w:r>
          </w:p>
        </w:tc>
        <w:tc>
          <w:tcPr>
            <w:tcW w:w="6713" w:type="dxa"/>
            <w:noWrap w:val="0"/>
            <w:vAlign w:val="center"/>
          </w:tcPr>
          <w:p w14:paraId="52731C46">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针对本项目，每提供一条有利于项目实施的合理化建议得</w:t>
            </w:r>
            <w:r>
              <w:rPr>
                <w:rFonts w:hint="eastAsia" w:hAnsi="宋体" w:cs="宋体"/>
                <w:sz w:val="24"/>
                <w:szCs w:val="24"/>
                <w:lang w:val="en-US" w:eastAsia="zh-CN"/>
              </w:rPr>
              <w:t>2</w:t>
            </w:r>
            <w:r>
              <w:rPr>
                <w:rFonts w:hint="eastAsia" w:ascii="宋体" w:hAnsi="宋体" w:eastAsia="宋体" w:cs="宋体"/>
                <w:sz w:val="24"/>
                <w:szCs w:val="24"/>
                <w:lang w:val="en-US" w:eastAsia="zh-CN"/>
              </w:rPr>
              <w:t>分，满分</w:t>
            </w:r>
            <w:r>
              <w:rPr>
                <w:rFonts w:hint="eastAsia" w:hAnsi="宋体" w:cs="宋体"/>
                <w:sz w:val="24"/>
                <w:szCs w:val="24"/>
                <w:lang w:val="en-US" w:eastAsia="zh-CN"/>
              </w:rPr>
              <w:t>6</w:t>
            </w:r>
            <w:r>
              <w:rPr>
                <w:rFonts w:hint="eastAsia" w:ascii="宋体" w:hAnsi="宋体" w:eastAsia="宋体" w:cs="宋体"/>
                <w:sz w:val="24"/>
                <w:szCs w:val="24"/>
                <w:lang w:val="en-US" w:eastAsia="zh-CN"/>
              </w:rPr>
              <w:t>分。</w:t>
            </w:r>
          </w:p>
        </w:tc>
        <w:tc>
          <w:tcPr>
            <w:tcW w:w="964" w:type="dxa"/>
            <w:noWrap w:val="0"/>
            <w:vAlign w:val="center"/>
          </w:tcPr>
          <w:p w14:paraId="421B5717">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客观</w:t>
            </w:r>
          </w:p>
        </w:tc>
        <w:tc>
          <w:tcPr>
            <w:tcW w:w="909" w:type="dxa"/>
            <w:noWrap w:val="0"/>
            <w:vAlign w:val="center"/>
          </w:tcPr>
          <w:p w14:paraId="5DE4CCAF">
            <w:pPr>
              <w:bidi w:val="0"/>
              <w:jc w:val="center"/>
              <w:rPr>
                <w:rFonts w:hint="eastAsia" w:ascii="宋体" w:hAnsi="宋体" w:eastAsia="宋体" w:cs="宋体"/>
                <w:sz w:val="24"/>
                <w:szCs w:val="24"/>
                <w:lang w:val="en-US" w:eastAsia="zh-CN"/>
              </w:rPr>
            </w:pPr>
            <w:r>
              <w:rPr>
                <w:rFonts w:hint="eastAsia" w:hAnsi="宋体" w:cs="宋体"/>
                <w:sz w:val="24"/>
                <w:szCs w:val="24"/>
                <w:lang w:val="en-US" w:eastAsia="zh-CN"/>
              </w:rPr>
              <w:t>6</w:t>
            </w:r>
            <w:r>
              <w:rPr>
                <w:rFonts w:hint="eastAsia" w:ascii="宋体" w:hAnsi="宋体" w:eastAsia="宋体" w:cs="宋体"/>
                <w:sz w:val="24"/>
                <w:szCs w:val="24"/>
                <w:lang w:val="en-US" w:eastAsia="zh-CN"/>
              </w:rPr>
              <w:t>分</w:t>
            </w:r>
          </w:p>
        </w:tc>
      </w:tr>
      <w:tr w14:paraId="70454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noWrap w:val="0"/>
            <w:vAlign w:val="center"/>
          </w:tcPr>
          <w:p w14:paraId="3CB99C52">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服务承诺</w:t>
            </w:r>
          </w:p>
        </w:tc>
        <w:tc>
          <w:tcPr>
            <w:tcW w:w="6713" w:type="dxa"/>
            <w:noWrap w:val="0"/>
            <w:vAlign w:val="center"/>
          </w:tcPr>
          <w:p w14:paraId="136F6712">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w:t>
            </w:r>
            <w:r>
              <w:rPr>
                <w:rFonts w:hint="eastAsia" w:hAnsi="宋体" w:cs="宋体"/>
                <w:sz w:val="24"/>
                <w:szCs w:val="24"/>
                <w:lang w:val="en-US" w:eastAsia="zh-CN"/>
              </w:rPr>
              <w:t>服务期</w:t>
            </w:r>
            <w:r>
              <w:rPr>
                <w:rFonts w:hint="eastAsia" w:ascii="宋体" w:hAnsi="宋体" w:eastAsia="宋体" w:cs="宋体"/>
                <w:sz w:val="24"/>
                <w:szCs w:val="24"/>
                <w:lang w:val="en-US" w:eastAsia="zh-CN"/>
              </w:rPr>
              <w:t>履约承诺：承诺严格按照合同约定时限完成全部活动执行、内容制作、宣发及结案验收工作，得 1分。</w:t>
            </w:r>
          </w:p>
          <w:p w14:paraId="37EB2DFC">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②质量保障承诺：承诺线下活动组织、融媒体产品制作、全网宣推均达到项目验收标准及绩效目标要求，得 1分。</w:t>
            </w:r>
          </w:p>
          <w:p w14:paraId="23A37019">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③人员在岗承诺：承诺项目全程配备固定团队，核心岗位人员不随意更换、保证全程在岗服务，得 2 分。</w:t>
            </w:r>
          </w:p>
          <w:p w14:paraId="335B98D6">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④售后及配合承诺：承诺项目验收后配合完成后续资料归档、问题答疑、舆情跟进等收尾工作，得 2 分。</w:t>
            </w:r>
          </w:p>
        </w:tc>
        <w:tc>
          <w:tcPr>
            <w:tcW w:w="964" w:type="dxa"/>
            <w:noWrap w:val="0"/>
            <w:vAlign w:val="center"/>
          </w:tcPr>
          <w:p w14:paraId="249CECB9">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客观</w:t>
            </w:r>
          </w:p>
        </w:tc>
        <w:tc>
          <w:tcPr>
            <w:tcW w:w="909" w:type="dxa"/>
            <w:noWrap w:val="0"/>
            <w:vAlign w:val="center"/>
          </w:tcPr>
          <w:p w14:paraId="2F2ACF37">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6分</w:t>
            </w:r>
          </w:p>
        </w:tc>
      </w:tr>
      <w:tr w14:paraId="4ACDD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noWrap w:val="0"/>
            <w:vAlign w:val="center"/>
          </w:tcPr>
          <w:p w14:paraId="2C0291A6">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总体服务方案</w:t>
            </w:r>
          </w:p>
        </w:tc>
        <w:tc>
          <w:tcPr>
            <w:tcW w:w="6713" w:type="dxa"/>
            <w:noWrap w:val="0"/>
            <w:vAlign w:val="center"/>
          </w:tcPr>
          <w:p w14:paraId="5D4882BB">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一、评审内容：</w:t>
            </w:r>
          </w:p>
          <w:p w14:paraId="36878459">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针对本项目提出适用于本项目的总体服务方案，包括：①项目需求理解②活动策划整体方案③</w:t>
            </w:r>
            <w:r>
              <w:rPr>
                <w:rFonts w:hint="eastAsia" w:hAnsi="宋体" w:cs="宋体"/>
                <w:sz w:val="24"/>
                <w:szCs w:val="24"/>
                <w:lang w:val="en-US" w:eastAsia="zh-CN"/>
              </w:rPr>
              <w:t>线下活动</w:t>
            </w:r>
            <w:r>
              <w:rPr>
                <w:rFonts w:ascii="宋体" w:hAnsi="宋体" w:eastAsia="宋体" w:cs="宋体"/>
                <w:sz w:val="24"/>
                <w:szCs w:val="24"/>
              </w:rPr>
              <w:t>分场次落地执行</w:t>
            </w:r>
            <w:r>
              <w:rPr>
                <w:rFonts w:hint="eastAsia" w:ascii="宋体" w:hAnsi="宋体" w:eastAsia="宋体" w:cs="宋体"/>
                <w:sz w:val="24"/>
                <w:szCs w:val="24"/>
                <w:lang w:val="en-US" w:eastAsia="zh-CN"/>
              </w:rPr>
              <w:t>方案④</w:t>
            </w:r>
            <w:r>
              <w:rPr>
                <w:rFonts w:ascii="宋体" w:hAnsi="宋体" w:eastAsia="宋体" w:cs="宋体"/>
                <w:sz w:val="24"/>
                <w:szCs w:val="24"/>
              </w:rPr>
              <w:t>微心愿上门帮扶专项方案</w:t>
            </w:r>
          </w:p>
          <w:p w14:paraId="355A2AC7">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二、评审标准：</w:t>
            </w:r>
          </w:p>
          <w:p w14:paraId="7C9BEF9C">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1、完整性：方案必须全面，对评审内容中的各项要求有详细描述；</w:t>
            </w:r>
          </w:p>
          <w:p w14:paraId="283C7606">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2、可实施性：切合本项目实际情况，提出步骤清晰、合理的方案；</w:t>
            </w:r>
          </w:p>
          <w:p w14:paraId="6E97CD67">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3、针对性：方案能够紧扣项目实际情况，内容科学合理。</w:t>
            </w:r>
          </w:p>
          <w:p w14:paraId="5AB8DE9E">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三、赋分标准（满分18分）</w:t>
            </w:r>
          </w:p>
          <w:p w14:paraId="59FF3235">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①项目需求理解：每完全满足一个评审标准得 1分，满分3分；</w:t>
            </w:r>
          </w:p>
          <w:p w14:paraId="0B0EA8A4">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②活动策划整体方案：每完全满足一个评审标准得 2分，满分6分；</w:t>
            </w:r>
          </w:p>
          <w:p w14:paraId="73D9821B">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③</w:t>
            </w:r>
            <w:r>
              <w:rPr>
                <w:rFonts w:hint="eastAsia" w:hAnsi="宋体" w:cs="宋体"/>
                <w:sz w:val="24"/>
                <w:szCs w:val="24"/>
                <w:lang w:val="en-US" w:eastAsia="zh-CN"/>
              </w:rPr>
              <w:t>线下活动</w:t>
            </w:r>
            <w:r>
              <w:rPr>
                <w:rFonts w:ascii="宋体" w:hAnsi="宋体" w:eastAsia="宋体" w:cs="宋体"/>
                <w:sz w:val="24"/>
                <w:szCs w:val="24"/>
              </w:rPr>
              <w:t>分场次落地执行</w:t>
            </w:r>
            <w:r>
              <w:rPr>
                <w:rFonts w:hint="eastAsia" w:ascii="宋体" w:hAnsi="宋体" w:eastAsia="宋体" w:cs="宋体"/>
                <w:sz w:val="24"/>
                <w:szCs w:val="24"/>
                <w:lang w:val="en-US" w:eastAsia="zh-CN"/>
              </w:rPr>
              <w:t>方案：每完全满足一个评审标准得 2分，满分6分；</w:t>
            </w:r>
          </w:p>
          <w:p w14:paraId="573ED57A">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④</w:t>
            </w:r>
            <w:r>
              <w:rPr>
                <w:rFonts w:ascii="宋体" w:hAnsi="宋体" w:eastAsia="宋体" w:cs="宋体"/>
                <w:sz w:val="24"/>
                <w:szCs w:val="24"/>
              </w:rPr>
              <w:t>微心愿上门帮扶专项方案</w:t>
            </w:r>
            <w:r>
              <w:rPr>
                <w:rFonts w:hint="eastAsia" w:ascii="宋体" w:hAnsi="宋体" w:eastAsia="宋体" w:cs="宋体"/>
                <w:sz w:val="24"/>
                <w:szCs w:val="24"/>
                <w:lang w:val="en-US" w:eastAsia="zh-CN"/>
              </w:rPr>
              <w:t>：每完全满足一个评审标准得 1分，满分3分；</w:t>
            </w:r>
          </w:p>
        </w:tc>
        <w:tc>
          <w:tcPr>
            <w:tcW w:w="964" w:type="dxa"/>
            <w:noWrap w:val="0"/>
            <w:vAlign w:val="center"/>
          </w:tcPr>
          <w:p w14:paraId="5A75FE2F">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主观</w:t>
            </w:r>
          </w:p>
        </w:tc>
        <w:tc>
          <w:tcPr>
            <w:tcW w:w="909" w:type="dxa"/>
            <w:noWrap w:val="0"/>
            <w:vAlign w:val="center"/>
          </w:tcPr>
          <w:p w14:paraId="1D7F3880">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18</w:t>
            </w:r>
            <w:r>
              <w:rPr>
                <w:rFonts w:hint="eastAsia" w:ascii="宋体" w:hAnsi="宋体" w:eastAsia="宋体" w:cs="宋体"/>
                <w:sz w:val="24"/>
                <w:szCs w:val="24"/>
              </w:rPr>
              <w:t>分</w:t>
            </w:r>
          </w:p>
        </w:tc>
      </w:tr>
      <w:tr w14:paraId="1096B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noWrap w:val="0"/>
            <w:vAlign w:val="center"/>
          </w:tcPr>
          <w:p w14:paraId="29E0C855">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详细服务方案</w:t>
            </w:r>
          </w:p>
        </w:tc>
        <w:tc>
          <w:tcPr>
            <w:tcW w:w="6713" w:type="dxa"/>
            <w:noWrap w:val="0"/>
            <w:vAlign w:val="center"/>
          </w:tcPr>
          <w:p w14:paraId="680056EB">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一、评审内容：</w:t>
            </w:r>
          </w:p>
          <w:p w14:paraId="6F7D256A">
            <w:pPr>
              <w:bidi w:val="0"/>
              <w:rPr>
                <w:rFonts w:hint="default" w:ascii="宋体" w:hAnsi="宋体" w:eastAsia="宋体" w:cs="宋体"/>
                <w:sz w:val="24"/>
                <w:szCs w:val="24"/>
                <w:lang w:val="en-US"/>
              </w:rPr>
            </w:pPr>
            <w:r>
              <w:rPr>
                <w:rFonts w:hint="eastAsia" w:ascii="宋体" w:hAnsi="宋体" w:eastAsia="宋体" w:cs="宋体"/>
                <w:sz w:val="24"/>
                <w:szCs w:val="24"/>
                <w:lang w:val="en-US" w:eastAsia="zh-CN"/>
              </w:rPr>
              <w:t>针对本项目提出适用于本项目的详细服务方案，包括：①直播及现场宣发规划②场地搭建方案③活动物料制作</w:t>
            </w:r>
            <w:r>
              <w:rPr>
                <w:rFonts w:hint="eastAsia" w:hAnsi="宋体" w:cs="宋体"/>
                <w:sz w:val="24"/>
                <w:szCs w:val="24"/>
                <w:lang w:val="en-US" w:eastAsia="zh-CN"/>
              </w:rPr>
              <w:t>方案</w:t>
            </w:r>
          </w:p>
          <w:p w14:paraId="478D6EBA">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二、评审标准：</w:t>
            </w:r>
          </w:p>
          <w:p w14:paraId="511AE739">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1、完整性：方案必须全面，对评审内容中的各项要求有详细描述；</w:t>
            </w:r>
          </w:p>
          <w:p w14:paraId="0097A9E9">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2、可实施性：切合本项目实际情况，提出步骤清晰、合理的方案；</w:t>
            </w:r>
          </w:p>
          <w:p w14:paraId="192B8823">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3、针对性：方案能够紧扣项目实际情况，内容科学合理。</w:t>
            </w:r>
          </w:p>
          <w:p w14:paraId="4E891E9B">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三、赋分标准（满分</w:t>
            </w:r>
            <w:r>
              <w:rPr>
                <w:rFonts w:hint="eastAsia" w:hAnsi="宋体" w:cs="宋体"/>
                <w:sz w:val="24"/>
                <w:szCs w:val="24"/>
                <w:lang w:val="en-US" w:eastAsia="zh-CN"/>
              </w:rPr>
              <w:t>12</w:t>
            </w:r>
            <w:r>
              <w:rPr>
                <w:rFonts w:hint="eastAsia" w:ascii="宋体" w:hAnsi="宋体" w:eastAsia="宋体" w:cs="宋体"/>
                <w:sz w:val="24"/>
                <w:szCs w:val="24"/>
                <w:lang w:val="en-US" w:eastAsia="zh-CN"/>
              </w:rPr>
              <w:t>分）</w:t>
            </w:r>
          </w:p>
          <w:p w14:paraId="60CB127C">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①直播及现场宣发规划：每完全满足一个评审标准得 </w:t>
            </w:r>
            <w:r>
              <w:rPr>
                <w:rFonts w:hint="eastAsia" w:hAnsi="宋体" w:cs="宋体"/>
                <w:sz w:val="24"/>
                <w:szCs w:val="24"/>
                <w:lang w:val="en-US" w:eastAsia="zh-CN"/>
              </w:rPr>
              <w:t>2</w:t>
            </w:r>
            <w:r>
              <w:rPr>
                <w:rFonts w:hint="eastAsia" w:ascii="宋体" w:hAnsi="宋体" w:eastAsia="宋体" w:cs="宋体"/>
                <w:sz w:val="24"/>
                <w:szCs w:val="24"/>
                <w:lang w:val="en-US" w:eastAsia="zh-CN"/>
              </w:rPr>
              <w:t>分，满分</w:t>
            </w:r>
            <w:r>
              <w:rPr>
                <w:rFonts w:hint="eastAsia" w:hAnsi="宋体" w:cs="宋体"/>
                <w:sz w:val="24"/>
                <w:szCs w:val="24"/>
                <w:lang w:val="en-US" w:eastAsia="zh-CN"/>
              </w:rPr>
              <w:t>6</w:t>
            </w:r>
            <w:r>
              <w:rPr>
                <w:rFonts w:hint="eastAsia" w:ascii="宋体" w:hAnsi="宋体" w:eastAsia="宋体" w:cs="宋体"/>
                <w:sz w:val="24"/>
                <w:szCs w:val="24"/>
                <w:lang w:val="en-US" w:eastAsia="zh-CN"/>
              </w:rPr>
              <w:t>分；</w:t>
            </w:r>
          </w:p>
          <w:p w14:paraId="423DFA31">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②场地搭建方案：每完全满足一个评审标准得</w:t>
            </w:r>
            <w:r>
              <w:rPr>
                <w:rFonts w:hint="eastAsia" w:hAnsi="宋体" w:cs="宋体"/>
                <w:sz w:val="24"/>
                <w:szCs w:val="24"/>
                <w:lang w:val="en-US" w:eastAsia="zh-CN"/>
              </w:rPr>
              <w:t>1</w:t>
            </w:r>
            <w:r>
              <w:rPr>
                <w:rFonts w:hint="eastAsia" w:ascii="宋体" w:hAnsi="宋体" w:eastAsia="宋体" w:cs="宋体"/>
                <w:sz w:val="24"/>
                <w:szCs w:val="24"/>
                <w:lang w:val="en-US" w:eastAsia="zh-CN"/>
              </w:rPr>
              <w:t>分，满分</w:t>
            </w:r>
            <w:r>
              <w:rPr>
                <w:rFonts w:hint="eastAsia" w:hAnsi="宋体" w:cs="宋体"/>
                <w:sz w:val="24"/>
                <w:szCs w:val="24"/>
                <w:lang w:val="en-US" w:eastAsia="zh-CN"/>
              </w:rPr>
              <w:t>3</w:t>
            </w:r>
            <w:r>
              <w:rPr>
                <w:rFonts w:hint="eastAsia" w:ascii="宋体" w:hAnsi="宋体" w:eastAsia="宋体" w:cs="宋体"/>
                <w:sz w:val="24"/>
                <w:szCs w:val="24"/>
                <w:lang w:val="en-US" w:eastAsia="zh-CN"/>
              </w:rPr>
              <w:t>分；</w:t>
            </w:r>
          </w:p>
          <w:p w14:paraId="250A6D35">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③活动物料制作</w:t>
            </w:r>
            <w:r>
              <w:rPr>
                <w:rFonts w:hint="eastAsia" w:hAnsi="宋体" w:cs="宋体"/>
                <w:sz w:val="24"/>
                <w:szCs w:val="24"/>
                <w:lang w:val="en-US" w:eastAsia="zh-CN"/>
              </w:rPr>
              <w:t>方案</w:t>
            </w:r>
            <w:r>
              <w:rPr>
                <w:rFonts w:hint="eastAsia" w:ascii="宋体" w:hAnsi="宋体" w:eastAsia="宋体" w:cs="宋体"/>
                <w:sz w:val="24"/>
                <w:szCs w:val="24"/>
                <w:lang w:val="en-US" w:eastAsia="zh-CN"/>
              </w:rPr>
              <w:t>：每完全满足一个评审标准得</w:t>
            </w:r>
            <w:r>
              <w:rPr>
                <w:rFonts w:hint="eastAsia" w:hAnsi="宋体" w:cs="宋体"/>
                <w:sz w:val="24"/>
                <w:szCs w:val="24"/>
                <w:lang w:val="en-US" w:eastAsia="zh-CN"/>
              </w:rPr>
              <w:t>1</w:t>
            </w:r>
            <w:r>
              <w:rPr>
                <w:rFonts w:hint="eastAsia" w:ascii="宋体" w:hAnsi="宋体" w:eastAsia="宋体" w:cs="宋体"/>
                <w:sz w:val="24"/>
                <w:szCs w:val="24"/>
                <w:lang w:val="en-US" w:eastAsia="zh-CN"/>
              </w:rPr>
              <w:t>分，满分</w:t>
            </w:r>
            <w:r>
              <w:rPr>
                <w:rFonts w:hint="eastAsia" w:hAnsi="宋体" w:cs="宋体"/>
                <w:sz w:val="24"/>
                <w:szCs w:val="24"/>
                <w:lang w:val="en-US" w:eastAsia="zh-CN"/>
              </w:rPr>
              <w:t>3</w:t>
            </w:r>
            <w:r>
              <w:rPr>
                <w:rFonts w:hint="eastAsia" w:ascii="宋体" w:hAnsi="宋体" w:eastAsia="宋体" w:cs="宋体"/>
                <w:sz w:val="24"/>
                <w:szCs w:val="24"/>
                <w:lang w:val="en-US" w:eastAsia="zh-CN"/>
              </w:rPr>
              <w:t>分；</w:t>
            </w:r>
          </w:p>
        </w:tc>
        <w:tc>
          <w:tcPr>
            <w:tcW w:w="964" w:type="dxa"/>
            <w:noWrap w:val="0"/>
            <w:vAlign w:val="center"/>
          </w:tcPr>
          <w:p w14:paraId="0C81C0AD">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主观</w:t>
            </w:r>
          </w:p>
        </w:tc>
        <w:tc>
          <w:tcPr>
            <w:tcW w:w="909" w:type="dxa"/>
            <w:noWrap w:val="0"/>
            <w:vAlign w:val="center"/>
          </w:tcPr>
          <w:p w14:paraId="12B21CAF">
            <w:pPr>
              <w:bidi w:val="0"/>
              <w:jc w:val="center"/>
              <w:rPr>
                <w:rFonts w:hint="eastAsia" w:ascii="宋体" w:hAnsi="宋体" w:eastAsia="宋体" w:cs="宋体"/>
                <w:sz w:val="24"/>
                <w:szCs w:val="24"/>
                <w:lang w:val="en-US" w:eastAsia="zh-CN"/>
              </w:rPr>
            </w:pPr>
            <w:r>
              <w:rPr>
                <w:rFonts w:hint="eastAsia" w:hAnsi="宋体" w:cs="宋体"/>
                <w:sz w:val="24"/>
                <w:szCs w:val="24"/>
                <w:lang w:val="en-US" w:eastAsia="zh-CN"/>
              </w:rPr>
              <w:t>12</w:t>
            </w:r>
            <w:r>
              <w:rPr>
                <w:rFonts w:hint="eastAsia" w:ascii="宋体" w:hAnsi="宋体" w:eastAsia="宋体" w:cs="宋体"/>
                <w:sz w:val="24"/>
                <w:szCs w:val="24"/>
                <w:lang w:val="en-US" w:eastAsia="zh-CN"/>
              </w:rPr>
              <w:t>分</w:t>
            </w:r>
          </w:p>
        </w:tc>
      </w:tr>
      <w:tr w14:paraId="39059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noWrap w:val="0"/>
            <w:vAlign w:val="center"/>
          </w:tcPr>
          <w:p w14:paraId="6FCD46BC">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项目保障措施</w:t>
            </w:r>
          </w:p>
        </w:tc>
        <w:tc>
          <w:tcPr>
            <w:tcW w:w="6713" w:type="dxa"/>
            <w:noWrap w:val="0"/>
            <w:vAlign w:val="center"/>
          </w:tcPr>
          <w:p w14:paraId="3FBE70E6">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评审内容：</w:t>
            </w:r>
          </w:p>
          <w:p w14:paraId="006DB4BA">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针对本项目提出适用于本项目的项目保障措施，包括：①</w:t>
            </w:r>
            <w:r>
              <w:rPr>
                <w:rFonts w:hint="eastAsia" w:ascii="宋体" w:hAnsi="宋体" w:eastAsia="宋体" w:cs="宋体"/>
                <w:sz w:val="24"/>
                <w:szCs w:val="24"/>
              </w:rPr>
              <w:t>项目重难点分析及应对措施</w:t>
            </w:r>
            <w:r>
              <w:rPr>
                <w:rFonts w:hint="eastAsia" w:ascii="宋体" w:hAnsi="宋体" w:eastAsia="宋体" w:cs="宋体"/>
                <w:sz w:val="24"/>
                <w:szCs w:val="24"/>
                <w:lang w:val="en-US" w:eastAsia="zh-CN"/>
              </w:rPr>
              <w:t>②</w:t>
            </w:r>
            <w:r>
              <w:rPr>
                <w:rFonts w:ascii="宋体" w:hAnsi="宋体" w:eastAsia="宋体" w:cs="宋体"/>
                <w:sz w:val="24"/>
                <w:szCs w:val="24"/>
              </w:rPr>
              <w:t>现场应急与长效回访服务机制</w:t>
            </w:r>
          </w:p>
          <w:p w14:paraId="0257177D">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二、评审标准：</w:t>
            </w:r>
          </w:p>
          <w:p w14:paraId="3B15C519">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1、完整性：方案必须全面，对评审内容中的各项要求有详细描述；</w:t>
            </w:r>
          </w:p>
          <w:p w14:paraId="4AB5FF9A">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2、可实施性：切合本项目实际情况，提出步骤清晰、合理的方案；</w:t>
            </w:r>
          </w:p>
          <w:p w14:paraId="5123932B">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3、针对性：方案能够紧扣项目实际情况，内容科学合理。</w:t>
            </w:r>
          </w:p>
          <w:p w14:paraId="6734AE3D">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三、赋分标准（满分6分）</w:t>
            </w:r>
          </w:p>
          <w:p w14:paraId="5BC6A15F">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w:t>
            </w:r>
            <w:r>
              <w:rPr>
                <w:rFonts w:hint="eastAsia" w:ascii="宋体" w:hAnsi="宋体" w:eastAsia="宋体" w:cs="宋体"/>
                <w:sz w:val="24"/>
                <w:szCs w:val="24"/>
              </w:rPr>
              <w:t>项目重难点分析及应对措施</w:t>
            </w:r>
            <w:r>
              <w:rPr>
                <w:rFonts w:hint="eastAsia" w:ascii="宋体" w:hAnsi="宋体" w:eastAsia="宋体" w:cs="宋体"/>
                <w:sz w:val="24"/>
                <w:szCs w:val="24"/>
                <w:lang w:val="en-US" w:eastAsia="zh-CN"/>
              </w:rPr>
              <w:t>：每完全满足一个评审标准得1分，满分3分；</w:t>
            </w:r>
          </w:p>
          <w:p w14:paraId="57CBD13C">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w:t>
            </w:r>
            <w:r>
              <w:rPr>
                <w:rFonts w:ascii="宋体" w:hAnsi="宋体" w:eastAsia="宋体" w:cs="宋体"/>
                <w:sz w:val="24"/>
                <w:szCs w:val="24"/>
              </w:rPr>
              <w:t>现场应急与长效回访服务机制</w:t>
            </w:r>
            <w:r>
              <w:rPr>
                <w:rFonts w:hint="eastAsia" w:ascii="宋体" w:hAnsi="宋体" w:eastAsia="宋体" w:cs="宋体"/>
                <w:sz w:val="24"/>
                <w:szCs w:val="24"/>
                <w:lang w:val="en-US" w:eastAsia="zh-CN"/>
              </w:rPr>
              <w:t>：每完全满足一个评审标准得1分，满分3分；</w:t>
            </w:r>
          </w:p>
        </w:tc>
        <w:tc>
          <w:tcPr>
            <w:tcW w:w="964" w:type="dxa"/>
            <w:noWrap w:val="0"/>
            <w:vAlign w:val="center"/>
          </w:tcPr>
          <w:p w14:paraId="2F957F32">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主观</w:t>
            </w:r>
          </w:p>
        </w:tc>
        <w:tc>
          <w:tcPr>
            <w:tcW w:w="909" w:type="dxa"/>
            <w:noWrap w:val="0"/>
            <w:vAlign w:val="center"/>
          </w:tcPr>
          <w:p w14:paraId="269BEF7A">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分</w:t>
            </w:r>
          </w:p>
        </w:tc>
      </w:tr>
      <w:tr w14:paraId="38DAD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noWrap w:val="0"/>
            <w:vAlign w:val="center"/>
          </w:tcPr>
          <w:p w14:paraId="1E4F8BCD">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质量保证措施</w:t>
            </w:r>
          </w:p>
        </w:tc>
        <w:tc>
          <w:tcPr>
            <w:tcW w:w="6713" w:type="dxa"/>
            <w:noWrap w:val="0"/>
            <w:vAlign w:val="center"/>
          </w:tcPr>
          <w:p w14:paraId="46D16E14">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一、评审内容：</w:t>
            </w:r>
          </w:p>
          <w:p w14:paraId="644BA809">
            <w:pPr>
              <w:bidi w:val="0"/>
              <w:rPr>
                <w:rFonts w:hint="eastAsia" w:ascii="宋体" w:hAnsi="宋体" w:eastAsia="宋体" w:cs="宋体"/>
                <w:sz w:val="24"/>
                <w:szCs w:val="24"/>
              </w:rPr>
            </w:pPr>
            <w:r>
              <w:rPr>
                <w:rFonts w:hint="eastAsia" w:ascii="宋体" w:hAnsi="宋体" w:eastAsia="宋体" w:cs="宋体"/>
                <w:sz w:val="24"/>
                <w:szCs w:val="24"/>
                <w:lang w:val="en-US" w:eastAsia="zh-CN"/>
              </w:rPr>
              <w:t>针对采购需求提出适用于本项目的质量保证措施方案，方案包括：①质量保证措施②质量管理体系</w:t>
            </w:r>
          </w:p>
          <w:p w14:paraId="2853F5C0">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二、评审标准： </w:t>
            </w:r>
          </w:p>
          <w:p w14:paraId="6B9562CB">
            <w:pPr>
              <w:bidi w:val="0"/>
              <w:rPr>
                <w:rFonts w:hint="eastAsia" w:ascii="宋体" w:hAnsi="宋体" w:eastAsia="宋体" w:cs="宋体"/>
                <w:sz w:val="24"/>
                <w:szCs w:val="24"/>
                <w:lang w:val="en-US" w:eastAsia="zh-CN"/>
              </w:rPr>
            </w:pPr>
            <w:r>
              <w:rPr>
                <w:rFonts w:hint="eastAsia" w:hAnsi="宋体" w:cs="宋体"/>
                <w:sz w:val="24"/>
                <w:szCs w:val="24"/>
                <w:lang w:val="en-US" w:eastAsia="zh-CN"/>
              </w:rPr>
              <w:t>1、</w:t>
            </w:r>
            <w:r>
              <w:rPr>
                <w:rFonts w:hint="eastAsia" w:ascii="宋体" w:hAnsi="宋体" w:eastAsia="宋体" w:cs="宋体"/>
                <w:sz w:val="24"/>
                <w:szCs w:val="24"/>
                <w:lang w:val="en-US" w:eastAsia="zh-CN"/>
              </w:rPr>
              <w:t>完整性：方案必须全面，对评审内容中的各项要求有详细描述；</w:t>
            </w:r>
          </w:p>
          <w:p w14:paraId="398A456B">
            <w:pPr>
              <w:bidi w:val="0"/>
              <w:rPr>
                <w:rFonts w:hint="eastAsia" w:ascii="宋体" w:hAnsi="宋体" w:eastAsia="宋体" w:cs="宋体"/>
                <w:sz w:val="24"/>
                <w:szCs w:val="24"/>
                <w:lang w:val="en-US" w:eastAsia="zh-CN"/>
              </w:rPr>
            </w:pPr>
            <w:r>
              <w:rPr>
                <w:rFonts w:hint="eastAsia" w:hAnsi="宋体" w:cs="宋体"/>
                <w:sz w:val="24"/>
                <w:szCs w:val="24"/>
                <w:lang w:val="en-US" w:eastAsia="zh-CN"/>
              </w:rPr>
              <w:t>2、</w:t>
            </w:r>
            <w:r>
              <w:rPr>
                <w:rFonts w:hint="eastAsia" w:ascii="宋体" w:hAnsi="宋体" w:eastAsia="宋体" w:cs="宋体"/>
                <w:sz w:val="24"/>
                <w:szCs w:val="24"/>
                <w:lang w:val="en-US" w:eastAsia="zh-CN"/>
              </w:rPr>
              <w:t xml:space="preserve">可实施性：切合本项目实际情况，提出步骤清晰、合理的方案； </w:t>
            </w:r>
          </w:p>
          <w:p w14:paraId="25B4B652">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三、赋分标准（满分</w:t>
            </w:r>
            <w:r>
              <w:rPr>
                <w:rFonts w:hint="eastAsia" w:hAnsi="宋体" w:cs="宋体"/>
                <w:sz w:val="24"/>
                <w:szCs w:val="24"/>
                <w:lang w:val="en-US" w:eastAsia="zh-CN"/>
              </w:rPr>
              <w:t>4</w:t>
            </w:r>
            <w:r>
              <w:rPr>
                <w:rFonts w:hint="eastAsia" w:ascii="宋体" w:hAnsi="宋体" w:eastAsia="宋体" w:cs="宋体"/>
                <w:sz w:val="24"/>
                <w:szCs w:val="24"/>
                <w:lang w:val="en-US" w:eastAsia="zh-CN"/>
              </w:rPr>
              <w:t>分）</w:t>
            </w:r>
          </w:p>
          <w:p w14:paraId="7B59E505">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①质量保证措施：每完全满足一个评审标准得</w:t>
            </w:r>
            <w:r>
              <w:rPr>
                <w:rFonts w:hint="eastAsia" w:hAnsi="宋体" w:cs="宋体"/>
                <w:sz w:val="24"/>
                <w:szCs w:val="24"/>
                <w:lang w:val="en-US" w:eastAsia="zh-CN"/>
              </w:rPr>
              <w:t>1</w:t>
            </w:r>
            <w:r>
              <w:rPr>
                <w:rFonts w:hint="eastAsia" w:ascii="宋体" w:hAnsi="宋体" w:eastAsia="宋体" w:cs="宋体"/>
                <w:sz w:val="24"/>
                <w:szCs w:val="24"/>
                <w:lang w:val="en-US" w:eastAsia="zh-CN"/>
              </w:rPr>
              <w:t>分，满分</w:t>
            </w:r>
            <w:r>
              <w:rPr>
                <w:rFonts w:hint="eastAsia" w:hAnsi="宋体" w:cs="宋体"/>
                <w:sz w:val="24"/>
                <w:szCs w:val="24"/>
                <w:lang w:val="en-US" w:eastAsia="zh-CN"/>
              </w:rPr>
              <w:t>2</w:t>
            </w:r>
            <w:r>
              <w:rPr>
                <w:rFonts w:hint="eastAsia" w:ascii="宋体" w:hAnsi="宋体" w:eastAsia="宋体" w:cs="宋体"/>
                <w:sz w:val="24"/>
                <w:szCs w:val="24"/>
                <w:lang w:val="en-US" w:eastAsia="zh-CN"/>
              </w:rPr>
              <w:t>分；</w:t>
            </w:r>
          </w:p>
          <w:p w14:paraId="450D6C3A">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②质量管理体系：每完全满足一个评审标准得</w:t>
            </w:r>
            <w:r>
              <w:rPr>
                <w:rFonts w:hint="eastAsia" w:hAnsi="宋体" w:cs="宋体"/>
                <w:sz w:val="24"/>
                <w:szCs w:val="24"/>
                <w:lang w:val="en-US" w:eastAsia="zh-CN"/>
              </w:rPr>
              <w:t>1</w:t>
            </w:r>
            <w:r>
              <w:rPr>
                <w:rFonts w:hint="eastAsia" w:ascii="宋体" w:hAnsi="宋体" w:eastAsia="宋体" w:cs="宋体"/>
                <w:sz w:val="24"/>
                <w:szCs w:val="24"/>
                <w:lang w:val="en-US" w:eastAsia="zh-CN"/>
              </w:rPr>
              <w:t>分，满分</w:t>
            </w:r>
            <w:r>
              <w:rPr>
                <w:rFonts w:hint="eastAsia" w:hAnsi="宋体" w:cs="宋体"/>
                <w:sz w:val="24"/>
                <w:szCs w:val="24"/>
                <w:lang w:val="en-US" w:eastAsia="zh-CN"/>
              </w:rPr>
              <w:t>2</w:t>
            </w:r>
            <w:r>
              <w:rPr>
                <w:rFonts w:hint="eastAsia" w:ascii="宋体" w:hAnsi="宋体" w:eastAsia="宋体" w:cs="宋体"/>
                <w:sz w:val="24"/>
                <w:szCs w:val="24"/>
                <w:lang w:val="en-US" w:eastAsia="zh-CN"/>
              </w:rPr>
              <w:t>分；</w:t>
            </w:r>
          </w:p>
        </w:tc>
        <w:tc>
          <w:tcPr>
            <w:tcW w:w="964" w:type="dxa"/>
            <w:noWrap w:val="0"/>
            <w:vAlign w:val="center"/>
          </w:tcPr>
          <w:p w14:paraId="5ED85B5B">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主观</w:t>
            </w:r>
          </w:p>
        </w:tc>
        <w:tc>
          <w:tcPr>
            <w:tcW w:w="909" w:type="dxa"/>
            <w:noWrap w:val="0"/>
            <w:vAlign w:val="center"/>
          </w:tcPr>
          <w:p w14:paraId="6C311E27">
            <w:pPr>
              <w:bidi w:val="0"/>
              <w:jc w:val="center"/>
              <w:rPr>
                <w:rFonts w:hint="eastAsia" w:ascii="宋体" w:hAnsi="宋体" w:eastAsia="宋体" w:cs="宋体"/>
                <w:sz w:val="24"/>
                <w:szCs w:val="24"/>
                <w:lang w:val="en-US" w:eastAsia="zh-CN"/>
              </w:rPr>
            </w:pPr>
            <w:r>
              <w:rPr>
                <w:rFonts w:hint="eastAsia" w:hAnsi="宋体" w:cs="宋体"/>
                <w:sz w:val="24"/>
                <w:szCs w:val="24"/>
                <w:lang w:val="en-US" w:eastAsia="zh-CN"/>
              </w:rPr>
              <w:t>4</w:t>
            </w:r>
            <w:r>
              <w:rPr>
                <w:rFonts w:hint="eastAsia" w:ascii="宋体" w:hAnsi="宋体" w:eastAsia="宋体" w:cs="宋体"/>
                <w:sz w:val="24"/>
                <w:szCs w:val="24"/>
                <w:lang w:val="en-US" w:eastAsia="zh-CN"/>
              </w:rPr>
              <w:t>分</w:t>
            </w:r>
          </w:p>
        </w:tc>
      </w:tr>
      <w:tr w14:paraId="64017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noWrap w:val="0"/>
            <w:vAlign w:val="center"/>
          </w:tcPr>
          <w:p w14:paraId="024CB55E">
            <w:pPr>
              <w:bidi w:val="0"/>
              <w:jc w:val="center"/>
              <w:rPr>
                <w:rFonts w:hint="eastAsia" w:ascii="宋体" w:hAnsi="宋体" w:eastAsia="宋体" w:cs="宋体"/>
                <w:sz w:val="24"/>
                <w:szCs w:val="24"/>
              </w:rPr>
            </w:pPr>
            <w:r>
              <w:rPr>
                <w:rFonts w:hint="eastAsia" w:ascii="宋体" w:hAnsi="宋体" w:eastAsia="宋体" w:cs="宋体"/>
                <w:sz w:val="24"/>
                <w:szCs w:val="24"/>
              </w:rPr>
              <w:t>业绩</w:t>
            </w:r>
          </w:p>
        </w:tc>
        <w:tc>
          <w:tcPr>
            <w:tcW w:w="6713" w:type="dxa"/>
            <w:noWrap w:val="0"/>
            <w:vAlign w:val="center"/>
          </w:tcPr>
          <w:p w14:paraId="4692C98B">
            <w:pPr>
              <w:bidi w:val="0"/>
              <w:rPr>
                <w:rFonts w:hint="eastAsia" w:ascii="宋体" w:hAnsi="宋体" w:eastAsia="宋体" w:cs="宋体"/>
                <w:sz w:val="24"/>
                <w:szCs w:val="24"/>
                <w:highlight w:val="none"/>
              </w:rPr>
            </w:pPr>
            <w:r>
              <w:rPr>
                <w:rFonts w:hint="eastAsia" w:ascii="宋体" w:hAnsi="宋体" w:eastAsia="宋体" w:cs="宋体"/>
                <w:sz w:val="24"/>
                <w:szCs w:val="24"/>
                <w:highlight w:val="none"/>
              </w:rPr>
              <w:t>提供</w:t>
            </w:r>
            <w:r>
              <w:rPr>
                <w:rFonts w:hint="eastAsia" w:ascii="宋体" w:hAnsi="宋体" w:eastAsia="宋体" w:cs="宋体"/>
                <w:sz w:val="24"/>
                <w:szCs w:val="24"/>
                <w:highlight w:val="none"/>
                <w:lang w:val="en-US" w:eastAsia="zh-CN"/>
              </w:rPr>
              <w:t>2023年1月以后</w:t>
            </w:r>
            <w:r>
              <w:rPr>
                <w:rFonts w:hint="eastAsia" w:ascii="宋体" w:hAnsi="宋体" w:eastAsia="宋体" w:cs="宋体"/>
                <w:sz w:val="24"/>
                <w:szCs w:val="24"/>
                <w:highlight w:val="none"/>
                <w:lang w:eastAsia="zh-CN"/>
              </w:rPr>
              <w:t>类似</w:t>
            </w:r>
            <w:r>
              <w:rPr>
                <w:rFonts w:hint="eastAsia" w:ascii="宋体" w:hAnsi="宋体" w:eastAsia="宋体" w:cs="宋体"/>
                <w:sz w:val="24"/>
                <w:szCs w:val="24"/>
                <w:highlight w:val="none"/>
                <w:lang w:val="en-US" w:eastAsia="zh-CN"/>
              </w:rPr>
              <w:t>本</w:t>
            </w:r>
            <w:r>
              <w:rPr>
                <w:rFonts w:hint="eastAsia" w:ascii="宋体" w:hAnsi="宋体" w:eastAsia="宋体" w:cs="宋体"/>
                <w:sz w:val="24"/>
                <w:szCs w:val="24"/>
                <w:highlight w:val="none"/>
              </w:rPr>
              <w:t>项目业绩，每提供一份计</w:t>
            </w:r>
            <w:r>
              <w:rPr>
                <w:rFonts w:hint="eastAsia" w:hAnsi="宋体" w:cs="宋体"/>
                <w:sz w:val="24"/>
                <w:szCs w:val="24"/>
                <w:highlight w:val="none"/>
                <w:lang w:val="en-US" w:eastAsia="zh-CN"/>
              </w:rPr>
              <w:t>2</w:t>
            </w:r>
            <w:r>
              <w:rPr>
                <w:rFonts w:hint="eastAsia" w:ascii="宋体" w:hAnsi="宋体" w:eastAsia="宋体" w:cs="宋体"/>
                <w:sz w:val="24"/>
                <w:szCs w:val="24"/>
                <w:highlight w:val="none"/>
              </w:rPr>
              <w:t>分，满分</w:t>
            </w:r>
            <w:r>
              <w:rPr>
                <w:rFonts w:hint="eastAsia" w:hAnsi="宋体" w:cs="宋体"/>
                <w:sz w:val="24"/>
                <w:szCs w:val="24"/>
                <w:highlight w:val="none"/>
                <w:lang w:val="en-US" w:eastAsia="zh-CN"/>
              </w:rPr>
              <w:t>6</w:t>
            </w:r>
            <w:r>
              <w:rPr>
                <w:rFonts w:hint="eastAsia" w:ascii="宋体" w:hAnsi="宋体" w:eastAsia="宋体" w:cs="宋体"/>
                <w:sz w:val="24"/>
                <w:szCs w:val="24"/>
                <w:highlight w:val="none"/>
              </w:rPr>
              <w:t>分（业绩以合同复印件</w:t>
            </w:r>
            <w:r>
              <w:rPr>
                <w:rFonts w:hint="eastAsia" w:ascii="宋体" w:hAnsi="宋体" w:eastAsia="宋体" w:cs="宋体"/>
                <w:sz w:val="24"/>
                <w:szCs w:val="24"/>
                <w:highlight w:val="none"/>
                <w:lang w:eastAsia="zh-CN"/>
              </w:rPr>
              <w:t>或中标通知书</w:t>
            </w:r>
            <w:r>
              <w:rPr>
                <w:rFonts w:hint="eastAsia" w:ascii="宋体" w:hAnsi="宋体" w:eastAsia="宋体" w:cs="宋体"/>
                <w:sz w:val="24"/>
                <w:szCs w:val="24"/>
                <w:highlight w:val="none"/>
              </w:rPr>
              <w:t>为依据）。</w:t>
            </w:r>
          </w:p>
        </w:tc>
        <w:tc>
          <w:tcPr>
            <w:tcW w:w="964" w:type="dxa"/>
            <w:noWrap w:val="0"/>
            <w:vAlign w:val="center"/>
          </w:tcPr>
          <w:p w14:paraId="57610A4C">
            <w:pPr>
              <w:bidi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客观</w:t>
            </w:r>
          </w:p>
        </w:tc>
        <w:tc>
          <w:tcPr>
            <w:tcW w:w="909" w:type="dxa"/>
            <w:noWrap w:val="0"/>
            <w:vAlign w:val="center"/>
          </w:tcPr>
          <w:p w14:paraId="4066A0EC">
            <w:pPr>
              <w:bidi w:val="0"/>
              <w:jc w:val="center"/>
              <w:rPr>
                <w:rFonts w:hint="eastAsia" w:ascii="宋体" w:hAnsi="宋体" w:eastAsia="宋体" w:cs="宋体"/>
                <w:sz w:val="24"/>
                <w:szCs w:val="24"/>
                <w:highlight w:val="none"/>
              </w:rPr>
            </w:pPr>
            <w:r>
              <w:rPr>
                <w:rFonts w:hint="eastAsia" w:hAnsi="宋体" w:cs="宋体"/>
                <w:sz w:val="24"/>
                <w:szCs w:val="24"/>
                <w:highlight w:val="none"/>
                <w:lang w:val="en-US" w:eastAsia="zh-CN"/>
              </w:rPr>
              <w:t>6</w:t>
            </w:r>
            <w:r>
              <w:rPr>
                <w:rFonts w:hint="eastAsia" w:ascii="宋体" w:hAnsi="宋体" w:eastAsia="宋体" w:cs="宋体"/>
                <w:sz w:val="24"/>
                <w:szCs w:val="24"/>
                <w:highlight w:val="none"/>
              </w:rPr>
              <w:t>分</w:t>
            </w:r>
          </w:p>
        </w:tc>
      </w:tr>
    </w:tbl>
    <w:p w14:paraId="349E0ED8">
      <w:pPr>
        <w:spacing w:line="360" w:lineRule="auto"/>
        <w:ind w:firstLine="480" w:firstLineChars="200"/>
        <w:jc w:val="left"/>
        <w:rPr>
          <w:rFonts w:hint="eastAsia" w:hAnsi="宋体" w:cs="宋体"/>
          <w:color w:val="auto"/>
          <w:szCs w:val="24"/>
          <w:highlight w:val="none"/>
        </w:rPr>
      </w:pPr>
      <w:r>
        <w:rPr>
          <w:rFonts w:hint="eastAsia" w:hAnsi="宋体" w:cs="宋体"/>
          <w:color w:val="auto"/>
          <w:szCs w:val="24"/>
          <w:highlight w:val="none"/>
        </w:rPr>
        <w:t>评价和比较以磋商响应文件为依据，从“价格评审”、“</w:t>
      </w:r>
      <w:r>
        <w:rPr>
          <w:rFonts w:hint="eastAsia" w:hAnsi="宋体" w:cs="宋体"/>
          <w:color w:val="auto"/>
          <w:szCs w:val="24"/>
          <w:highlight w:val="none"/>
          <w:lang w:val="en-US" w:eastAsia="zh-CN"/>
        </w:rPr>
        <w:t>技术方案</w:t>
      </w:r>
      <w:r>
        <w:rPr>
          <w:rFonts w:hint="eastAsia" w:hAnsi="宋体" w:cs="宋体"/>
          <w:color w:val="auto"/>
          <w:szCs w:val="24"/>
          <w:highlight w:val="none"/>
        </w:rPr>
        <w:t>”、“</w:t>
      </w:r>
      <w:r>
        <w:rPr>
          <w:rFonts w:hint="eastAsia" w:hAnsi="宋体" w:cs="宋体"/>
          <w:color w:val="auto"/>
          <w:szCs w:val="24"/>
          <w:highlight w:val="none"/>
          <w:lang w:val="en-US" w:eastAsia="zh-CN"/>
        </w:rPr>
        <w:t>履约能力</w:t>
      </w:r>
      <w:r>
        <w:rPr>
          <w:rFonts w:hint="eastAsia" w:hAnsi="宋体" w:cs="宋体"/>
          <w:color w:val="auto"/>
          <w:szCs w:val="24"/>
          <w:highlight w:val="none"/>
        </w:rPr>
        <w:t>”等方面进行评审并按照百分制进行赋分。</w:t>
      </w:r>
    </w:p>
    <w:p w14:paraId="4DD9CFC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评价和比较以磋商响应文件为依据，进行评审并按照百分制进行赋分。</w:t>
      </w:r>
    </w:p>
    <w:p w14:paraId="6F76C401">
      <w:pPr>
        <w:spacing w:line="460" w:lineRule="exact"/>
        <w:rPr>
          <w:rFonts w:hAnsi="宋体" w:cs="宋体"/>
          <w:b/>
          <w:color w:val="auto"/>
          <w:spacing w:val="4"/>
          <w:sz w:val="28"/>
          <w:szCs w:val="24"/>
          <w:highlight w:val="none"/>
        </w:rPr>
      </w:pPr>
      <w:r>
        <w:rPr>
          <w:rFonts w:hint="eastAsia" w:hAnsi="宋体" w:cs="宋体"/>
          <w:b/>
          <w:color w:val="auto"/>
          <w:spacing w:val="4"/>
          <w:sz w:val="28"/>
          <w:szCs w:val="24"/>
          <w:highlight w:val="none"/>
        </w:rPr>
        <w:t>五、定标：</w:t>
      </w:r>
    </w:p>
    <w:p w14:paraId="4F6D5DBD">
      <w:pPr>
        <w:spacing w:line="460" w:lineRule="exact"/>
        <w:ind w:firstLine="496" w:firstLineChars="200"/>
        <w:rPr>
          <w:rFonts w:hAnsi="宋体" w:cs="宋体"/>
          <w:color w:val="auto"/>
          <w:spacing w:val="4"/>
          <w:szCs w:val="24"/>
          <w:highlight w:val="none"/>
        </w:rPr>
      </w:pPr>
      <w:r>
        <w:rPr>
          <w:rFonts w:hint="eastAsia" w:hAnsi="宋体" w:cs="宋体"/>
          <w:color w:val="auto"/>
          <w:spacing w:val="4"/>
          <w:szCs w:val="24"/>
          <w:highlight w:val="none"/>
        </w:rPr>
        <w:t>1、评标结果由</w:t>
      </w:r>
      <w:r>
        <w:rPr>
          <w:rFonts w:hint="eastAsia" w:hAnsi="宋体" w:cs="宋体"/>
          <w:color w:val="auto"/>
          <w:szCs w:val="24"/>
          <w:highlight w:val="none"/>
        </w:rPr>
        <w:t>磋商小组</w:t>
      </w:r>
      <w:r>
        <w:rPr>
          <w:rFonts w:hint="eastAsia" w:hAnsi="宋体" w:cs="宋体"/>
          <w:color w:val="auto"/>
          <w:spacing w:val="4"/>
          <w:szCs w:val="24"/>
          <w:highlight w:val="none"/>
        </w:rPr>
        <w:t>全体</w:t>
      </w:r>
      <w:r>
        <w:rPr>
          <w:rFonts w:hint="eastAsia" w:hAnsi="宋体" w:cs="宋体"/>
          <w:color w:val="auto"/>
          <w:szCs w:val="24"/>
          <w:highlight w:val="none"/>
        </w:rPr>
        <w:t>成员</w:t>
      </w:r>
      <w:r>
        <w:rPr>
          <w:rFonts w:hint="eastAsia" w:hAnsi="宋体" w:cs="宋体"/>
          <w:color w:val="auto"/>
          <w:spacing w:val="4"/>
          <w:szCs w:val="24"/>
          <w:highlight w:val="none"/>
        </w:rPr>
        <w:t>签字确认。</w:t>
      </w:r>
    </w:p>
    <w:p w14:paraId="13F7A836">
      <w:pPr>
        <w:spacing w:line="460" w:lineRule="exact"/>
        <w:ind w:firstLine="496" w:firstLineChars="200"/>
        <w:rPr>
          <w:rFonts w:hAnsi="宋体" w:cs="宋体"/>
          <w:color w:val="auto"/>
          <w:spacing w:val="4"/>
          <w:szCs w:val="24"/>
          <w:highlight w:val="none"/>
        </w:rPr>
      </w:pPr>
      <w:r>
        <w:rPr>
          <w:rFonts w:hint="eastAsia" w:hAnsi="宋体" w:cs="宋体"/>
          <w:color w:val="auto"/>
          <w:spacing w:val="4"/>
          <w:szCs w:val="24"/>
          <w:highlight w:val="none"/>
        </w:rPr>
        <w:t>2、采购人根据评标报告中推荐的成交候选人排列顺序确定供应商，以复函通知招标代理机构。</w:t>
      </w:r>
    </w:p>
    <w:p w14:paraId="48696715">
      <w:pPr>
        <w:pStyle w:val="17"/>
        <w:spacing w:line="360" w:lineRule="auto"/>
        <w:ind w:left="0" w:leftChars="0" w:firstLine="0" w:firstLineChars="0"/>
        <w:rPr>
          <w:rFonts w:cs="宋体"/>
          <w:b/>
          <w:color w:val="auto"/>
          <w:sz w:val="24"/>
          <w:szCs w:val="24"/>
          <w:highlight w:val="none"/>
        </w:rPr>
      </w:pPr>
      <w:r>
        <w:rPr>
          <w:rFonts w:hint="eastAsia" w:cs="宋体"/>
          <w:b/>
          <w:color w:val="auto"/>
          <w:sz w:val="24"/>
          <w:szCs w:val="24"/>
          <w:highlight w:val="none"/>
        </w:rPr>
        <w:br w:type="page"/>
      </w:r>
    </w:p>
    <w:p w14:paraId="4EDB189C">
      <w:pPr>
        <w:pStyle w:val="2"/>
        <w:jc w:val="center"/>
        <w:rPr>
          <w:rFonts w:ascii="宋体" w:eastAsia="宋体" w:cs="宋体"/>
          <w:bCs/>
          <w:color w:val="auto"/>
          <w:sz w:val="36"/>
          <w:szCs w:val="36"/>
          <w:highlight w:val="none"/>
        </w:rPr>
      </w:pPr>
      <w:bookmarkStart w:id="103" w:name="_Toc2724"/>
      <w:bookmarkStart w:id="104" w:name="_Toc10029"/>
      <w:bookmarkStart w:id="105" w:name="_Toc8788"/>
      <w:r>
        <w:rPr>
          <w:rFonts w:hint="eastAsia" w:ascii="宋体" w:eastAsia="宋体" w:cs="宋体"/>
          <w:bCs/>
          <w:color w:val="auto"/>
          <w:sz w:val="36"/>
          <w:szCs w:val="36"/>
          <w:highlight w:val="none"/>
        </w:rPr>
        <w:t>第四章  合同条款及格式</w:t>
      </w:r>
      <w:bookmarkEnd w:id="73"/>
      <w:bookmarkEnd w:id="74"/>
      <w:bookmarkEnd w:id="75"/>
      <w:bookmarkEnd w:id="103"/>
      <w:bookmarkEnd w:id="104"/>
      <w:bookmarkEnd w:id="105"/>
    </w:p>
    <w:p w14:paraId="534FA0C1">
      <w:pPr>
        <w:tabs>
          <w:tab w:val="left" w:pos="210"/>
          <w:tab w:val="left" w:pos="525"/>
        </w:tabs>
        <w:spacing w:line="360" w:lineRule="auto"/>
        <w:jc w:val="center"/>
        <w:outlineLvl w:val="1"/>
        <w:rPr>
          <w:rFonts w:hAnsi="宋体" w:cs="宋体"/>
          <w:color w:val="auto"/>
          <w:sz w:val="32"/>
          <w:szCs w:val="32"/>
          <w:highlight w:val="none"/>
        </w:rPr>
      </w:pPr>
      <w:bookmarkStart w:id="106" w:name="_Toc24218"/>
      <w:bookmarkStart w:id="107" w:name="_Toc3424"/>
      <w:bookmarkStart w:id="108" w:name="_Toc23705"/>
      <w:bookmarkStart w:id="109" w:name="_Toc32476"/>
      <w:bookmarkStart w:id="110" w:name="_Toc20005"/>
      <w:bookmarkStart w:id="111" w:name="_Toc26300"/>
      <w:r>
        <w:rPr>
          <w:rFonts w:hint="eastAsia" w:hAnsi="宋体" w:cs="宋体"/>
          <w:b/>
          <w:bCs/>
          <w:color w:val="auto"/>
          <w:sz w:val="32"/>
          <w:szCs w:val="32"/>
          <w:highlight w:val="none"/>
        </w:rPr>
        <w:t>合同前附表</w:t>
      </w:r>
      <w:bookmarkEnd w:id="106"/>
      <w:bookmarkEnd w:id="107"/>
      <w:bookmarkEnd w:id="108"/>
      <w:bookmarkEnd w:id="109"/>
      <w:bookmarkEnd w:id="110"/>
      <w:bookmarkEnd w:id="111"/>
    </w:p>
    <w:p w14:paraId="545D4F3B">
      <w:pPr>
        <w:rPr>
          <w:rFonts w:hAnsi="宋体" w:cs="宋体"/>
          <w:color w:val="auto"/>
          <w:highlight w:val="none"/>
        </w:rPr>
      </w:pPr>
    </w:p>
    <w:p w14:paraId="735DCC63">
      <w:pPr>
        <w:rPr>
          <w:rFonts w:hAnsi="宋体" w:cs="宋体"/>
          <w:color w:val="auto"/>
          <w:szCs w:val="24"/>
          <w:highlight w:val="none"/>
        </w:rPr>
      </w:pPr>
      <w:r>
        <w:rPr>
          <w:rFonts w:hint="eastAsia" w:hAnsi="宋体" w:cs="宋体"/>
          <w:color w:val="auto"/>
          <w:szCs w:val="24"/>
          <w:highlight w:val="none"/>
        </w:rPr>
        <w:t>本表是对合同条款的具体补充和修改，如有矛盾，应以本资料表为准。</w:t>
      </w:r>
    </w:p>
    <w:tbl>
      <w:tblPr>
        <w:tblStyle w:val="22"/>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12"/>
        <w:gridCol w:w="8440"/>
      </w:tblGrid>
      <w:tr w14:paraId="601816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65D53542">
            <w:pPr>
              <w:spacing w:line="360" w:lineRule="auto"/>
              <w:jc w:val="center"/>
              <w:rPr>
                <w:rFonts w:hAnsi="宋体" w:cs="宋体"/>
                <w:color w:val="auto"/>
                <w:sz w:val="22"/>
                <w:szCs w:val="22"/>
                <w:highlight w:val="none"/>
              </w:rPr>
            </w:pPr>
            <w:r>
              <w:rPr>
                <w:rFonts w:hint="eastAsia" w:hAnsi="宋体" w:cs="宋体"/>
                <w:color w:val="auto"/>
                <w:sz w:val="22"/>
                <w:szCs w:val="22"/>
                <w:highlight w:val="none"/>
              </w:rPr>
              <w:t>条款号</w:t>
            </w:r>
          </w:p>
        </w:tc>
        <w:tc>
          <w:tcPr>
            <w:tcW w:w="8440" w:type="dxa"/>
            <w:vAlign w:val="center"/>
          </w:tcPr>
          <w:p w14:paraId="230CB974">
            <w:pPr>
              <w:spacing w:line="360" w:lineRule="auto"/>
              <w:jc w:val="center"/>
              <w:rPr>
                <w:rFonts w:hAnsi="宋体" w:cs="宋体"/>
                <w:color w:val="auto"/>
                <w:sz w:val="22"/>
                <w:szCs w:val="22"/>
                <w:highlight w:val="none"/>
              </w:rPr>
            </w:pPr>
            <w:r>
              <w:rPr>
                <w:rFonts w:hint="eastAsia" w:hAnsi="宋体" w:cs="宋体"/>
                <w:color w:val="auto"/>
                <w:sz w:val="22"/>
                <w:szCs w:val="22"/>
                <w:highlight w:val="none"/>
              </w:rPr>
              <w:t>内      容</w:t>
            </w:r>
          </w:p>
        </w:tc>
      </w:tr>
      <w:tr w14:paraId="19CE61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4DAA6E84">
            <w:pPr>
              <w:spacing w:line="360" w:lineRule="auto"/>
              <w:jc w:val="center"/>
              <w:rPr>
                <w:rFonts w:hAnsi="宋体" w:cs="宋体"/>
                <w:color w:val="auto"/>
                <w:sz w:val="22"/>
                <w:szCs w:val="22"/>
                <w:highlight w:val="none"/>
              </w:rPr>
            </w:pPr>
            <w:r>
              <w:rPr>
                <w:rFonts w:hint="eastAsia" w:hAnsi="宋体" w:cs="宋体"/>
                <w:color w:val="auto"/>
                <w:sz w:val="22"/>
                <w:szCs w:val="22"/>
                <w:highlight w:val="none"/>
              </w:rPr>
              <w:t>1</w:t>
            </w:r>
          </w:p>
        </w:tc>
        <w:tc>
          <w:tcPr>
            <w:tcW w:w="8440" w:type="dxa"/>
            <w:vAlign w:val="center"/>
          </w:tcPr>
          <w:p w14:paraId="7425C9C2">
            <w:pPr>
              <w:spacing w:line="360" w:lineRule="auto"/>
              <w:rPr>
                <w:rFonts w:hint="eastAsia" w:hAnsi="宋体" w:eastAsia="宋体" w:cs="宋体"/>
                <w:color w:val="auto"/>
                <w:sz w:val="22"/>
                <w:szCs w:val="22"/>
                <w:highlight w:val="none"/>
                <w:lang w:eastAsia="zh-CN"/>
              </w:rPr>
            </w:pPr>
            <w:r>
              <w:rPr>
                <w:rFonts w:hint="eastAsia" w:hAnsi="宋体" w:cs="宋体"/>
                <w:color w:val="auto"/>
                <w:sz w:val="22"/>
                <w:szCs w:val="22"/>
                <w:highlight w:val="none"/>
              </w:rPr>
              <w:t>采购人名称：中共西安市委网络安全和信息化委员会办公室</w:t>
            </w:r>
          </w:p>
          <w:p w14:paraId="3CBA9BD3">
            <w:pPr>
              <w:spacing w:line="360" w:lineRule="auto"/>
              <w:rPr>
                <w:rFonts w:hint="eastAsia" w:hAnsi="宋体" w:eastAsia="宋体" w:cs="宋体"/>
                <w:color w:val="auto"/>
                <w:sz w:val="22"/>
                <w:szCs w:val="22"/>
                <w:highlight w:val="none"/>
                <w:lang w:eastAsia="zh-CN"/>
              </w:rPr>
            </w:pPr>
            <w:r>
              <w:rPr>
                <w:rFonts w:hint="eastAsia" w:hAnsi="宋体" w:cs="宋体"/>
                <w:color w:val="auto"/>
                <w:sz w:val="22"/>
                <w:szCs w:val="22"/>
                <w:highlight w:val="none"/>
              </w:rPr>
              <w:t>地      址：陕西省西安市凤城八路99号</w:t>
            </w:r>
          </w:p>
          <w:p w14:paraId="2D253657">
            <w:pPr>
              <w:spacing w:line="360" w:lineRule="auto"/>
              <w:rPr>
                <w:rFonts w:hint="eastAsia" w:hAnsi="宋体" w:eastAsia="宋体" w:cs="宋体"/>
                <w:color w:val="auto"/>
                <w:sz w:val="22"/>
                <w:szCs w:val="22"/>
                <w:highlight w:val="none"/>
                <w:lang w:eastAsia="zh-CN"/>
              </w:rPr>
            </w:pPr>
            <w:r>
              <w:rPr>
                <w:rFonts w:hint="eastAsia" w:hAnsi="宋体" w:cs="宋体"/>
                <w:color w:val="auto"/>
                <w:sz w:val="22"/>
                <w:szCs w:val="22"/>
                <w:highlight w:val="none"/>
              </w:rPr>
              <w:t>项目名称：</w:t>
            </w:r>
            <w:r>
              <w:rPr>
                <w:rFonts w:hint="eastAsia" w:hAnsi="宋体" w:cs="宋体"/>
                <w:color w:val="auto"/>
                <w:sz w:val="22"/>
                <w:szCs w:val="22"/>
                <w:highlight w:val="none"/>
                <w:lang w:eastAsia="zh-CN"/>
              </w:rPr>
              <w:t>西安温度暖益绵长互联网科技助老公益活动</w:t>
            </w:r>
          </w:p>
        </w:tc>
      </w:tr>
      <w:tr w14:paraId="43A4A0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7448F80C">
            <w:pPr>
              <w:spacing w:line="360" w:lineRule="auto"/>
              <w:jc w:val="center"/>
              <w:rPr>
                <w:rFonts w:hAnsi="宋体" w:cs="宋体"/>
                <w:color w:val="auto"/>
                <w:sz w:val="22"/>
                <w:szCs w:val="22"/>
                <w:highlight w:val="none"/>
              </w:rPr>
            </w:pPr>
            <w:r>
              <w:rPr>
                <w:rFonts w:hint="eastAsia" w:hAnsi="宋体" w:cs="宋体"/>
                <w:color w:val="auto"/>
                <w:sz w:val="22"/>
                <w:szCs w:val="22"/>
                <w:highlight w:val="none"/>
              </w:rPr>
              <w:t>2</w:t>
            </w:r>
          </w:p>
        </w:tc>
        <w:tc>
          <w:tcPr>
            <w:tcW w:w="8440" w:type="dxa"/>
            <w:vAlign w:val="center"/>
          </w:tcPr>
          <w:p w14:paraId="4604D0A2">
            <w:pPr>
              <w:spacing w:line="360" w:lineRule="auto"/>
              <w:rPr>
                <w:rFonts w:hint="default" w:hAnsi="宋体" w:eastAsia="宋体" w:cs="宋体"/>
                <w:color w:val="auto"/>
                <w:sz w:val="22"/>
                <w:szCs w:val="22"/>
                <w:highlight w:val="none"/>
                <w:lang w:val="en-US" w:eastAsia="zh-CN"/>
              </w:rPr>
            </w:pPr>
            <w:r>
              <w:rPr>
                <w:rFonts w:hint="eastAsia" w:hAnsi="宋体" w:cs="宋体"/>
                <w:color w:val="auto"/>
                <w:sz w:val="22"/>
                <w:szCs w:val="22"/>
                <w:highlight w:val="none"/>
              </w:rPr>
              <w:t>项目实施地点：</w:t>
            </w:r>
            <w:r>
              <w:rPr>
                <w:rFonts w:hint="eastAsia" w:hAnsi="宋体" w:cs="宋体"/>
                <w:color w:val="auto"/>
                <w:sz w:val="22"/>
                <w:szCs w:val="22"/>
                <w:highlight w:val="none"/>
                <w:lang w:val="en-US" w:eastAsia="zh-CN"/>
              </w:rPr>
              <w:t>采购人指定地点</w:t>
            </w:r>
          </w:p>
        </w:tc>
      </w:tr>
      <w:tr w14:paraId="41874E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317C5F44">
            <w:pPr>
              <w:spacing w:line="360" w:lineRule="auto"/>
              <w:jc w:val="center"/>
              <w:rPr>
                <w:rFonts w:hAnsi="宋体" w:cs="宋体"/>
                <w:color w:val="auto"/>
                <w:sz w:val="22"/>
                <w:szCs w:val="22"/>
                <w:highlight w:val="none"/>
              </w:rPr>
            </w:pPr>
            <w:r>
              <w:rPr>
                <w:rFonts w:hint="eastAsia" w:hAnsi="宋体" w:cs="宋体"/>
                <w:color w:val="auto"/>
                <w:sz w:val="22"/>
                <w:szCs w:val="22"/>
                <w:highlight w:val="none"/>
              </w:rPr>
              <w:t>3</w:t>
            </w:r>
          </w:p>
        </w:tc>
        <w:tc>
          <w:tcPr>
            <w:tcW w:w="8440" w:type="dxa"/>
            <w:vAlign w:val="center"/>
          </w:tcPr>
          <w:p w14:paraId="35848137">
            <w:pPr>
              <w:pStyle w:val="7"/>
              <w:ind w:firstLine="0" w:firstLineChars="0"/>
              <w:rPr>
                <w:rFonts w:hint="eastAsia" w:hAnsi="宋体" w:eastAsia="宋体" w:cs="宋体"/>
                <w:color w:val="auto"/>
                <w:sz w:val="20"/>
                <w:szCs w:val="22"/>
                <w:highlight w:val="none"/>
                <w:lang w:val="en-US" w:eastAsia="zh-CN"/>
              </w:rPr>
            </w:pPr>
            <w:r>
              <w:rPr>
                <w:rFonts w:hint="eastAsia" w:ascii="宋体" w:hAnsi="宋体" w:cs="宋体"/>
                <w:color w:val="auto"/>
                <w:sz w:val="22"/>
                <w:szCs w:val="22"/>
                <w:highlight w:val="none"/>
              </w:rPr>
              <w:t>服务期限：合同签订之日起至2026年9月</w:t>
            </w:r>
            <w:r>
              <w:rPr>
                <w:rFonts w:hint="eastAsia" w:ascii="宋体" w:hAnsi="宋体" w:cs="宋体"/>
                <w:color w:val="auto"/>
                <w:sz w:val="22"/>
                <w:szCs w:val="22"/>
                <w:highlight w:val="none"/>
                <w:lang w:val="en-US" w:eastAsia="zh-CN"/>
              </w:rPr>
              <w:t>底</w:t>
            </w:r>
          </w:p>
        </w:tc>
      </w:tr>
      <w:tr w14:paraId="42B00D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5F5D66E7">
            <w:pPr>
              <w:spacing w:line="360" w:lineRule="auto"/>
              <w:jc w:val="center"/>
              <w:rPr>
                <w:rFonts w:hAnsi="宋体" w:cs="宋体"/>
                <w:color w:val="auto"/>
                <w:sz w:val="22"/>
                <w:szCs w:val="22"/>
                <w:highlight w:val="none"/>
              </w:rPr>
            </w:pPr>
            <w:r>
              <w:rPr>
                <w:rFonts w:hint="eastAsia" w:hAnsi="宋体" w:cs="宋体"/>
                <w:color w:val="auto"/>
                <w:sz w:val="22"/>
                <w:szCs w:val="22"/>
                <w:highlight w:val="none"/>
              </w:rPr>
              <w:t>4</w:t>
            </w:r>
          </w:p>
        </w:tc>
        <w:tc>
          <w:tcPr>
            <w:tcW w:w="8440" w:type="dxa"/>
            <w:vAlign w:val="center"/>
          </w:tcPr>
          <w:p w14:paraId="6A9CC273">
            <w:pPr>
              <w:spacing w:line="360" w:lineRule="auto"/>
              <w:rPr>
                <w:rFonts w:hAnsi="宋体" w:cs="宋体"/>
                <w:b/>
                <w:color w:val="auto"/>
                <w:sz w:val="22"/>
                <w:szCs w:val="22"/>
                <w:highlight w:val="none"/>
              </w:rPr>
            </w:pPr>
            <w:r>
              <w:rPr>
                <w:rFonts w:hint="eastAsia" w:hAnsi="宋体" w:cs="宋体"/>
                <w:b/>
                <w:color w:val="auto"/>
                <w:sz w:val="22"/>
                <w:szCs w:val="22"/>
                <w:highlight w:val="none"/>
              </w:rPr>
              <w:t>付款：</w:t>
            </w:r>
          </w:p>
          <w:p w14:paraId="0247E17D">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1.合同总价即成交价，不受市场价变化或实际工作量变化的影响。供应商应在磋商报价表中标明完成本次磋商所要求的全部服务的所有费用。</w:t>
            </w:r>
          </w:p>
          <w:p w14:paraId="0B171F78">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2.付款方式和程序：</w:t>
            </w:r>
          </w:p>
          <w:p w14:paraId="746F0C34">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2.1由采购人负责结算，在付款前，供应商必须开具全额发票给采购人（附详细清单）。</w:t>
            </w:r>
          </w:p>
          <w:p w14:paraId="1D7F835B">
            <w:pPr>
              <w:spacing w:line="360" w:lineRule="auto"/>
              <w:ind w:firstLine="440" w:firstLineChars="200"/>
              <w:rPr>
                <w:rFonts w:hint="eastAsia" w:hAnsi="宋体" w:cs="宋体"/>
                <w:color w:val="auto"/>
                <w:sz w:val="22"/>
                <w:szCs w:val="22"/>
                <w:highlight w:val="none"/>
              </w:rPr>
            </w:pPr>
            <w:r>
              <w:rPr>
                <w:rFonts w:hint="eastAsia" w:hAnsi="宋体" w:cs="宋体"/>
                <w:color w:val="auto"/>
                <w:sz w:val="22"/>
                <w:szCs w:val="22"/>
                <w:highlight w:val="none"/>
              </w:rPr>
              <w:t>2.2付款方式：</w:t>
            </w:r>
          </w:p>
          <w:p w14:paraId="3627868C">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服务费用分贰次支付，合同签订且供应商开具增值税正式发票后的10个工作日内，以银行转账形式向其支付本合同总费用的50%；合作结束后供应商提供结案报告，经市委网信办验收合格出具验收报告和绩效目标后30个工作日内，向供应商支付剩余50%服务费用。（具体以签订合同为准）。</w:t>
            </w:r>
          </w:p>
          <w:p w14:paraId="11EE0127">
            <w:pPr>
              <w:spacing w:line="360" w:lineRule="auto"/>
              <w:ind w:firstLine="442" w:firstLineChars="200"/>
              <w:rPr>
                <w:rFonts w:hAnsi="宋体" w:cs="宋体"/>
                <w:color w:val="auto"/>
                <w:sz w:val="22"/>
                <w:szCs w:val="22"/>
                <w:highlight w:val="none"/>
              </w:rPr>
            </w:pPr>
            <w:r>
              <w:rPr>
                <w:rFonts w:hint="eastAsia" w:hAnsi="宋体" w:cs="宋体"/>
                <w:b/>
                <w:color w:val="auto"/>
                <w:sz w:val="22"/>
                <w:szCs w:val="22"/>
                <w:highlight w:val="none"/>
              </w:rPr>
              <w:t>2.3支付方式：银行转账</w:t>
            </w:r>
          </w:p>
        </w:tc>
      </w:tr>
      <w:tr w14:paraId="5A276D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07D15F05">
            <w:pPr>
              <w:spacing w:line="360" w:lineRule="auto"/>
              <w:jc w:val="center"/>
              <w:rPr>
                <w:rFonts w:hAnsi="宋体" w:cs="宋体"/>
                <w:color w:val="auto"/>
                <w:sz w:val="22"/>
                <w:szCs w:val="22"/>
                <w:highlight w:val="none"/>
              </w:rPr>
            </w:pPr>
            <w:r>
              <w:rPr>
                <w:rFonts w:hint="eastAsia" w:hAnsi="宋体" w:cs="宋体"/>
                <w:color w:val="auto"/>
                <w:sz w:val="22"/>
                <w:szCs w:val="22"/>
                <w:highlight w:val="none"/>
              </w:rPr>
              <w:t>5</w:t>
            </w:r>
          </w:p>
        </w:tc>
        <w:tc>
          <w:tcPr>
            <w:tcW w:w="8440" w:type="dxa"/>
            <w:vAlign w:val="center"/>
          </w:tcPr>
          <w:p w14:paraId="7FC41AE5">
            <w:pPr>
              <w:spacing w:line="360" w:lineRule="auto"/>
              <w:rPr>
                <w:rFonts w:hAnsi="宋体" w:cs="宋体"/>
                <w:b/>
                <w:color w:val="auto"/>
                <w:sz w:val="22"/>
                <w:szCs w:val="22"/>
                <w:highlight w:val="none"/>
              </w:rPr>
            </w:pPr>
            <w:r>
              <w:rPr>
                <w:rFonts w:hint="eastAsia" w:hAnsi="宋体" w:cs="宋体"/>
                <w:b/>
                <w:color w:val="auto"/>
                <w:sz w:val="22"/>
                <w:szCs w:val="22"/>
                <w:highlight w:val="none"/>
              </w:rPr>
              <w:t>服务支持：</w:t>
            </w:r>
          </w:p>
          <w:p w14:paraId="49B1D659">
            <w:pPr>
              <w:spacing w:line="360" w:lineRule="auto"/>
              <w:ind w:firstLine="440" w:firstLineChars="200"/>
              <w:jc w:val="left"/>
              <w:rPr>
                <w:rFonts w:hAnsi="宋体" w:cs="宋体"/>
                <w:color w:val="auto"/>
                <w:sz w:val="22"/>
                <w:szCs w:val="22"/>
                <w:highlight w:val="none"/>
              </w:rPr>
            </w:pPr>
            <w:r>
              <w:rPr>
                <w:rFonts w:hint="eastAsia" w:hAnsi="宋体" w:cs="宋体"/>
                <w:bCs/>
                <w:color w:val="auto"/>
                <w:sz w:val="22"/>
                <w:szCs w:val="22"/>
                <w:highlight w:val="none"/>
              </w:rPr>
              <w:t>供应商在项目实施过程中，质量保障人员、资源不足或者执行不力，给项目质量带来的风险超出采购人认定的允许范围时，采购人可终止本项目的合作并进行索赔。</w:t>
            </w:r>
          </w:p>
        </w:tc>
      </w:tr>
      <w:tr w14:paraId="3267A6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4CAB2C9F">
            <w:pPr>
              <w:spacing w:line="360" w:lineRule="auto"/>
              <w:jc w:val="center"/>
              <w:rPr>
                <w:rFonts w:hAnsi="宋体" w:cs="宋体"/>
                <w:color w:val="auto"/>
                <w:sz w:val="22"/>
                <w:szCs w:val="22"/>
                <w:highlight w:val="none"/>
              </w:rPr>
            </w:pPr>
            <w:r>
              <w:rPr>
                <w:rFonts w:hint="eastAsia" w:hAnsi="宋体" w:cs="宋体"/>
                <w:color w:val="auto"/>
                <w:sz w:val="22"/>
                <w:szCs w:val="22"/>
                <w:highlight w:val="none"/>
              </w:rPr>
              <w:t>6</w:t>
            </w:r>
          </w:p>
        </w:tc>
        <w:tc>
          <w:tcPr>
            <w:tcW w:w="8440" w:type="dxa"/>
            <w:vAlign w:val="center"/>
          </w:tcPr>
          <w:p w14:paraId="53C90ADF">
            <w:pPr>
              <w:spacing w:line="360" w:lineRule="auto"/>
              <w:rPr>
                <w:rFonts w:hAnsi="宋体" w:cs="宋体"/>
                <w:b/>
                <w:color w:val="auto"/>
                <w:sz w:val="22"/>
                <w:szCs w:val="22"/>
                <w:highlight w:val="none"/>
              </w:rPr>
            </w:pPr>
            <w:r>
              <w:rPr>
                <w:rFonts w:hint="eastAsia" w:hAnsi="宋体" w:cs="宋体"/>
                <w:b/>
                <w:color w:val="auto"/>
                <w:sz w:val="22"/>
                <w:szCs w:val="22"/>
                <w:highlight w:val="none"/>
              </w:rPr>
              <w:t>知识产权、专利权：</w:t>
            </w:r>
          </w:p>
          <w:p w14:paraId="011EEA6E">
            <w:pPr>
              <w:tabs>
                <w:tab w:val="left" w:pos="498"/>
              </w:tabs>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供应商应对所提供的文稿及图像、影像材料，已取得合法知识产权或其使用权，供应商应保证所提供的服务不会出现因第三方提出侵犯其版权、商标权或其他知识产权而引发法律或经济纠纷，否则由供应商负责解决并承担全部责任；如因此影响到采购人的正常使用，采购人有权单方解除本合同，供应商应无条件向采购人退回已收取的全部合同价款。</w:t>
            </w:r>
          </w:p>
        </w:tc>
      </w:tr>
      <w:tr w14:paraId="2DEA51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60" w:hRule="atLeast"/>
        </w:trPr>
        <w:tc>
          <w:tcPr>
            <w:tcW w:w="912" w:type="dxa"/>
            <w:vAlign w:val="center"/>
          </w:tcPr>
          <w:p w14:paraId="51DED298">
            <w:pPr>
              <w:spacing w:line="360" w:lineRule="auto"/>
              <w:jc w:val="center"/>
              <w:rPr>
                <w:rFonts w:hAnsi="宋体" w:cs="宋体"/>
                <w:color w:val="auto"/>
                <w:sz w:val="22"/>
                <w:szCs w:val="22"/>
                <w:highlight w:val="none"/>
              </w:rPr>
            </w:pPr>
            <w:r>
              <w:rPr>
                <w:rFonts w:hint="eastAsia" w:hAnsi="宋体" w:cs="宋体"/>
                <w:color w:val="auto"/>
                <w:sz w:val="22"/>
                <w:szCs w:val="22"/>
                <w:highlight w:val="none"/>
              </w:rPr>
              <w:t>7</w:t>
            </w:r>
          </w:p>
        </w:tc>
        <w:tc>
          <w:tcPr>
            <w:tcW w:w="8440" w:type="dxa"/>
            <w:vAlign w:val="center"/>
          </w:tcPr>
          <w:p w14:paraId="417F6DB1">
            <w:pPr>
              <w:spacing w:line="360" w:lineRule="auto"/>
              <w:rPr>
                <w:rFonts w:hAnsi="宋体" w:cs="宋体"/>
                <w:b/>
                <w:color w:val="auto"/>
                <w:sz w:val="22"/>
                <w:szCs w:val="22"/>
                <w:highlight w:val="none"/>
              </w:rPr>
            </w:pPr>
            <w:r>
              <w:rPr>
                <w:rFonts w:hint="eastAsia" w:hAnsi="宋体" w:cs="宋体"/>
                <w:b/>
                <w:color w:val="auto"/>
                <w:sz w:val="22"/>
                <w:szCs w:val="22"/>
                <w:highlight w:val="none"/>
              </w:rPr>
              <w:t>违约责任：</w:t>
            </w:r>
          </w:p>
          <w:p w14:paraId="11A3C416">
            <w:pPr>
              <w:tabs>
                <w:tab w:val="left" w:pos="152"/>
              </w:tabs>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1、按《中华人民共和国民法典》中的相关条款执行。</w:t>
            </w:r>
          </w:p>
          <w:p w14:paraId="363EEA23">
            <w:pPr>
              <w:snapToGrid w:val="0"/>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2、未按合同要求提供服务或服务不能满足合同要求，采购人应当将服务商违约的情况以及拟采取的措施以书面形式报政府采购监管部门，根据政府采购监管部门的处理意见，采购人有权依据《中华人民共和国民法典》有关条款及合同约定终止合同，并要求服务商承担违约责任。同时，政府采购监管部门有权依据《</w:t>
            </w:r>
            <w:r>
              <w:rPr>
                <w:rFonts w:hint="eastAsia" w:hAnsi="宋体" w:cs="宋体"/>
                <w:color w:val="auto"/>
                <w:szCs w:val="24"/>
                <w:highlight w:val="none"/>
                <w:lang w:val="en-US" w:eastAsia="zh-CN"/>
              </w:rPr>
              <w:t>中华人民共和国</w:t>
            </w:r>
            <w:r>
              <w:rPr>
                <w:rFonts w:hint="eastAsia" w:hAnsi="宋体" w:cs="宋体"/>
                <w:color w:val="auto"/>
                <w:sz w:val="22"/>
                <w:szCs w:val="22"/>
                <w:highlight w:val="none"/>
              </w:rPr>
              <w:t>政府采购法》及相关法律法规对服务商的违法行为进行相应的处罚。</w:t>
            </w:r>
          </w:p>
        </w:tc>
      </w:tr>
      <w:tr w14:paraId="540CA0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3218D71C">
            <w:pPr>
              <w:spacing w:line="360" w:lineRule="auto"/>
              <w:jc w:val="center"/>
              <w:rPr>
                <w:rFonts w:hAnsi="宋体" w:cs="宋体"/>
                <w:color w:val="auto"/>
                <w:sz w:val="22"/>
                <w:szCs w:val="22"/>
                <w:highlight w:val="none"/>
              </w:rPr>
            </w:pPr>
            <w:r>
              <w:rPr>
                <w:rFonts w:hint="eastAsia" w:hAnsi="宋体" w:cs="宋体"/>
                <w:color w:val="auto"/>
                <w:sz w:val="22"/>
                <w:szCs w:val="22"/>
                <w:highlight w:val="none"/>
              </w:rPr>
              <w:t>8</w:t>
            </w:r>
          </w:p>
        </w:tc>
        <w:tc>
          <w:tcPr>
            <w:tcW w:w="8440" w:type="dxa"/>
            <w:vAlign w:val="center"/>
          </w:tcPr>
          <w:p w14:paraId="4EA77D40">
            <w:pPr>
              <w:spacing w:line="360" w:lineRule="auto"/>
              <w:rPr>
                <w:rFonts w:hAnsi="宋体" w:cs="宋体"/>
                <w:b/>
                <w:color w:val="auto"/>
                <w:sz w:val="22"/>
                <w:szCs w:val="22"/>
                <w:highlight w:val="none"/>
              </w:rPr>
            </w:pPr>
            <w:r>
              <w:rPr>
                <w:rFonts w:hint="eastAsia" w:hAnsi="宋体" w:cs="宋体"/>
                <w:b/>
                <w:color w:val="auto"/>
                <w:sz w:val="22"/>
                <w:szCs w:val="22"/>
                <w:highlight w:val="none"/>
              </w:rPr>
              <w:t>政府采购合同：</w:t>
            </w:r>
          </w:p>
          <w:p w14:paraId="580B0E61">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政府采购合同适用《中华人民共和国民法典》。采购人和供应商之间的权利和义务，应当按照平等、自愿的原则以合同方式约定。</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采购人可以委托采购代理机构代表其与供应商签订政府采购合同。由采购代理机构以采购人名义签订合同的，应当提交采购人的授权委托书，作为合同附件。</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采购人与中标、成交供应商应当在中标、成交通知书发出之日起</w:t>
            </w:r>
            <w:r>
              <w:rPr>
                <w:rFonts w:hint="eastAsia" w:hAnsi="宋体" w:cs="宋体"/>
                <w:color w:val="auto"/>
                <w:sz w:val="22"/>
                <w:szCs w:val="22"/>
                <w:highlight w:val="none"/>
                <w:lang w:val="en-US" w:eastAsia="zh-CN"/>
              </w:rPr>
              <w:t>三十</w:t>
            </w:r>
            <w:r>
              <w:rPr>
                <w:rFonts w:hint="eastAsia" w:hAnsi="宋体" w:cs="宋体"/>
                <w:color w:val="auto"/>
                <w:sz w:val="22"/>
                <w:szCs w:val="22"/>
                <w:highlight w:val="none"/>
              </w:rPr>
              <w:t>日内，按照采购文件确定的事项签订政府采购合同。</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中标、成交通知书对采购人和中标、成交供应商均具有法律效力。中标、成交通知书发出后，采购人改变中标、成交结果的，或者中标、成交供应商放弃中标、成交项目的，应当依法承担法律责任。</w:t>
            </w:r>
          </w:p>
          <w:p w14:paraId="4B43C2F4">
            <w:pPr>
              <w:pStyle w:val="12"/>
              <w:spacing w:line="360" w:lineRule="auto"/>
              <w:ind w:firstLine="440" w:firstLineChars="200"/>
              <w:rPr>
                <w:rFonts w:hAnsi="宋体" w:cs="宋体"/>
                <w:color w:val="auto"/>
                <w:kern w:val="0"/>
                <w:sz w:val="22"/>
                <w:szCs w:val="22"/>
                <w:highlight w:val="none"/>
              </w:rPr>
            </w:pPr>
            <w:r>
              <w:rPr>
                <w:rFonts w:hint="eastAsia" w:hAnsi="宋体" w:cs="宋体"/>
                <w:color w:val="auto"/>
                <w:sz w:val="22"/>
                <w:szCs w:val="22"/>
                <w:highlight w:val="none"/>
              </w:rPr>
              <w:t>经采购人同意，中标、成交供应商可以依法采取分包方式履行合同。政府采购合同分包履行的，中标、成交供应商就采购项目和分包项目向采购人负责，分包供应商就分包项目承担责任。</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政府采购合同的双方当事人不得擅自变更、中止或者终止合同。</w:t>
            </w:r>
            <w:r>
              <w:rPr>
                <w:rFonts w:hint="eastAsia" w:hAnsi="宋体" w:cs="宋体"/>
                <w:color w:val="auto"/>
                <w:sz w:val="22"/>
                <w:szCs w:val="22"/>
                <w:highlight w:val="none"/>
              </w:rPr>
              <w:br w:type="textWrapping"/>
            </w:r>
            <w:r>
              <w:rPr>
                <w:rFonts w:hint="eastAsia" w:hAnsi="宋体" w:cs="宋体"/>
                <w:color w:val="auto"/>
                <w:sz w:val="22"/>
                <w:szCs w:val="22"/>
                <w:highlight w:val="none"/>
              </w:rPr>
              <w:t>政府采购合同继续履行将损害国家利益和社会公共利益的，双方当事人应当变更、中止或者终止合同。有过错的一方应当承担赔偿责任，双方都有过错的，各自承担相应的责任。</w:t>
            </w:r>
          </w:p>
        </w:tc>
      </w:tr>
    </w:tbl>
    <w:p w14:paraId="7C64B045">
      <w:pPr>
        <w:rPr>
          <w:rFonts w:hAnsi="宋体" w:cs="宋体"/>
          <w:color w:val="auto"/>
          <w:sz w:val="32"/>
          <w:highlight w:val="none"/>
        </w:rPr>
      </w:pPr>
      <w:bookmarkStart w:id="112" w:name="_Toc8333"/>
      <w:bookmarkStart w:id="113" w:name="_Toc26595"/>
      <w:bookmarkStart w:id="114" w:name="_Toc31520"/>
      <w:bookmarkStart w:id="115" w:name="_Toc4679"/>
      <w:bookmarkStart w:id="116" w:name="_Toc423973075"/>
      <w:bookmarkStart w:id="117" w:name="_Toc389582037"/>
      <w:bookmarkStart w:id="118" w:name="_Toc29888"/>
      <w:bookmarkStart w:id="119" w:name="_Toc19246"/>
      <w:bookmarkStart w:id="120" w:name="_Toc19199"/>
      <w:r>
        <w:rPr>
          <w:rFonts w:hint="eastAsia" w:hAnsi="宋体" w:cs="宋体"/>
          <w:b/>
          <w:bCs/>
          <w:color w:val="auto"/>
          <w:sz w:val="48"/>
          <w:szCs w:val="48"/>
          <w:highlight w:val="none"/>
        </w:rPr>
        <w:br w:type="page"/>
      </w:r>
    </w:p>
    <w:tbl>
      <w:tblPr>
        <w:tblStyle w:val="22"/>
        <w:tblpPr w:leftFromText="180" w:rightFromText="180" w:vertAnchor="text" w:horzAnchor="page" w:tblpX="7952" w:tblpY="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5"/>
      </w:tblGrid>
      <w:tr w14:paraId="589A5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2475" w:type="dxa"/>
          </w:tcPr>
          <w:p w14:paraId="3B8905A9">
            <w:pPr>
              <w:jc w:val="center"/>
              <w:rPr>
                <w:rFonts w:hAnsi="宋体" w:cs="宋体"/>
                <w:b/>
                <w:color w:val="auto"/>
                <w:sz w:val="30"/>
                <w:szCs w:val="30"/>
                <w:highlight w:val="none"/>
              </w:rPr>
            </w:pPr>
            <w:r>
              <w:rPr>
                <w:rFonts w:hint="eastAsia" w:hAnsi="宋体" w:cs="宋体"/>
                <w:b/>
                <w:color w:val="auto"/>
                <w:sz w:val="30"/>
                <w:szCs w:val="30"/>
                <w:highlight w:val="none"/>
              </w:rPr>
              <w:t>竞争性磋商采购</w:t>
            </w:r>
          </w:p>
        </w:tc>
      </w:tr>
    </w:tbl>
    <w:p w14:paraId="3EAA67CA">
      <w:pPr>
        <w:outlineLvl w:val="1"/>
        <w:rPr>
          <w:rFonts w:hAnsi="宋体" w:cs="宋体"/>
          <w:b/>
          <w:color w:val="auto"/>
          <w:sz w:val="32"/>
          <w:szCs w:val="32"/>
          <w:highlight w:val="none"/>
        </w:rPr>
      </w:pPr>
      <w:bookmarkStart w:id="121" w:name="_Toc24004"/>
      <w:bookmarkStart w:id="122" w:name="_Toc1362"/>
      <w:bookmarkStart w:id="123" w:name="_Toc22328"/>
      <w:bookmarkStart w:id="124" w:name="_Toc5216"/>
      <w:bookmarkStart w:id="125" w:name="_Toc18120"/>
      <w:bookmarkStart w:id="126" w:name="_Toc7874"/>
      <w:r>
        <w:rPr>
          <w:rFonts w:hint="eastAsia" w:hAnsi="宋体" w:cs="宋体"/>
          <w:b/>
          <w:color w:val="auto"/>
          <w:sz w:val="32"/>
          <w:szCs w:val="32"/>
          <w:highlight w:val="none"/>
        </w:rPr>
        <w:t>政府采购项目</w:t>
      </w:r>
      <w:r>
        <w:rPr>
          <w:rFonts w:hint="eastAsia" w:hAnsi="宋体" w:cs="宋体"/>
          <w:b/>
          <w:bCs/>
          <w:color w:val="auto"/>
          <w:sz w:val="28"/>
          <w:szCs w:val="28"/>
          <w:highlight w:val="none"/>
        </w:rPr>
        <w:t>（</w:t>
      </w:r>
      <w:r>
        <w:rPr>
          <w:rFonts w:hint="eastAsia" w:hAnsi="宋体" w:cs="宋体"/>
          <w:b/>
          <w:color w:val="auto"/>
          <w:sz w:val="32"/>
          <w:szCs w:val="32"/>
          <w:highlight w:val="none"/>
        </w:rPr>
        <w:t>仅供参考）</w:t>
      </w:r>
      <w:bookmarkEnd w:id="121"/>
      <w:bookmarkEnd w:id="122"/>
      <w:bookmarkEnd w:id="123"/>
      <w:bookmarkEnd w:id="124"/>
      <w:bookmarkEnd w:id="125"/>
      <w:bookmarkEnd w:id="126"/>
      <w:r>
        <w:rPr>
          <w:rFonts w:hint="eastAsia" w:hAnsi="宋体" w:cs="宋体"/>
          <w:b/>
          <w:color w:val="auto"/>
          <w:sz w:val="32"/>
          <w:szCs w:val="32"/>
          <w:highlight w:val="none"/>
        </w:rPr>
        <w:t xml:space="preserve">                  </w:t>
      </w:r>
    </w:p>
    <w:p w14:paraId="370ADD14">
      <w:pPr>
        <w:rPr>
          <w:rFonts w:hAnsi="宋体" w:cs="宋体"/>
          <w:b/>
          <w:color w:val="auto"/>
          <w:sz w:val="32"/>
          <w:szCs w:val="32"/>
          <w:highlight w:val="none"/>
        </w:rPr>
      </w:pPr>
      <w:r>
        <w:rPr>
          <w:rFonts w:hint="eastAsia" w:hAnsi="宋体" w:cs="宋体"/>
          <w:b/>
          <w:color w:val="auto"/>
          <w:sz w:val="32"/>
          <w:szCs w:val="32"/>
          <w:highlight w:val="none"/>
        </w:rPr>
        <w:t xml:space="preserve">          </w:t>
      </w:r>
    </w:p>
    <w:p w14:paraId="59B487EE">
      <w:pPr>
        <w:jc w:val="center"/>
        <w:rPr>
          <w:rFonts w:hAnsi="宋体" w:cs="宋体"/>
          <w:color w:val="auto"/>
          <w:sz w:val="52"/>
          <w:szCs w:val="52"/>
          <w:highlight w:val="none"/>
        </w:rPr>
      </w:pPr>
    </w:p>
    <w:p w14:paraId="07AABEC9">
      <w:pPr>
        <w:jc w:val="center"/>
        <w:rPr>
          <w:rFonts w:hAnsi="宋体" w:cs="宋体"/>
          <w:color w:val="auto"/>
          <w:sz w:val="52"/>
          <w:szCs w:val="52"/>
          <w:highlight w:val="none"/>
        </w:rPr>
      </w:pPr>
    </w:p>
    <w:p w14:paraId="34927123">
      <w:pPr>
        <w:jc w:val="center"/>
        <w:rPr>
          <w:rFonts w:hAnsi="宋体" w:cs="宋体"/>
          <w:b/>
          <w:snapToGrid w:val="0"/>
          <w:color w:val="auto"/>
          <w:sz w:val="48"/>
          <w:szCs w:val="48"/>
          <w:highlight w:val="none"/>
          <w:u w:val="single"/>
        </w:rPr>
      </w:pPr>
      <w:r>
        <w:rPr>
          <w:rFonts w:hint="eastAsia" w:hAnsi="宋体" w:cs="宋体"/>
          <w:b/>
          <w:snapToGrid w:val="0"/>
          <w:color w:val="auto"/>
          <w:sz w:val="48"/>
          <w:szCs w:val="48"/>
          <w:highlight w:val="none"/>
          <w:u w:val="single"/>
        </w:rPr>
        <w:t>(项目名称)</w:t>
      </w:r>
    </w:p>
    <w:p w14:paraId="582BF8DC">
      <w:pPr>
        <w:jc w:val="center"/>
        <w:rPr>
          <w:rFonts w:hAnsi="宋体" w:cs="宋体"/>
          <w:b/>
          <w:color w:val="auto"/>
          <w:sz w:val="72"/>
          <w:szCs w:val="72"/>
          <w:highlight w:val="none"/>
        </w:rPr>
      </w:pPr>
      <w:r>
        <w:rPr>
          <w:rFonts w:hint="eastAsia" w:hAnsi="宋体" w:cs="宋体"/>
          <w:b/>
          <w:color w:val="auto"/>
          <w:sz w:val="72"/>
          <w:szCs w:val="72"/>
          <w:highlight w:val="none"/>
        </w:rPr>
        <w:t>服 务 合 同</w:t>
      </w:r>
    </w:p>
    <w:p w14:paraId="3859833D">
      <w:pPr>
        <w:jc w:val="center"/>
        <w:rPr>
          <w:rFonts w:hAnsi="宋体" w:cs="宋体"/>
          <w:color w:val="auto"/>
          <w:sz w:val="30"/>
          <w:szCs w:val="30"/>
          <w:highlight w:val="none"/>
        </w:rPr>
      </w:pPr>
      <w:r>
        <w:rPr>
          <w:rFonts w:hint="eastAsia" w:hAnsi="宋体" w:cs="宋体"/>
          <w:color w:val="auto"/>
          <w:sz w:val="30"/>
          <w:szCs w:val="30"/>
          <w:highlight w:val="none"/>
        </w:rPr>
        <w:t xml:space="preserve">（项目编号：      </w:t>
      </w:r>
      <w:r>
        <w:rPr>
          <w:rFonts w:hint="eastAsia" w:hAnsi="宋体" w:cs="宋体"/>
          <w:color w:val="auto"/>
          <w:sz w:val="28"/>
          <w:szCs w:val="28"/>
          <w:highlight w:val="none"/>
        </w:rPr>
        <w:t>）</w:t>
      </w:r>
    </w:p>
    <w:p w14:paraId="6B88E84B">
      <w:pPr>
        <w:jc w:val="center"/>
        <w:rPr>
          <w:rFonts w:hAnsi="宋体" w:cs="宋体"/>
          <w:color w:val="auto"/>
          <w:sz w:val="30"/>
          <w:szCs w:val="30"/>
          <w:highlight w:val="none"/>
        </w:rPr>
      </w:pPr>
    </w:p>
    <w:p w14:paraId="2F5BE5FB">
      <w:pPr>
        <w:jc w:val="center"/>
        <w:rPr>
          <w:rFonts w:hAnsi="宋体" w:cs="宋体"/>
          <w:color w:val="auto"/>
          <w:sz w:val="30"/>
          <w:szCs w:val="30"/>
          <w:highlight w:val="none"/>
        </w:rPr>
      </w:pPr>
    </w:p>
    <w:p w14:paraId="2055036E">
      <w:pPr>
        <w:jc w:val="center"/>
        <w:rPr>
          <w:rFonts w:hAnsi="宋体" w:cs="宋体"/>
          <w:color w:val="auto"/>
          <w:sz w:val="30"/>
          <w:szCs w:val="30"/>
          <w:highlight w:val="none"/>
        </w:rPr>
      </w:pPr>
    </w:p>
    <w:p w14:paraId="7431A35B">
      <w:pPr>
        <w:jc w:val="center"/>
        <w:rPr>
          <w:rFonts w:hAnsi="宋体" w:cs="宋体"/>
          <w:color w:val="auto"/>
          <w:sz w:val="30"/>
          <w:szCs w:val="30"/>
          <w:highlight w:val="none"/>
        </w:rPr>
      </w:pPr>
    </w:p>
    <w:p w14:paraId="22A267AE">
      <w:pPr>
        <w:jc w:val="center"/>
        <w:rPr>
          <w:rFonts w:hAnsi="宋体" w:cs="宋体"/>
          <w:color w:val="auto"/>
          <w:sz w:val="30"/>
          <w:szCs w:val="30"/>
          <w:highlight w:val="none"/>
        </w:rPr>
      </w:pPr>
    </w:p>
    <w:p w14:paraId="37AE7BB3">
      <w:pPr>
        <w:ind w:firstLine="2080" w:firstLineChars="650"/>
        <w:rPr>
          <w:rFonts w:hAnsi="宋体" w:cs="宋体"/>
          <w:color w:val="auto"/>
          <w:sz w:val="32"/>
          <w:szCs w:val="32"/>
          <w:highlight w:val="none"/>
        </w:rPr>
      </w:pPr>
      <w:r>
        <w:rPr>
          <w:rFonts w:hint="eastAsia" w:hAnsi="宋体" w:cs="宋体"/>
          <w:color w:val="auto"/>
          <w:sz w:val="32"/>
          <w:szCs w:val="32"/>
          <w:highlight w:val="none"/>
        </w:rPr>
        <w:t xml:space="preserve">甲  方： </w:t>
      </w:r>
    </w:p>
    <w:p w14:paraId="310A0954">
      <w:pPr>
        <w:tabs>
          <w:tab w:val="left" w:pos="480"/>
        </w:tabs>
        <w:ind w:firstLine="640" w:firstLineChars="200"/>
        <w:rPr>
          <w:rFonts w:hAnsi="宋体" w:cs="宋体"/>
          <w:color w:val="auto"/>
          <w:sz w:val="32"/>
          <w:szCs w:val="32"/>
          <w:highlight w:val="none"/>
        </w:rPr>
      </w:pPr>
      <w:r>
        <w:rPr>
          <w:rFonts w:hint="eastAsia" w:hAnsi="宋体" w:cs="宋体"/>
          <w:color w:val="auto"/>
          <w:sz w:val="32"/>
          <w:szCs w:val="32"/>
          <w:highlight w:val="none"/>
        </w:rPr>
        <w:t xml:space="preserve">         乙  方：</w:t>
      </w:r>
    </w:p>
    <w:p w14:paraId="07D80F41">
      <w:pPr>
        <w:jc w:val="center"/>
        <w:rPr>
          <w:rFonts w:hAnsi="宋体" w:cs="宋体"/>
          <w:color w:val="auto"/>
          <w:sz w:val="30"/>
          <w:szCs w:val="30"/>
          <w:highlight w:val="none"/>
        </w:rPr>
      </w:pPr>
    </w:p>
    <w:p w14:paraId="1D0411B5">
      <w:pPr>
        <w:jc w:val="center"/>
        <w:rPr>
          <w:rFonts w:hAnsi="宋体" w:cs="宋体"/>
          <w:color w:val="auto"/>
          <w:sz w:val="32"/>
          <w:szCs w:val="32"/>
          <w:highlight w:val="none"/>
        </w:rPr>
      </w:pPr>
      <w:r>
        <w:rPr>
          <w:rFonts w:hint="eastAsia" w:hAnsi="宋体" w:cs="宋体"/>
          <w:color w:val="auto"/>
          <w:sz w:val="32"/>
          <w:szCs w:val="32"/>
          <w:highlight w:val="none"/>
        </w:rPr>
        <w:t xml:space="preserve">  年  月</w:t>
      </w:r>
    </w:p>
    <w:p w14:paraId="7015152E">
      <w:pPr>
        <w:jc w:val="center"/>
        <w:rPr>
          <w:rFonts w:hAnsi="宋体" w:cs="宋体"/>
          <w:color w:val="auto"/>
          <w:sz w:val="32"/>
          <w:szCs w:val="32"/>
          <w:highlight w:val="none"/>
        </w:rPr>
      </w:pPr>
    </w:p>
    <w:p w14:paraId="604CAE62">
      <w:pPr>
        <w:spacing w:line="590" w:lineRule="exact"/>
        <w:rPr>
          <w:rFonts w:hAnsi="宋体" w:cs="宋体"/>
          <w:b/>
          <w:color w:val="auto"/>
          <w:sz w:val="36"/>
          <w:szCs w:val="36"/>
          <w:highlight w:val="none"/>
        </w:rPr>
      </w:pPr>
    </w:p>
    <w:p w14:paraId="4DBB2205">
      <w:pPr>
        <w:jc w:val="center"/>
        <w:outlineLvl w:val="2"/>
        <w:rPr>
          <w:rFonts w:ascii="黑体"/>
          <w:b/>
          <w:color w:val="auto"/>
          <w:sz w:val="36"/>
          <w:szCs w:val="36"/>
          <w:highlight w:val="none"/>
        </w:rPr>
      </w:pPr>
      <w:r>
        <w:rPr>
          <w:rFonts w:hint="eastAsia" w:hAnsi="宋体" w:cs="宋体"/>
          <w:b/>
          <w:color w:val="auto"/>
          <w:szCs w:val="21"/>
          <w:highlight w:val="none"/>
        </w:rPr>
        <w:br w:type="page"/>
      </w:r>
      <w:bookmarkStart w:id="127" w:name="_Toc7965"/>
      <w:bookmarkStart w:id="128" w:name="_Toc28398"/>
      <w:bookmarkStart w:id="129" w:name="_Toc24621"/>
      <w:bookmarkStart w:id="130" w:name="_Toc20561"/>
      <w:r>
        <w:rPr>
          <w:rFonts w:hint="eastAsia" w:ascii="黑体" w:eastAsia="黑体"/>
          <w:b/>
          <w:color w:val="auto"/>
          <w:sz w:val="36"/>
          <w:szCs w:val="36"/>
          <w:highlight w:val="none"/>
        </w:rPr>
        <w:t>协 议 书</w:t>
      </w:r>
      <w:bookmarkEnd w:id="127"/>
      <w:bookmarkEnd w:id="128"/>
      <w:bookmarkEnd w:id="129"/>
      <w:bookmarkEnd w:id="130"/>
    </w:p>
    <w:p w14:paraId="33919AF2">
      <w:pPr>
        <w:spacing w:line="360" w:lineRule="auto"/>
        <w:rPr>
          <w:rFonts w:hAnsi="宋体" w:cs="宋体"/>
          <w:color w:val="auto"/>
          <w:szCs w:val="21"/>
          <w:highlight w:val="none"/>
          <w:u w:val="single"/>
        </w:rPr>
      </w:pPr>
      <w:r>
        <w:rPr>
          <w:rFonts w:hint="eastAsia" w:hAnsi="宋体" w:cs="宋体"/>
          <w:color w:val="auto"/>
          <w:szCs w:val="21"/>
          <w:highlight w:val="none"/>
        </w:rPr>
        <w:t>甲方：</w:t>
      </w:r>
      <w:r>
        <w:rPr>
          <w:rFonts w:hint="eastAsia" w:hAnsi="宋体" w:cs="宋体"/>
          <w:color w:val="auto"/>
          <w:szCs w:val="21"/>
          <w:highlight w:val="none"/>
          <w:u w:val="single"/>
        </w:rPr>
        <w:t xml:space="preserve">             </w:t>
      </w:r>
    </w:p>
    <w:p w14:paraId="059ED6B7">
      <w:pPr>
        <w:spacing w:line="360" w:lineRule="auto"/>
        <w:rPr>
          <w:rFonts w:hAnsi="宋体" w:cs="宋体"/>
          <w:color w:val="auto"/>
          <w:szCs w:val="21"/>
          <w:highlight w:val="none"/>
          <w:u w:val="single"/>
        </w:rPr>
      </w:pPr>
      <w:r>
        <w:rPr>
          <w:rFonts w:hint="eastAsia" w:hAnsi="宋体" w:cs="宋体"/>
          <w:color w:val="auto"/>
          <w:szCs w:val="21"/>
          <w:highlight w:val="none"/>
        </w:rPr>
        <w:t>乙方：</w:t>
      </w:r>
      <w:r>
        <w:rPr>
          <w:rFonts w:hint="eastAsia" w:hAnsi="宋体" w:cs="宋体"/>
          <w:color w:val="auto"/>
          <w:szCs w:val="21"/>
          <w:highlight w:val="none"/>
          <w:u w:val="single"/>
        </w:rPr>
        <w:t xml:space="preserve">             </w:t>
      </w:r>
    </w:p>
    <w:p w14:paraId="0DB7ACF7">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根据《中华人民共和国民法典》、《中华人民共和国政府采购法》与项目行业有关的法律法规，以及本项目（</w:t>
      </w:r>
      <w:r>
        <w:rPr>
          <w:rFonts w:hint="eastAsia" w:hAnsi="宋体" w:cs="宋体"/>
          <w:color w:val="auto"/>
          <w:szCs w:val="21"/>
          <w:highlight w:val="none"/>
          <w:lang w:eastAsia="zh-CN"/>
        </w:rPr>
        <w:t>西安温度暖益绵长互联网科技助老公益活动</w:t>
      </w:r>
      <w:r>
        <w:rPr>
          <w:rFonts w:hint="eastAsia" w:hAnsi="宋体" w:cs="宋体"/>
          <w:color w:val="auto"/>
          <w:szCs w:val="21"/>
          <w:highlight w:val="none"/>
        </w:rPr>
        <w:t>）相关采购要求的规定，合同双方就乙方向采购方提供（</w:t>
      </w:r>
      <w:r>
        <w:rPr>
          <w:rFonts w:hint="eastAsia" w:hAnsi="宋体" w:cs="宋体"/>
          <w:color w:val="auto"/>
          <w:szCs w:val="21"/>
          <w:highlight w:val="none"/>
          <w:lang w:eastAsia="zh-CN"/>
        </w:rPr>
        <w:t>西安温度暖益绵长互联网科技助老公益活动</w:t>
      </w:r>
      <w:r>
        <w:rPr>
          <w:rFonts w:hint="eastAsia" w:hAnsi="宋体" w:cs="宋体"/>
          <w:color w:val="auto"/>
          <w:szCs w:val="21"/>
          <w:highlight w:val="none"/>
        </w:rPr>
        <w:t>）协商达成一致，确立本合同。</w:t>
      </w:r>
    </w:p>
    <w:p w14:paraId="4EFF5F06">
      <w:pPr>
        <w:tabs>
          <w:tab w:val="left" w:pos="480"/>
        </w:tabs>
        <w:spacing w:line="360" w:lineRule="auto"/>
        <w:outlineLvl w:val="1"/>
        <w:rPr>
          <w:rFonts w:hAnsi="宋体" w:cs="宋体"/>
          <w:b/>
          <w:color w:val="auto"/>
          <w:szCs w:val="21"/>
          <w:highlight w:val="none"/>
        </w:rPr>
      </w:pPr>
      <w:bookmarkStart w:id="131" w:name="_Toc7407"/>
      <w:bookmarkStart w:id="132" w:name="_Toc30883"/>
      <w:bookmarkStart w:id="133" w:name="_Toc8841"/>
      <w:bookmarkStart w:id="134" w:name="_Toc12769"/>
      <w:bookmarkStart w:id="135" w:name="_Toc15362"/>
      <w:r>
        <w:rPr>
          <w:rFonts w:hint="eastAsia" w:hAnsi="宋体" w:cs="宋体"/>
          <w:b/>
          <w:color w:val="auto"/>
          <w:szCs w:val="21"/>
          <w:highlight w:val="none"/>
        </w:rPr>
        <w:t>一、合同标的物内容、数量及单价</w:t>
      </w:r>
      <w:r>
        <w:rPr>
          <w:rFonts w:hint="eastAsia" w:hAnsi="宋体" w:cs="宋体"/>
          <w:color w:val="auto"/>
          <w:szCs w:val="21"/>
          <w:highlight w:val="none"/>
        </w:rPr>
        <w:t>（以竞争性磋商响应文件正本和澄清表〈函〉为准）</w:t>
      </w:r>
      <w:bookmarkEnd w:id="131"/>
      <w:bookmarkEnd w:id="132"/>
      <w:bookmarkEnd w:id="133"/>
      <w:bookmarkEnd w:id="134"/>
      <w:bookmarkEnd w:id="135"/>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8"/>
        <w:gridCol w:w="1855"/>
        <w:gridCol w:w="1421"/>
        <w:gridCol w:w="2648"/>
        <w:gridCol w:w="1096"/>
      </w:tblGrid>
      <w:tr w14:paraId="4A910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vAlign w:val="center"/>
          </w:tcPr>
          <w:p w14:paraId="0A05D446">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序号</w:t>
            </w:r>
          </w:p>
        </w:tc>
        <w:tc>
          <w:tcPr>
            <w:tcW w:w="1855" w:type="dxa"/>
            <w:tcBorders>
              <w:top w:val="single" w:color="auto" w:sz="4" w:space="0"/>
              <w:left w:val="single" w:color="auto" w:sz="4" w:space="0"/>
              <w:bottom w:val="single" w:color="auto" w:sz="4" w:space="0"/>
              <w:right w:val="single" w:color="auto" w:sz="4" w:space="0"/>
            </w:tcBorders>
            <w:vAlign w:val="center"/>
          </w:tcPr>
          <w:p w14:paraId="2CD39A13">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服务内容</w:t>
            </w:r>
          </w:p>
        </w:tc>
        <w:tc>
          <w:tcPr>
            <w:tcW w:w="1421" w:type="dxa"/>
            <w:tcBorders>
              <w:top w:val="single" w:color="auto" w:sz="4" w:space="0"/>
              <w:left w:val="single" w:color="auto" w:sz="4" w:space="0"/>
              <w:bottom w:val="single" w:color="auto" w:sz="4" w:space="0"/>
              <w:right w:val="single" w:color="auto" w:sz="4" w:space="0"/>
            </w:tcBorders>
            <w:vAlign w:val="center"/>
          </w:tcPr>
          <w:p w14:paraId="56CAD306">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服务期限</w:t>
            </w:r>
          </w:p>
        </w:tc>
        <w:tc>
          <w:tcPr>
            <w:tcW w:w="2648" w:type="dxa"/>
            <w:tcBorders>
              <w:top w:val="single" w:color="auto" w:sz="4" w:space="0"/>
              <w:left w:val="single" w:color="auto" w:sz="4" w:space="0"/>
              <w:bottom w:val="single" w:color="auto" w:sz="4" w:space="0"/>
              <w:right w:val="single" w:color="auto" w:sz="4" w:space="0"/>
            </w:tcBorders>
            <w:vAlign w:val="center"/>
          </w:tcPr>
          <w:p w14:paraId="31E659AD">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相关要求</w:t>
            </w:r>
          </w:p>
        </w:tc>
        <w:tc>
          <w:tcPr>
            <w:tcW w:w="1096" w:type="dxa"/>
            <w:tcBorders>
              <w:top w:val="single" w:color="auto" w:sz="4" w:space="0"/>
              <w:left w:val="single" w:color="auto" w:sz="4" w:space="0"/>
              <w:bottom w:val="single" w:color="auto" w:sz="4" w:space="0"/>
              <w:right w:val="single" w:color="auto" w:sz="4" w:space="0"/>
            </w:tcBorders>
            <w:vAlign w:val="center"/>
          </w:tcPr>
          <w:p w14:paraId="67C80532">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备注</w:t>
            </w:r>
          </w:p>
        </w:tc>
      </w:tr>
      <w:tr w14:paraId="4D343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vAlign w:val="center"/>
          </w:tcPr>
          <w:p w14:paraId="56CB0C6A">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1</w:t>
            </w:r>
          </w:p>
        </w:tc>
        <w:tc>
          <w:tcPr>
            <w:tcW w:w="1855" w:type="dxa"/>
            <w:tcBorders>
              <w:top w:val="single" w:color="auto" w:sz="4" w:space="0"/>
              <w:left w:val="single" w:color="auto" w:sz="4" w:space="0"/>
              <w:bottom w:val="single" w:color="auto" w:sz="4" w:space="0"/>
              <w:right w:val="single" w:color="auto" w:sz="4" w:space="0"/>
            </w:tcBorders>
            <w:vAlign w:val="center"/>
          </w:tcPr>
          <w:p w14:paraId="0BE4DA39">
            <w:pPr>
              <w:tabs>
                <w:tab w:val="left" w:pos="480"/>
              </w:tabs>
              <w:spacing w:line="396" w:lineRule="exact"/>
              <w:jc w:val="center"/>
              <w:rPr>
                <w:rFonts w:hAnsi="宋体" w:cs="宋体"/>
                <w:color w:val="auto"/>
                <w:szCs w:val="21"/>
                <w:highlight w:val="none"/>
              </w:rPr>
            </w:pPr>
          </w:p>
        </w:tc>
        <w:tc>
          <w:tcPr>
            <w:tcW w:w="1421" w:type="dxa"/>
            <w:tcBorders>
              <w:top w:val="single" w:color="auto" w:sz="4" w:space="0"/>
              <w:left w:val="single" w:color="auto" w:sz="4" w:space="0"/>
              <w:bottom w:val="single" w:color="auto" w:sz="4" w:space="0"/>
              <w:right w:val="single" w:color="auto" w:sz="4" w:space="0"/>
            </w:tcBorders>
            <w:vAlign w:val="center"/>
          </w:tcPr>
          <w:p w14:paraId="7F45C237">
            <w:pPr>
              <w:tabs>
                <w:tab w:val="left" w:pos="480"/>
              </w:tabs>
              <w:spacing w:line="396" w:lineRule="exact"/>
              <w:jc w:val="center"/>
              <w:rPr>
                <w:rFonts w:hAnsi="宋体" w:cs="宋体"/>
                <w:color w:val="auto"/>
                <w:szCs w:val="21"/>
                <w:highlight w:val="none"/>
              </w:rPr>
            </w:pPr>
          </w:p>
        </w:tc>
        <w:tc>
          <w:tcPr>
            <w:tcW w:w="2648" w:type="dxa"/>
            <w:tcBorders>
              <w:top w:val="single" w:color="auto" w:sz="4" w:space="0"/>
              <w:left w:val="single" w:color="auto" w:sz="4" w:space="0"/>
              <w:bottom w:val="single" w:color="auto" w:sz="4" w:space="0"/>
              <w:right w:val="single" w:color="auto" w:sz="4" w:space="0"/>
            </w:tcBorders>
            <w:vAlign w:val="center"/>
          </w:tcPr>
          <w:p w14:paraId="4A42D445">
            <w:pPr>
              <w:tabs>
                <w:tab w:val="left" w:pos="480"/>
              </w:tabs>
              <w:spacing w:line="396" w:lineRule="exact"/>
              <w:jc w:val="center"/>
              <w:rPr>
                <w:rFonts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vAlign w:val="center"/>
          </w:tcPr>
          <w:p w14:paraId="5CCF526A">
            <w:pPr>
              <w:tabs>
                <w:tab w:val="left" w:pos="480"/>
              </w:tabs>
              <w:spacing w:line="396" w:lineRule="exact"/>
              <w:jc w:val="center"/>
              <w:rPr>
                <w:rFonts w:hAnsi="宋体" w:cs="宋体"/>
                <w:color w:val="auto"/>
                <w:szCs w:val="21"/>
                <w:highlight w:val="none"/>
              </w:rPr>
            </w:pPr>
          </w:p>
        </w:tc>
      </w:tr>
      <w:tr w14:paraId="1AFDB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198" w:type="dxa"/>
            <w:tcBorders>
              <w:top w:val="single" w:color="auto" w:sz="4" w:space="0"/>
              <w:left w:val="single" w:color="auto" w:sz="4" w:space="0"/>
              <w:bottom w:val="single" w:color="auto" w:sz="4" w:space="0"/>
              <w:right w:val="single" w:color="auto" w:sz="4" w:space="0"/>
            </w:tcBorders>
            <w:vAlign w:val="center"/>
          </w:tcPr>
          <w:p w14:paraId="1E6E2B6E">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w:t>
            </w:r>
          </w:p>
        </w:tc>
        <w:tc>
          <w:tcPr>
            <w:tcW w:w="1855" w:type="dxa"/>
            <w:tcBorders>
              <w:top w:val="single" w:color="auto" w:sz="4" w:space="0"/>
              <w:left w:val="single" w:color="auto" w:sz="4" w:space="0"/>
              <w:bottom w:val="single" w:color="auto" w:sz="4" w:space="0"/>
              <w:right w:val="single" w:color="auto" w:sz="4" w:space="0"/>
            </w:tcBorders>
            <w:vAlign w:val="center"/>
          </w:tcPr>
          <w:p w14:paraId="14BCD66D">
            <w:pPr>
              <w:tabs>
                <w:tab w:val="left" w:pos="480"/>
              </w:tabs>
              <w:spacing w:line="396" w:lineRule="exact"/>
              <w:jc w:val="center"/>
              <w:rPr>
                <w:rFonts w:hAnsi="宋体" w:cs="宋体"/>
                <w:color w:val="auto"/>
                <w:szCs w:val="21"/>
                <w:highlight w:val="none"/>
              </w:rPr>
            </w:pPr>
          </w:p>
        </w:tc>
        <w:tc>
          <w:tcPr>
            <w:tcW w:w="1421" w:type="dxa"/>
            <w:tcBorders>
              <w:top w:val="single" w:color="auto" w:sz="4" w:space="0"/>
              <w:left w:val="single" w:color="auto" w:sz="4" w:space="0"/>
              <w:bottom w:val="single" w:color="auto" w:sz="4" w:space="0"/>
              <w:right w:val="single" w:color="auto" w:sz="4" w:space="0"/>
            </w:tcBorders>
            <w:vAlign w:val="center"/>
          </w:tcPr>
          <w:p w14:paraId="4B4BD6EB">
            <w:pPr>
              <w:tabs>
                <w:tab w:val="left" w:pos="480"/>
              </w:tabs>
              <w:spacing w:line="396" w:lineRule="exact"/>
              <w:jc w:val="center"/>
              <w:rPr>
                <w:rFonts w:hAnsi="宋体" w:cs="宋体"/>
                <w:color w:val="auto"/>
                <w:szCs w:val="21"/>
                <w:highlight w:val="none"/>
              </w:rPr>
            </w:pPr>
          </w:p>
        </w:tc>
        <w:tc>
          <w:tcPr>
            <w:tcW w:w="2648" w:type="dxa"/>
            <w:tcBorders>
              <w:top w:val="single" w:color="auto" w:sz="4" w:space="0"/>
              <w:left w:val="single" w:color="auto" w:sz="4" w:space="0"/>
              <w:bottom w:val="single" w:color="auto" w:sz="4" w:space="0"/>
              <w:right w:val="single" w:color="auto" w:sz="4" w:space="0"/>
            </w:tcBorders>
            <w:vAlign w:val="center"/>
          </w:tcPr>
          <w:p w14:paraId="507AB150">
            <w:pPr>
              <w:tabs>
                <w:tab w:val="left" w:pos="480"/>
              </w:tabs>
              <w:spacing w:line="396" w:lineRule="exact"/>
              <w:jc w:val="center"/>
              <w:rPr>
                <w:rFonts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vAlign w:val="center"/>
          </w:tcPr>
          <w:p w14:paraId="098E2F4A">
            <w:pPr>
              <w:tabs>
                <w:tab w:val="left" w:pos="480"/>
              </w:tabs>
              <w:spacing w:line="396" w:lineRule="exact"/>
              <w:jc w:val="center"/>
              <w:rPr>
                <w:rFonts w:hAnsi="宋体" w:cs="宋体"/>
                <w:color w:val="auto"/>
                <w:szCs w:val="21"/>
                <w:highlight w:val="none"/>
              </w:rPr>
            </w:pPr>
          </w:p>
        </w:tc>
      </w:tr>
    </w:tbl>
    <w:p w14:paraId="1C66BB72">
      <w:pPr>
        <w:tabs>
          <w:tab w:val="left" w:pos="480"/>
        </w:tabs>
        <w:spacing w:line="360" w:lineRule="auto"/>
        <w:outlineLvl w:val="1"/>
        <w:rPr>
          <w:rFonts w:hAnsi="宋体" w:cs="宋体"/>
          <w:b/>
          <w:color w:val="auto"/>
          <w:szCs w:val="21"/>
          <w:highlight w:val="none"/>
        </w:rPr>
      </w:pPr>
      <w:bookmarkStart w:id="136" w:name="_Toc29331"/>
      <w:bookmarkStart w:id="137" w:name="_Toc3926"/>
      <w:bookmarkStart w:id="138" w:name="_Toc8887"/>
      <w:bookmarkStart w:id="139" w:name="_Toc4137"/>
      <w:bookmarkStart w:id="140" w:name="_Toc18749"/>
      <w:r>
        <w:rPr>
          <w:rFonts w:hint="eastAsia" w:hAnsi="宋体" w:cs="宋体"/>
          <w:b/>
          <w:color w:val="auto"/>
          <w:szCs w:val="21"/>
          <w:highlight w:val="none"/>
        </w:rPr>
        <w:t>二、合同价款</w:t>
      </w:r>
      <w:bookmarkEnd w:id="136"/>
      <w:bookmarkEnd w:id="137"/>
      <w:bookmarkEnd w:id="138"/>
      <w:bookmarkEnd w:id="139"/>
      <w:bookmarkEnd w:id="140"/>
    </w:p>
    <w:p w14:paraId="5783FE84">
      <w:pPr>
        <w:tabs>
          <w:tab w:val="left" w:pos="480"/>
        </w:tabs>
        <w:spacing w:line="360" w:lineRule="auto"/>
        <w:ind w:firstLine="480" w:firstLineChars="200"/>
        <w:rPr>
          <w:rFonts w:hAnsi="宋体" w:cs="宋体"/>
          <w:color w:val="auto"/>
          <w:szCs w:val="21"/>
          <w:highlight w:val="none"/>
          <w:u w:val="single"/>
        </w:rPr>
      </w:pPr>
      <w:r>
        <w:rPr>
          <w:rFonts w:hint="eastAsia" w:hAnsi="宋体" w:cs="宋体"/>
          <w:color w:val="auto"/>
          <w:szCs w:val="21"/>
          <w:highlight w:val="none"/>
        </w:rPr>
        <w:t>（一）本合同为总价合同，各项服务的合同总价为其磋商最终报价。</w:t>
      </w:r>
    </w:p>
    <w:p w14:paraId="74FF3E78">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（二）合同价包括：</w:t>
      </w:r>
    </w:p>
    <w:p w14:paraId="720BD287">
      <w:pPr>
        <w:tabs>
          <w:tab w:val="left" w:pos="480"/>
        </w:tabs>
        <w:spacing w:line="360" w:lineRule="auto"/>
        <w:outlineLvl w:val="1"/>
        <w:rPr>
          <w:rFonts w:hAnsi="宋体" w:cs="宋体"/>
          <w:b/>
          <w:color w:val="auto"/>
          <w:szCs w:val="21"/>
          <w:highlight w:val="none"/>
        </w:rPr>
      </w:pPr>
      <w:bookmarkStart w:id="141" w:name="_Toc6296"/>
      <w:bookmarkStart w:id="142" w:name="_Toc23247"/>
      <w:bookmarkStart w:id="143" w:name="_Toc28664"/>
      <w:bookmarkStart w:id="144" w:name="_Toc9765"/>
      <w:bookmarkStart w:id="145" w:name="_Toc22511"/>
      <w:r>
        <w:rPr>
          <w:rFonts w:hint="eastAsia" w:hAnsi="宋体" w:cs="宋体"/>
          <w:b/>
          <w:color w:val="auto"/>
          <w:szCs w:val="21"/>
          <w:highlight w:val="none"/>
        </w:rPr>
        <w:t>三、款项结算</w:t>
      </w:r>
      <w:bookmarkEnd w:id="141"/>
      <w:bookmarkEnd w:id="142"/>
      <w:bookmarkEnd w:id="143"/>
      <w:bookmarkEnd w:id="144"/>
      <w:bookmarkEnd w:id="145"/>
    </w:p>
    <w:p w14:paraId="1E7CF767">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详见合同前附表。</w:t>
      </w:r>
    </w:p>
    <w:p w14:paraId="3C677911">
      <w:pPr>
        <w:tabs>
          <w:tab w:val="left" w:pos="480"/>
        </w:tabs>
        <w:spacing w:line="360" w:lineRule="auto"/>
        <w:outlineLvl w:val="1"/>
        <w:rPr>
          <w:rFonts w:hAnsi="宋体" w:cs="宋体"/>
          <w:color w:val="auto"/>
          <w:szCs w:val="21"/>
          <w:highlight w:val="none"/>
        </w:rPr>
      </w:pPr>
      <w:bookmarkStart w:id="146" w:name="_Toc24406"/>
      <w:bookmarkStart w:id="147" w:name="_Toc9555"/>
      <w:bookmarkStart w:id="148" w:name="_Toc21714"/>
      <w:bookmarkStart w:id="149" w:name="_Toc21171"/>
      <w:bookmarkStart w:id="150" w:name="_Toc21110"/>
      <w:r>
        <w:rPr>
          <w:rFonts w:hint="eastAsia" w:hAnsi="宋体" w:cs="宋体"/>
          <w:b/>
          <w:color w:val="auto"/>
          <w:szCs w:val="21"/>
          <w:highlight w:val="none"/>
        </w:rPr>
        <w:t>四、服务条件：</w:t>
      </w:r>
      <w:bookmarkEnd w:id="146"/>
      <w:bookmarkEnd w:id="147"/>
      <w:bookmarkEnd w:id="148"/>
      <w:bookmarkEnd w:id="149"/>
      <w:bookmarkEnd w:id="150"/>
    </w:p>
    <w:p w14:paraId="33AF94F5">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（一）服务地点：甲方指定地点。</w:t>
      </w:r>
    </w:p>
    <w:p w14:paraId="773128B9">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（二）服务期限：</w:t>
      </w:r>
    </w:p>
    <w:p w14:paraId="101C72C6">
      <w:pPr>
        <w:pStyle w:val="9"/>
        <w:rPr>
          <w:rFonts w:hint="default" w:eastAsia="宋体"/>
          <w:lang w:val="en-US" w:eastAsia="zh-CN"/>
        </w:rPr>
      </w:pPr>
      <w:r>
        <w:rPr>
          <w:rFonts w:hint="eastAsia" w:cs="宋体"/>
          <w:color w:val="auto"/>
          <w:szCs w:val="21"/>
          <w:highlight w:val="none"/>
          <w:lang w:eastAsia="zh-CN"/>
        </w:rPr>
        <w:t>（</w:t>
      </w:r>
      <w:r>
        <w:rPr>
          <w:rFonts w:hint="eastAsia" w:cs="宋体"/>
          <w:color w:val="auto"/>
          <w:szCs w:val="21"/>
          <w:highlight w:val="none"/>
          <w:lang w:val="en-US" w:eastAsia="zh-CN"/>
        </w:rPr>
        <w:t>三</w:t>
      </w:r>
      <w:r>
        <w:rPr>
          <w:rFonts w:hint="eastAsia" w:cs="宋体"/>
          <w:color w:val="auto"/>
          <w:szCs w:val="21"/>
          <w:highlight w:val="none"/>
          <w:lang w:eastAsia="zh-CN"/>
        </w:rPr>
        <w:t>）</w:t>
      </w:r>
      <w:r>
        <w:rPr>
          <w:rFonts w:hint="eastAsia" w:cs="宋体"/>
          <w:color w:val="auto"/>
          <w:szCs w:val="21"/>
          <w:highlight w:val="none"/>
          <w:lang w:val="en-US" w:eastAsia="zh-CN"/>
        </w:rPr>
        <w:t>项目负责人及联系方式：</w:t>
      </w:r>
    </w:p>
    <w:p w14:paraId="30EB7157">
      <w:pPr>
        <w:tabs>
          <w:tab w:val="left" w:pos="480"/>
        </w:tabs>
        <w:spacing w:line="360" w:lineRule="auto"/>
        <w:outlineLvl w:val="1"/>
        <w:rPr>
          <w:rFonts w:hAnsi="宋体" w:cs="宋体"/>
          <w:b/>
          <w:color w:val="auto"/>
          <w:szCs w:val="21"/>
          <w:highlight w:val="none"/>
        </w:rPr>
      </w:pPr>
      <w:bookmarkStart w:id="151" w:name="_Toc15118"/>
      <w:bookmarkStart w:id="152" w:name="_Toc27382"/>
      <w:bookmarkStart w:id="153" w:name="_Toc32459"/>
      <w:bookmarkStart w:id="154" w:name="_Toc7966"/>
      <w:bookmarkStart w:id="155" w:name="_Toc15947"/>
      <w:r>
        <w:rPr>
          <w:rFonts w:hint="eastAsia" w:hAnsi="宋体" w:cs="宋体"/>
          <w:b/>
          <w:color w:val="auto"/>
          <w:szCs w:val="21"/>
          <w:highlight w:val="none"/>
        </w:rPr>
        <w:t>五、质量保证</w:t>
      </w:r>
      <w:bookmarkEnd w:id="151"/>
      <w:bookmarkEnd w:id="152"/>
      <w:bookmarkEnd w:id="153"/>
      <w:bookmarkEnd w:id="154"/>
      <w:bookmarkEnd w:id="155"/>
    </w:p>
    <w:p w14:paraId="46B9253D">
      <w:pPr>
        <w:tabs>
          <w:tab w:val="left" w:pos="480"/>
        </w:tabs>
        <w:spacing w:line="360" w:lineRule="auto"/>
        <w:ind w:firstLine="470" w:firstLineChars="196"/>
        <w:rPr>
          <w:rFonts w:hAnsi="宋体" w:cs="宋体"/>
          <w:color w:val="auto"/>
          <w:szCs w:val="21"/>
          <w:highlight w:val="none"/>
        </w:rPr>
      </w:pPr>
      <w:r>
        <w:rPr>
          <w:rFonts w:hint="eastAsia" w:hAnsi="宋体" w:cs="宋体"/>
          <w:color w:val="auto"/>
          <w:szCs w:val="21"/>
          <w:highlight w:val="none"/>
        </w:rPr>
        <w:t>1.乙方所提供货物和服务保证技术指标符合要求、质量性能可靠、必须符合国家相关法律法规的要求。</w:t>
      </w:r>
    </w:p>
    <w:p w14:paraId="09580232">
      <w:pPr>
        <w:tabs>
          <w:tab w:val="left" w:pos="480"/>
        </w:tabs>
        <w:spacing w:line="360" w:lineRule="auto"/>
        <w:ind w:firstLine="470" w:firstLineChars="196"/>
        <w:rPr>
          <w:rFonts w:hAnsi="宋体" w:cs="宋体"/>
          <w:color w:val="auto"/>
          <w:szCs w:val="21"/>
          <w:highlight w:val="none"/>
        </w:rPr>
      </w:pPr>
      <w:r>
        <w:rPr>
          <w:rFonts w:hint="eastAsia" w:hAnsi="宋体" w:cs="宋体"/>
          <w:color w:val="auto"/>
          <w:szCs w:val="21"/>
          <w:highlight w:val="none"/>
        </w:rPr>
        <w:t>2、成交单位应当保证其具有完成本项目所要求的货物和服务所必须具备的专业设备和服务能力。</w:t>
      </w:r>
    </w:p>
    <w:p w14:paraId="5F40F305">
      <w:pPr>
        <w:tabs>
          <w:tab w:val="left" w:pos="480"/>
        </w:tabs>
        <w:spacing w:line="360" w:lineRule="auto"/>
        <w:outlineLvl w:val="1"/>
        <w:rPr>
          <w:rFonts w:hAnsi="宋体" w:cs="宋体"/>
          <w:b/>
          <w:color w:val="auto"/>
          <w:szCs w:val="21"/>
          <w:highlight w:val="none"/>
        </w:rPr>
      </w:pPr>
      <w:bookmarkStart w:id="156" w:name="_Toc12558"/>
      <w:bookmarkStart w:id="157" w:name="_Toc13959"/>
      <w:bookmarkStart w:id="158" w:name="_Toc23868"/>
      <w:bookmarkStart w:id="159" w:name="_Toc21314"/>
      <w:bookmarkStart w:id="160" w:name="_Toc9903"/>
      <w:r>
        <w:rPr>
          <w:rFonts w:hint="eastAsia" w:hAnsi="宋体" w:cs="宋体"/>
          <w:b/>
          <w:color w:val="auto"/>
          <w:szCs w:val="21"/>
          <w:highlight w:val="none"/>
        </w:rPr>
        <w:t>六、技术与服务</w:t>
      </w:r>
      <w:bookmarkEnd w:id="156"/>
      <w:bookmarkEnd w:id="157"/>
      <w:bookmarkEnd w:id="158"/>
      <w:bookmarkEnd w:id="159"/>
      <w:bookmarkEnd w:id="160"/>
    </w:p>
    <w:p w14:paraId="4920F04C">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（一）技术资料：</w:t>
      </w:r>
    </w:p>
    <w:p w14:paraId="4CB2FB36">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技术资料：</w:t>
      </w:r>
    </w:p>
    <w:p w14:paraId="69222B05">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成交供应商应随同服务提供相应的中文技术文件。</w:t>
      </w:r>
    </w:p>
    <w:p w14:paraId="43D206C5">
      <w:pPr>
        <w:tabs>
          <w:tab w:val="left" w:pos="480"/>
        </w:tabs>
        <w:spacing w:line="360" w:lineRule="auto"/>
        <w:ind w:firstLine="480" w:firstLineChars="200"/>
        <w:rPr>
          <w:color w:val="auto"/>
          <w:highlight w:val="none"/>
        </w:rPr>
      </w:pPr>
      <w:r>
        <w:rPr>
          <w:rFonts w:hint="eastAsia" w:hAnsi="宋体" w:cs="宋体"/>
          <w:color w:val="auto"/>
          <w:szCs w:val="21"/>
          <w:highlight w:val="none"/>
        </w:rPr>
        <w:t>（二）服务承诺：以竞争性磋商响应文件、澄清表（函）、合同和随货物的相关文件为准。</w:t>
      </w:r>
    </w:p>
    <w:p w14:paraId="5C66AE7C">
      <w:pPr>
        <w:tabs>
          <w:tab w:val="left" w:pos="480"/>
        </w:tabs>
        <w:spacing w:line="360" w:lineRule="auto"/>
        <w:outlineLvl w:val="1"/>
        <w:rPr>
          <w:rFonts w:hAnsi="宋体" w:cs="宋体"/>
          <w:b/>
          <w:color w:val="auto"/>
          <w:szCs w:val="21"/>
          <w:highlight w:val="none"/>
        </w:rPr>
      </w:pPr>
      <w:bookmarkStart w:id="161" w:name="_Toc13572"/>
      <w:bookmarkStart w:id="162" w:name="_Toc14409"/>
      <w:bookmarkStart w:id="163" w:name="_Toc28855"/>
      <w:bookmarkStart w:id="164" w:name="_Toc12975"/>
      <w:bookmarkStart w:id="165" w:name="_Toc22161"/>
      <w:r>
        <w:rPr>
          <w:rFonts w:hint="eastAsia" w:hAnsi="宋体" w:cs="宋体"/>
          <w:b/>
          <w:color w:val="auto"/>
          <w:szCs w:val="21"/>
          <w:highlight w:val="none"/>
        </w:rPr>
        <w:t>七、验收</w:t>
      </w:r>
      <w:bookmarkEnd w:id="161"/>
      <w:bookmarkEnd w:id="162"/>
      <w:bookmarkEnd w:id="163"/>
      <w:bookmarkEnd w:id="164"/>
      <w:bookmarkEnd w:id="165"/>
    </w:p>
    <w:p w14:paraId="63F654A5">
      <w:pPr>
        <w:spacing w:line="360" w:lineRule="auto"/>
        <w:ind w:firstLine="480" w:firstLineChars="200"/>
        <w:rPr>
          <w:color w:val="auto"/>
          <w:highlight w:val="none"/>
        </w:rPr>
      </w:pPr>
      <w:r>
        <w:rPr>
          <w:rFonts w:hint="eastAsia"/>
          <w:color w:val="auto"/>
          <w:highlight w:val="none"/>
        </w:rPr>
        <w:t>1、所验服务最终验收达不到磋商文件要求和磋商响应文件承诺及国家或行业标准的，或在使用中发现甲方不能容忍的缺陷等，将视为验收不合格，乙方应在甲方要求的时间内无条件完善或要求赔付甲方损失。</w:t>
      </w:r>
    </w:p>
    <w:p w14:paraId="40CB8F31">
      <w:pPr>
        <w:spacing w:line="360" w:lineRule="auto"/>
        <w:ind w:firstLine="480" w:firstLineChars="200"/>
        <w:rPr>
          <w:color w:val="auto"/>
          <w:highlight w:val="none"/>
        </w:rPr>
      </w:pPr>
      <w:r>
        <w:rPr>
          <w:rFonts w:hint="eastAsia"/>
          <w:color w:val="auto"/>
          <w:highlight w:val="none"/>
        </w:rPr>
        <w:t>2、若发现乙方有弄虚作假的，及在项目实施阶段故意或随意夸大服务，本合同解除，乙方赔偿甲方相应的损失。</w:t>
      </w:r>
    </w:p>
    <w:p w14:paraId="54F34E74">
      <w:pPr>
        <w:spacing w:line="360" w:lineRule="auto"/>
        <w:ind w:firstLine="480" w:firstLineChars="200"/>
        <w:rPr>
          <w:color w:val="auto"/>
          <w:highlight w:val="none"/>
        </w:rPr>
      </w:pPr>
      <w:r>
        <w:rPr>
          <w:rFonts w:hint="eastAsia"/>
          <w:color w:val="auto"/>
          <w:highlight w:val="none"/>
        </w:rPr>
        <w:t>3、验收标准：按磋商文件、磋商响应文件及磋商记录表等技术指标进行逐项验收。各项指标均应符合验收标准及要求。</w:t>
      </w:r>
    </w:p>
    <w:p w14:paraId="5C248121">
      <w:pPr>
        <w:tabs>
          <w:tab w:val="left" w:pos="480"/>
        </w:tabs>
        <w:spacing w:line="360" w:lineRule="auto"/>
        <w:outlineLvl w:val="1"/>
        <w:rPr>
          <w:rFonts w:hAnsi="宋体" w:cs="宋体"/>
          <w:b/>
          <w:color w:val="auto"/>
          <w:szCs w:val="21"/>
          <w:highlight w:val="none"/>
        </w:rPr>
      </w:pPr>
      <w:bookmarkStart w:id="166" w:name="_Toc7598"/>
      <w:bookmarkStart w:id="167" w:name="_Toc30681"/>
      <w:bookmarkStart w:id="168" w:name="_Toc20026"/>
      <w:bookmarkStart w:id="169" w:name="_Toc31076"/>
      <w:bookmarkStart w:id="170" w:name="_Toc9858"/>
      <w:r>
        <w:rPr>
          <w:rFonts w:hint="eastAsia" w:hAnsi="宋体" w:cs="宋体"/>
          <w:b/>
          <w:color w:val="auto"/>
          <w:szCs w:val="21"/>
          <w:highlight w:val="none"/>
        </w:rPr>
        <w:t>八、违约责任</w:t>
      </w:r>
      <w:bookmarkEnd w:id="166"/>
      <w:bookmarkEnd w:id="167"/>
      <w:bookmarkEnd w:id="168"/>
      <w:bookmarkEnd w:id="169"/>
      <w:bookmarkEnd w:id="170"/>
    </w:p>
    <w:p w14:paraId="39E61C29">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1、按《中华人民共和国民法典》中的相关条款执行。</w:t>
      </w:r>
    </w:p>
    <w:p w14:paraId="3E9B6E34">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2、未按合同要求提供服务或服务不能满足合同要求，采购人应当将服务商违约的情况以及拟采取的措施以书面形式报政府采购监管部门，根据政府采购监管部门的处理意见，采购人有权依据《中华人民共和国民法典》有关条款及合同约定终止合同，并要求服务商承担违约责任。同时，政府采购监管部门有权依据《</w:t>
      </w:r>
      <w:r>
        <w:rPr>
          <w:rFonts w:hint="eastAsia" w:hAnsi="宋体" w:cs="宋体"/>
          <w:color w:val="auto"/>
          <w:szCs w:val="24"/>
          <w:highlight w:val="none"/>
          <w:lang w:val="en-US" w:eastAsia="zh-CN"/>
        </w:rPr>
        <w:t>中华人民共和国</w:t>
      </w:r>
      <w:r>
        <w:rPr>
          <w:rFonts w:hint="eastAsia" w:hAnsi="宋体" w:cs="宋体"/>
          <w:color w:val="auto"/>
          <w:szCs w:val="21"/>
          <w:highlight w:val="none"/>
        </w:rPr>
        <w:t>政府采购法》及相关法律法规对服务商的违法行为进行相应的处罚。</w:t>
      </w:r>
    </w:p>
    <w:p w14:paraId="64CADEAF">
      <w:pPr>
        <w:tabs>
          <w:tab w:val="left" w:pos="480"/>
        </w:tabs>
        <w:spacing w:line="360" w:lineRule="auto"/>
        <w:outlineLvl w:val="1"/>
        <w:rPr>
          <w:rFonts w:hAnsi="宋体" w:cs="宋体"/>
          <w:b/>
          <w:color w:val="auto"/>
          <w:szCs w:val="21"/>
          <w:highlight w:val="none"/>
        </w:rPr>
      </w:pPr>
      <w:bookmarkStart w:id="171" w:name="_Toc30630"/>
      <w:bookmarkStart w:id="172" w:name="_Toc29958"/>
      <w:bookmarkStart w:id="173" w:name="_Toc15856"/>
      <w:bookmarkStart w:id="174" w:name="_Toc27523"/>
      <w:bookmarkStart w:id="175" w:name="_Toc13662"/>
      <w:r>
        <w:rPr>
          <w:rFonts w:hint="eastAsia" w:hAnsi="宋体" w:cs="宋体"/>
          <w:b/>
          <w:color w:val="auto"/>
          <w:szCs w:val="21"/>
          <w:highlight w:val="none"/>
        </w:rPr>
        <w:t>九、合同争议解决的方式</w:t>
      </w:r>
      <w:bookmarkEnd w:id="171"/>
      <w:bookmarkEnd w:id="172"/>
      <w:bookmarkEnd w:id="173"/>
      <w:bookmarkEnd w:id="174"/>
      <w:bookmarkEnd w:id="175"/>
    </w:p>
    <w:p w14:paraId="52DA4996">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本合同在履行过程中发生的争议，由甲、乙双方当事人协商解决，协商不成的按下列第</w:t>
      </w:r>
      <w:r>
        <w:rPr>
          <w:rFonts w:hint="eastAsia" w:hAnsi="宋体" w:cs="宋体"/>
          <w:color w:val="auto"/>
          <w:szCs w:val="21"/>
          <w:highlight w:val="none"/>
          <w:u w:val="single"/>
        </w:rPr>
        <w:t xml:space="preserve">    </w:t>
      </w:r>
      <w:r>
        <w:rPr>
          <w:rFonts w:hint="eastAsia" w:hAnsi="宋体" w:cs="宋体"/>
          <w:color w:val="auto"/>
          <w:szCs w:val="21"/>
          <w:highlight w:val="none"/>
        </w:rPr>
        <w:t>种方式解决：</w:t>
      </w:r>
    </w:p>
    <w:p w14:paraId="617FA4D5">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（一）提交</w:t>
      </w:r>
      <w:r>
        <w:rPr>
          <w:rFonts w:hint="eastAsia" w:hAnsi="宋体" w:cs="宋体"/>
          <w:color w:val="auto"/>
          <w:szCs w:val="21"/>
          <w:highlight w:val="none"/>
          <w:u w:val="single"/>
        </w:rPr>
        <w:t xml:space="preserve">        </w:t>
      </w:r>
      <w:r>
        <w:rPr>
          <w:rFonts w:hint="eastAsia" w:hAnsi="宋体" w:cs="宋体"/>
          <w:color w:val="auto"/>
          <w:szCs w:val="21"/>
          <w:highlight w:val="none"/>
        </w:rPr>
        <w:t>仲裁委员会仲裁；</w:t>
      </w:r>
    </w:p>
    <w:p w14:paraId="23C22BAB">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 xml:space="preserve">（二）依法向 </w:t>
      </w:r>
      <w:r>
        <w:rPr>
          <w:rFonts w:hint="eastAsia" w:hAnsi="宋体" w:cs="宋体"/>
          <w:color w:val="auto"/>
          <w:szCs w:val="21"/>
          <w:highlight w:val="none"/>
          <w:u w:val="single"/>
        </w:rPr>
        <w:t xml:space="preserve">       </w:t>
      </w:r>
      <w:r>
        <w:rPr>
          <w:rFonts w:hint="eastAsia" w:hAnsi="宋体" w:cs="宋体"/>
          <w:color w:val="auto"/>
          <w:szCs w:val="21"/>
          <w:highlight w:val="none"/>
        </w:rPr>
        <w:t>所在地人民法院起诉。</w:t>
      </w:r>
    </w:p>
    <w:p w14:paraId="5FAC98DF">
      <w:pPr>
        <w:tabs>
          <w:tab w:val="left" w:pos="480"/>
        </w:tabs>
        <w:spacing w:line="360" w:lineRule="auto"/>
        <w:outlineLvl w:val="1"/>
        <w:rPr>
          <w:rFonts w:hAnsi="宋体" w:cs="宋体"/>
          <w:b/>
          <w:color w:val="auto"/>
          <w:szCs w:val="21"/>
          <w:highlight w:val="none"/>
        </w:rPr>
      </w:pPr>
      <w:bookmarkStart w:id="176" w:name="_Toc11478"/>
      <w:bookmarkStart w:id="177" w:name="_Toc25612"/>
      <w:bookmarkStart w:id="178" w:name="_Toc7342"/>
      <w:bookmarkStart w:id="179" w:name="_Toc18389"/>
      <w:bookmarkStart w:id="180" w:name="_Toc2858"/>
      <w:r>
        <w:rPr>
          <w:rFonts w:hint="eastAsia" w:hAnsi="宋体" w:cs="宋体"/>
          <w:b/>
          <w:color w:val="auto"/>
          <w:szCs w:val="21"/>
          <w:highlight w:val="none"/>
        </w:rPr>
        <w:t>十、合同生效</w:t>
      </w:r>
      <w:bookmarkEnd w:id="176"/>
      <w:bookmarkEnd w:id="177"/>
      <w:bookmarkEnd w:id="178"/>
      <w:bookmarkEnd w:id="179"/>
      <w:bookmarkEnd w:id="180"/>
    </w:p>
    <w:p w14:paraId="33EE046C">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本合同一式</w:t>
      </w:r>
      <w:r>
        <w:rPr>
          <w:rFonts w:hint="eastAsia" w:hAnsi="宋体" w:cs="宋体"/>
          <w:color w:val="auto"/>
          <w:szCs w:val="21"/>
          <w:highlight w:val="none"/>
          <w:u w:val="single"/>
        </w:rPr>
        <w:t xml:space="preserve">   </w:t>
      </w:r>
      <w:r>
        <w:rPr>
          <w:rFonts w:hint="eastAsia" w:hAnsi="宋体" w:cs="宋体"/>
          <w:color w:val="auto"/>
          <w:szCs w:val="21"/>
          <w:highlight w:val="none"/>
        </w:rPr>
        <w:t>份，甲方执</w:t>
      </w:r>
      <w:r>
        <w:rPr>
          <w:rFonts w:hint="eastAsia" w:hAnsi="宋体" w:cs="宋体"/>
          <w:color w:val="auto"/>
          <w:szCs w:val="21"/>
          <w:highlight w:val="none"/>
          <w:u w:val="single"/>
        </w:rPr>
        <w:t xml:space="preserve">   </w:t>
      </w:r>
      <w:r>
        <w:rPr>
          <w:rFonts w:hint="eastAsia" w:hAnsi="宋体" w:cs="宋体"/>
          <w:color w:val="auto"/>
          <w:szCs w:val="21"/>
          <w:highlight w:val="none"/>
        </w:rPr>
        <w:t>份，乙方执</w:t>
      </w:r>
      <w:r>
        <w:rPr>
          <w:rFonts w:hint="eastAsia" w:hAnsi="宋体" w:cs="宋体"/>
          <w:color w:val="auto"/>
          <w:szCs w:val="21"/>
          <w:highlight w:val="none"/>
          <w:u w:val="single"/>
        </w:rPr>
        <w:t xml:space="preserve">    </w:t>
      </w:r>
      <w:r>
        <w:rPr>
          <w:rFonts w:hint="eastAsia" w:hAnsi="宋体" w:cs="宋体"/>
          <w:color w:val="auto"/>
          <w:szCs w:val="21"/>
          <w:highlight w:val="none"/>
        </w:rPr>
        <w:t>份，本合同甲、乙、确认各方签字盖章后生效，合同执行完毕后，自动失效（合同的服务承诺则长期有效）。</w:t>
      </w:r>
    </w:p>
    <w:p w14:paraId="19FE5284">
      <w:pPr>
        <w:tabs>
          <w:tab w:val="left" w:pos="480"/>
        </w:tabs>
        <w:spacing w:line="360" w:lineRule="auto"/>
        <w:outlineLvl w:val="1"/>
        <w:rPr>
          <w:rFonts w:hAnsi="宋体" w:cs="宋体"/>
          <w:b/>
          <w:color w:val="auto"/>
          <w:szCs w:val="21"/>
          <w:highlight w:val="none"/>
        </w:rPr>
      </w:pPr>
      <w:bookmarkStart w:id="181" w:name="_Toc823"/>
      <w:bookmarkStart w:id="182" w:name="_Toc31909"/>
      <w:bookmarkStart w:id="183" w:name="_Toc18225"/>
      <w:bookmarkStart w:id="184" w:name="_Toc18381"/>
      <w:bookmarkStart w:id="185" w:name="_Toc21232"/>
      <w:r>
        <w:rPr>
          <w:rFonts w:hint="eastAsia" w:hAnsi="宋体" w:cs="宋体"/>
          <w:b/>
          <w:color w:val="auto"/>
          <w:szCs w:val="21"/>
          <w:highlight w:val="none"/>
        </w:rPr>
        <w:t>十一、其他事项</w:t>
      </w:r>
      <w:bookmarkEnd w:id="181"/>
      <w:bookmarkEnd w:id="182"/>
      <w:bookmarkEnd w:id="183"/>
      <w:bookmarkEnd w:id="184"/>
      <w:bookmarkEnd w:id="185"/>
    </w:p>
    <w:p w14:paraId="54B242A6">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（一）竞争性磋商文件、竞争性磋商响应文件、澄清表（函）、成交通知书、合同附件均成为合同不可分割的部分。</w:t>
      </w:r>
    </w:p>
    <w:p w14:paraId="42F78C3E">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（二）合同未尽事宜，由甲、乙双方协商，作为合同补充，与原合同具有同等法律效力。</w:t>
      </w:r>
    </w:p>
    <w:p w14:paraId="20688963">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（三）合同一经签订，不得擅自变更、中止或终止合同。但若与甲方的上级管理机关的政策性行为或其他规定发生冲突，甲方有权与乙方协商调整协议内容或终止协议执行。</w:t>
      </w:r>
    </w:p>
    <w:p w14:paraId="4A66F14D">
      <w:pPr>
        <w:spacing w:line="360" w:lineRule="auto"/>
        <w:ind w:firstLine="420"/>
        <w:rPr>
          <w:color w:val="auto"/>
          <w:szCs w:val="24"/>
          <w:highlight w:val="none"/>
        </w:rPr>
      </w:pPr>
      <w:r>
        <w:rPr>
          <w:rFonts w:hint="eastAsia" w:hAnsi="宋体"/>
          <w:color w:val="auto"/>
          <w:szCs w:val="24"/>
          <w:highlight w:val="none"/>
        </w:rPr>
        <w:t>（四）执行本合同过程中发生争议，由当事人双方协商解决。协商不成，可向采购方所在地人民法院提起诉讼。</w:t>
      </w:r>
    </w:p>
    <w:p w14:paraId="38A1A53B">
      <w:pPr>
        <w:spacing w:line="360" w:lineRule="auto"/>
        <w:ind w:firstLine="420"/>
        <w:rPr>
          <w:color w:val="auto"/>
          <w:szCs w:val="24"/>
          <w:highlight w:val="none"/>
        </w:rPr>
      </w:pPr>
      <w:r>
        <w:rPr>
          <w:rFonts w:hint="eastAsia" w:hAnsi="宋体"/>
          <w:color w:val="auto"/>
          <w:szCs w:val="24"/>
          <w:highlight w:val="none"/>
        </w:rPr>
        <w:t>（五）如因不可抗力致使双方不能履行本合同中的部分或全部义务时，双方均不负违约责任。但不能履行义务一方应在合理的时间内，向对方报告所发生的不可抗力并提供有关部门的证明文件。本条所称“不可抗力”是指自然灾害、重大疫情、恶劣天气条件、政府行为、社会异常事件（包括罢工、政变、骚乱、游行等）或新颁布的法律、法规等不能预见、不能避免并不能克服的客观情况。</w:t>
      </w:r>
    </w:p>
    <w:p w14:paraId="25555D2E">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w:t>
      </w:r>
      <w:r>
        <w:rPr>
          <w:rFonts w:hint="eastAsia" w:hAnsi="宋体"/>
          <w:color w:val="auto"/>
          <w:szCs w:val="24"/>
          <w:highlight w:val="none"/>
        </w:rPr>
        <w:t>六</w:t>
      </w:r>
      <w:r>
        <w:rPr>
          <w:rFonts w:hint="eastAsia" w:hAnsi="宋体" w:cs="宋体"/>
          <w:color w:val="auto"/>
          <w:szCs w:val="21"/>
          <w:highlight w:val="none"/>
        </w:rPr>
        <w:t>）本合同按照中华人民共和国的现行法律进行解释。</w:t>
      </w:r>
    </w:p>
    <w:p w14:paraId="24C25A72">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甲  方：（盖章）                          乙  方：（盖章）</w:t>
      </w:r>
    </w:p>
    <w:p w14:paraId="0A27078B">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单位名称：                                单位名称：</w:t>
      </w:r>
    </w:p>
    <w:p w14:paraId="149593C0">
      <w:pPr>
        <w:tabs>
          <w:tab w:val="left" w:pos="480"/>
        </w:tabs>
        <w:spacing w:line="360" w:lineRule="auto"/>
        <w:ind w:left="6720" w:leftChars="200" w:hanging="6240" w:hangingChars="2600"/>
        <w:rPr>
          <w:rFonts w:hAnsi="宋体" w:cs="宋体"/>
          <w:color w:val="auto"/>
          <w:szCs w:val="21"/>
          <w:highlight w:val="none"/>
        </w:rPr>
      </w:pPr>
      <w:r>
        <w:rPr>
          <w:rFonts w:hint="eastAsia" w:hAnsi="宋体" w:cs="宋体"/>
          <w:color w:val="auto"/>
          <w:szCs w:val="21"/>
          <w:highlight w:val="none"/>
        </w:rPr>
        <w:t>地  址：                                  地  址：</w:t>
      </w:r>
    </w:p>
    <w:p w14:paraId="6A3BD43E">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法定代表人                                法定代表人</w:t>
      </w:r>
    </w:p>
    <w:p w14:paraId="1665A730">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或委托代理人：                            或委托代理人：</w:t>
      </w:r>
    </w:p>
    <w:p w14:paraId="3D20BD34">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 xml:space="preserve">                                          开户银行：</w:t>
      </w:r>
    </w:p>
    <w:p w14:paraId="79CBC73A">
      <w:pPr>
        <w:tabs>
          <w:tab w:val="left" w:pos="480"/>
        </w:tabs>
        <w:spacing w:line="360" w:lineRule="auto"/>
        <w:ind w:firstLine="5520" w:firstLineChars="2300"/>
        <w:rPr>
          <w:rFonts w:hAnsi="宋体" w:cs="宋体"/>
          <w:color w:val="auto"/>
          <w:szCs w:val="21"/>
          <w:highlight w:val="none"/>
        </w:rPr>
      </w:pPr>
      <w:r>
        <w:rPr>
          <w:rFonts w:hint="eastAsia" w:hAnsi="宋体" w:cs="宋体"/>
          <w:color w:val="auto"/>
          <w:szCs w:val="21"/>
          <w:highlight w:val="none"/>
        </w:rPr>
        <w:t xml:space="preserve">账  号：       </w:t>
      </w:r>
    </w:p>
    <w:p w14:paraId="0916EADE">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联系电话：                                联系电话：</w:t>
      </w:r>
    </w:p>
    <w:p w14:paraId="43B69315">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签订日期：     年    月      日           签订日期：     年    月   日</w:t>
      </w:r>
    </w:p>
    <w:p w14:paraId="469C287B">
      <w:pPr>
        <w:rPr>
          <w:color w:val="auto"/>
          <w:highlight w:val="none"/>
        </w:rPr>
      </w:pPr>
    </w:p>
    <w:p w14:paraId="2FA9752C">
      <w:pPr>
        <w:pStyle w:val="2"/>
        <w:jc w:val="center"/>
        <w:rPr>
          <w:rFonts w:ascii="宋体" w:eastAsia="宋体" w:cs="宋体"/>
          <w:bCs/>
          <w:color w:val="auto"/>
          <w:sz w:val="36"/>
          <w:szCs w:val="36"/>
          <w:highlight w:val="none"/>
        </w:rPr>
      </w:pPr>
      <w:r>
        <w:rPr>
          <w:rFonts w:hint="eastAsia" w:ascii="宋体" w:eastAsia="宋体" w:cs="宋体"/>
          <w:b w:val="0"/>
          <w:color w:val="auto"/>
          <w:szCs w:val="21"/>
          <w:highlight w:val="none"/>
        </w:rPr>
        <w:br w:type="page"/>
      </w:r>
      <w:bookmarkStart w:id="186" w:name="_Toc4254"/>
      <w:bookmarkStart w:id="187" w:name="_Toc8072"/>
      <w:bookmarkStart w:id="188" w:name="_Toc1119"/>
      <w:r>
        <w:rPr>
          <w:rFonts w:hint="eastAsia" w:ascii="宋体" w:eastAsia="宋体" w:cs="宋体"/>
          <w:bCs/>
          <w:color w:val="auto"/>
          <w:sz w:val="36"/>
          <w:szCs w:val="36"/>
          <w:highlight w:val="none"/>
        </w:rPr>
        <w:t xml:space="preserve">第五章 </w:t>
      </w:r>
      <w:bookmarkEnd w:id="112"/>
      <w:bookmarkEnd w:id="113"/>
      <w:bookmarkEnd w:id="114"/>
      <w:bookmarkEnd w:id="115"/>
      <w:bookmarkEnd w:id="116"/>
      <w:bookmarkEnd w:id="117"/>
      <w:bookmarkEnd w:id="118"/>
      <w:bookmarkEnd w:id="119"/>
      <w:bookmarkEnd w:id="120"/>
      <w:r>
        <w:rPr>
          <w:rFonts w:hint="eastAsia" w:ascii="宋体" w:eastAsia="宋体" w:cs="宋体"/>
          <w:bCs/>
          <w:color w:val="auto"/>
          <w:sz w:val="36"/>
          <w:szCs w:val="36"/>
          <w:highlight w:val="none"/>
        </w:rPr>
        <w:t xml:space="preserve"> 磋商内容及技术要求</w:t>
      </w:r>
      <w:bookmarkEnd w:id="186"/>
      <w:bookmarkEnd w:id="187"/>
      <w:bookmarkEnd w:id="188"/>
    </w:p>
    <w:bookmarkEnd w:id="72"/>
    <w:p w14:paraId="2BF016FB">
      <w:pPr>
        <w:spacing w:line="360" w:lineRule="auto"/>
        <w:rPr>
          <w:rFonts w:hint="default" w:ascii="宋体" w:hAnsi="宋体" w:eastAsia="宋体" w:cs="Times New Roman"/>
          <w:b/>
          <w:bCs/>
          <w:color w:val="auto"/>
          <w:szCs w:val="24"/>
          <w:highlight w:val="none"/>
          <w:lang w:val="en-US" w:eastAsia="zh-CN"/>
        </w:rPr>
      </w:pPr>
      <w:bookmarkStart w:id="189" w:name="_Toc423973079"/>
      <w:bookmarkStart w:id="190" w:name="_Toc403077646"/>
      <w:bookmarkStart w:id="191" w:name="_Toc6373"/>
      <w:bookmarkStart w:id="192" w:name="_Toc363474025"/>
      <w:bookmarkStart w:id="193" w:name="_Toc5084"/>
      <w:r>
        <w:rPr>
          <w:rFonts w:hint="eastAsia" w:ascii="宋体" w:hAnsi="宋体" w:eastAsia="宋体" w:cs="Times New Roman"/>
          <w:b/>
          <w:bCs/>
          <w:color w:val="auto"/>
          <w:szCs w:val="24"/>
          <w:highlight w:val="none"/>
        </w:rPr>
        <w:t>一、</w:t>
      </w:r>
      <w:r>
        <w:rPr>
          <w:rFonts w:hint="eastAsia" w:hAnsi="宋体" w:cs="Times New Roman"/>
          <w:b/>
          <w:bCs/>
          <w:color w:val="auto"/>
          <w:szCs w:val="24"/>
          <w:highlight w:val="none"/>
          <w:lang w:val="en-US" w:eastAsia="zh-CN"/>
        </w:rPr>
        <w:t>活动内容</w:t>
      </w:r>
    </w:p>
    <w:p w14:paraId="09AC9960">
      <w:pPr>
        <w:spacing w:line="360" w:lineRule="auto"/>
        <w:ind w:firstLine="420"/>
        <w:rPr>
          <w:rFonts w:hint="eastAsia" w:ascii="宋体" w:hAnsi="宋体" w:eastAsia="宋体" w:cs="Times New Roman"/>
          <w:color w:val="auto"/>
          <w:szCs w:val="24"/>
          <w:highlight w:val="none"/>
          <w:lang w:eastAsia="zh-CN"/>
        </w:rPr>
      </w:pPr>
      <w:r>
        <w:rPr>
          <w:rFonts w:hint="eastAsia" w:ascii="宋体" w:hAnsi="宋体" w:eastAsia="宋体" w:cs="Times New Roman"/>
          <w:color w:val="auto"/>
          <w:szCs w:val="24"/>
          <w:highlight w:val="none"/>
        </w:rPr>
        <w:t>联动相关</w:t>
      </w:r>
      <w:r>
        <w:rPr>
          <w:rFonts w:hint="eastAsia" w:hAnsi="宋体" w:cs="Times New Roman"/>
          <w:color w:val="auto"/>
          <w:szCs w:val="24"/>
          <w:highlight w:val="none"/>
          <w:lang w:val="en-US" w:eastAsia="zh-CN"/>
        </w:rPr>
        <w:t>部门和社会力量</w:t>
      </w:r>
      <w:r>
        <w:rPr>
          <w:rFonts w:hint="eastAsia" w:ascii="宋体" w:hAnsi="宋体" w:eastAsia="宋体" w:cs="Times New Roman"/>
          <w:color w:val="auto"/>
          <w:szCs w:val="24"/>
          <w:highlight w:val="none"/>
        </w:rPr>
        <w:t>，以“</w:t>
      </w:r>
      <w:r>
        <w:rPr>
          <w:rFonts w:hint="eastAsia" w:hAnsi="宋体" w:cs="Times New Roman"/>
          <w:color w:val="auto"/>
          <w:szCs w:val="24"/>
          <w:highlight w:val="none"/>
          <w:lang w:val="en-US" w:eastAsia="zh-CN"/>
        </w:rPr>
        <w:t>网络</w:t>
      </w:r>
      <w:r>
        <w:rPr>
          <w:rFonts w:hint="eastAsia" w:ascii="宋体" w:hAnsi="宋体" w:eastAsia="宋体" w:cs="Times New Roman"/>
          <w:color w:val="auto"/>
          <w:szCs w:val="24"/>
          <w:highlight w:val="none"/>
        </w:rPr>
        <w:t>‘</w:t>
      </w:r>
      <w:r>
        <w:rPr>
          <w:rFonts w:hint="eastAsia" w:hAnsi="宋体" w:cs="Times New Roman"/>
          <w:color w:val="auto"/>
          <w:szCs w:val="24"/>
          <w:highlight w:val="none"/>
          <w:lang w:val="en-US" w:eastAsia="zh-CN"/>
        </w:rPr>
        <w:t>服务</w:t>
      </w:r>
      <w:r>
        <w:rPr>
          <w:rFonts w:hint="eastAsia" w:ascii="宋体" w:hAnsi="宋体" w:eastAsia="宋体" w:cs="Times New Roman"/>
          <w:color w:val="auto"/>
          <w:szCs w:val="24"/>
          <w:highlight w:val="none"/>
        </w:rPr>
        <w:t>’下乡+心愿帮扶+网络传播”</w:t>
      </w:r>
      <w:r>
        <w:rPr>
          <w:rFonts w:hint="eastAsia" w:hAnsi="宋体" w:cs="Times New Roman"/>
          <w:color w:val="auto"/>
          <w:szCs w:val="24"/>
          <w:highlight w:val="none"/>
          <w:lang w:val="en-US" w:eastAsia="zh-CN"/>
        </w:rPr>
        <w:t>的形式</w:t>
      </w:r>
      <w:r>
        <w:rPr>
          <w:rFonts w:hint="eastAsia" w:ascii="宋体" w:hAnsi="宋体" w:eastAsia="宋体" w:cs="Times New Roman"/>
          <w:color w:val="auto"/>
          <w:szCs w:val="24"/>
          <w:highlight w:val="none"/>
        </w:rPr>
        <w:t>，</w:t>
      </w:r>
      <w:r>
        <w:rPr>
          <w:rFonts w:hint="eastAsia" w:hAnsi="宋体" w:cs="Times New Roman"/>
          <w:color w:val="auto"/>
          <w:szCs w:val="24"/>
          <w:highlight w:val="none"/>
          <w:lang w:val="en-US" w:eastAsia="zh-CN"/>
        </w:rPr>
        <w:t>进入西安农村地区镇村，组织3场线下活动，</w:t>
      </w:r>
      <w:r>
        <w:rPr>
          <w:rFonts w:hint="eastAsia" w:ascii="宋体" w:hAnsi="宋体" w:eastAsia="宋体" w:cs="Times New Roman"/>
          <w:color w:val="auto"/>
          <w:szCs w:val="24"/>
          <w:highlight w:val="none"/>
        </w:rPr>
        <w:t>为留守老人送去科技关怀</w:t>
      </w:r>
      <w:r>
        <w:rPr>
          <w:rFonts w:hint="eastAsia" w:hAnsi="宋体" w:cs="Times New Roman"/>
          <w:color w:val="auto"/>
          <w:szCs w:val="24"/>
          <w:highlight w:val="none"/>
          <w:lang w:eastAsia="zh-CN"/>
        </w:rPr>
        <w:t>。</w:t>
      </w:r>
      <w:r>
        <w:rPr>
          <w:rFonts w:hint="eastAsia" w:ascii="宋体" w:hAnsi="宋体" w:eastAsia="宋体" w:cs="Times New Roman"/>
          <w:color w:val="auto"/>
          <w:szCs w:val="24"/>
          <w:highlight w:val="none"/>
        </w:rPr>
        <w:t>同步采集“微心愿”并联动社会力量定向帮扶</w:t>
      </w:r>
      <w:r>
        <w:rPr>
          <w:rFonts w:hint="eastAsia" w:hAnsi="宋体" w:cs="Times New Roman"/>
          <w:color w:val="auto"/>
          <w:szCs w:val="24"/>
          <w:highlight w:val="none"/>
          <w:lang w:eastAsia="zh-CN"/>
        </w:rPr>
        <w:t>。</w:t>
      </w:r>
      <w:r>
        <w:rPr>
          <w:rFonts w:hint="eastAsia" w:ascii="宋体" w:hAnsi="宋体" w:eastAsia="宋体" w:cs="Times New Roman"/>
          <w:color w:val="auto"/>
          <w:szCs w:val="24"/>
          <w:highlight w:val="none"/>
        </w:rPr>
        <w:t>切实解决老年人面临的数字</w:t>
      </w:r>
      <w:r>
        <w:rPr>
          <w:rFonts w:hint="eastAsia" w:hAnsi="宋体" w:cs="Times New Roman"/>
          <w:color w:val="auto"/>
          <w:szCs w:val="24"/>
          <w:highlight w:val="none"/>
          <w:lang w:val="en-US" w:eastAsia="zh-CN"/>
        </w:rPr>
        <w:t>素养提升</w:t>
      </w:r>
      <w:r>
        <w:rPr>
          <w:rFonts w:hint="eastAsia" w:ascii="宋体" w:hAnsi="宋体" w:eastAsia="宋体" w:cs="Times New Roman"/>
          <w:color w:val="auto"/>
          <w:szCs w:val="24"/>
          <w:highlight w:val="none"/>
        </w:rPr>
        <w:t>、网络健康、急救知识</w:t>
      </w:r>
      <w:r>
        <w:rPr>
          <w:rFonts w:hint="eastAsia" w:hAnsi="宋体" w:cs="Times New Roman"/>
          <w:color w:val="auto"/>
          <w:szCs w:val="24"/>
          <w:highlight w:val="none"/>
          <w:lang w:val="en-US" w:eastAsia="zh-CN"/>
        </w:rPr>
        <w:t>普及</w:t>
      </w:r>
      <w:r>
        <w:rPr>
          <w:rFonts w:hint="eastAsia" w:hAnsi="宋体" w:cs="Times New Roman"/>
          <w:color w:val="auto"/>
          <w:szCs w:val="24"/>
          <w:highlight w:val="none"/>
          <w:lang w:eastAsia="zh-CN"/>
        </w:rPr>
        <w:t>、</w:t>
      </w:r>
      <w:r>
        <w:rPr>
          <w:rFonts w:hint="eastAsia" w:ascii="宋体" w:hAnsi="宋体" w:eastAsia="宋体" w:cs="Times New Roman"/>
          <w:color w:val="auto"/>
          <w:szCs w:val="24"/>
          <w:highlight w:val="none"/>
        </w:rPr>
        <w:t>心理健康</w:t>
      </w:r>
      <w:r>
        <w:rPr>
          <w:rFonts w:hint="eastAsia" w:hAnsi="宋体" w:cs="Times New Roman"/>
          <w:color w:val="auto"/>
          <w:szCs w:val="24"/>
          <w:highlight w:val="none"/>
          <w:lang w:val="en-US" w:eastAsia="zh-CN"/>
        </w:rPr>
        <w:t>疏导</w:t>
      </w:r>
      <w:r>
        <w:rPr>
          <w:rFonts w:hint="eastAsia" w:hAnsi="宋体" w:cs="Times New Roman"/>
          <w:color w:val="auto"/>
          <w:szCs w:val="24"/>
          <w:highlight w:val="none"/>
          <w:lang w:eastAsia="zh-CN"/>
        </w:rPr>
        <w:t>、</w:t>
      </w:r>
      <w:r>
        <w:rPr>
          <w:rFonts w:hint="eastAsia" w:hAnsi="宋体" w:cs="Times New Roman"/>
          <w:color w:val="auto"/>
          <w:szCs w:val="24"/>
          <w:highlight w:val="none"/>
          <w:lang w:val="en-US" w:eastAsia="zh-CN"/>
        </w:rPr>
        <w:t>安全知识普</w:t>
      </w:r>
      <w:r>
        <w:rPr>
          <w:rFonts w:hint="eastAsia" w:hAnsi="宋体" w:cs="Times New Roman"/>
          <w:color w:val="auto"/>
          <w:szCs w:val="24"/>
          <w:highlight w:val="none"/>
          <w:lang w:val="en-US" w:eastAsia="zh-CN"/>
        </w:rPr>
        <w:t>及</w:t>
      </w:r>
      <w:r>
        <w:rPr>
          <w:rFonts w:hint="eastAsia" w:ascii="宋体" w:hAnsi="宋体" w:eastAsia="宋体" w:cs="Times New Roman"/>
          <w:color w:val="auto"/>
          <w:szCs w:val="24"/>
          <w:highlight w:val="none"/>
        </w:rPr>
        <w:t>等实际</w:t>
      </w:r>
      <w:r>
        <w:rPr>
          <w:rFonts w:hint="eastAsia" w:hAnsi="宋体" w:cs="Times New Roman"/>
          <w:color w:val="auto"/>
          <w:szCs w:val="24"/>
          <w:highlight w:val="none"/>
          <w:lang w:val="en-US" w:eastAsia="zh-CN"/>
        </w:rPr>
        <w:t>需求</w:t>
      </w:r>
      <w:r>
        <w:rPr>
          <w:rFonts w:hint="eastAsia" w:hAnsi="宋体" w:cs="Times New Roman"/>
          <w:color w:val="auto"/>
          <w:szCs w:val="24"/>
          <w:highlight w:val="none"/>
          <w:lang w:eastAsia="zh-CN"/>
        </w:rPr>
        <w:t>。</w:t>
      </w:r>
    </w:p>
    <w:p w14:paraId="0DCACDA3">
      <w:pPr>
        <w:spacing w:line="360" w:lineRule="auto"/>
        <w:rPr>
          <w:rFonts w:hint="eastAsia" w:ascii="宋体" w:hAnsi="宋体" w:eastAsia="宋体" w:cs="Times New Roman"/>
          <w:b/>
          <w:bCs/>
          <w:color w:val="auto"/>
          <w:szCs w:val="24"/>
          <w:highlight w:val="none"/>
        </w:rPr>
      </w:pPr>
      <w:r>
        <w:rPr>
          <w:rFonts w:hint="eastAsia" w:hAnsi="宋体" w:cs="Times New Roman"/>
          <w:b/>
          <w:bCs/>
          <w:color w:val="auto"/>
          <w:szCs w:val="24"/>
          <w:highlight w:val="none"/>
          <w:lang w:val="en-US" w:eastAsia="zh-CN"/>
        </w:rPr>
        <w:t>二</w:t>
      </w:r>
      <w:r>
        <w:rPr>
          <w:rFonts w:hint="eastAsia" w:ascii="宋体" w:hAnsi="宋体" w:eastAsia="宋体" w:cs="Times New Roman"/>
          <w:b/>
          <w:bCs/>
          <w:color w:val="auto"/>
          <w:szCs w:val="24"/>
          <w:highlight w:val="none"/>
        </w:rPr>
        <w:t>、制作融媒体产品</w:t>
      </w:r>
    </w:p>
    <w:p w14:paraId="3068A76B">
      <w:pPr>
        <w:spacing w:line="360" w:lineRule="auto"/>
        <w:ind w:firstLine="420"/>
        <w:rPr>
          <w:rFonts w:hint="default" w:ascii="宋体" w:hAnsi="宋体" w:eastAsia="宋体" w:cs="Times New Roman"/>
          <w:color w:val="auto"/>
          <w:szCs w:val="24"/>
          <w:highlight w:val="none"/>
          <w:lang w:val="en-US" w:eastAsia="zh-CN"/>
        </w:rPr>
      </w:pPr>
      <w:r>
        <w:rPr>
          <w:rFonts w:hint="eastAsia" w:hAnsi="宋体" w:cs="Times New Roman"/>
          <w:color w:val="auto"/>
          <w:szCs w:val="24"/>
          <w:highlight w:val="none"/>
          <w:lang w:val="en-US" w:eastAsia="zh-CN"/>
        </w:rPr>
        <w:t>制作</w:t>
      </w:r>
      <w:r>
        <w:rPr>
          <w:rFonts w:hint="eastAsia" w:ascii="宋体" w:hAnsi="宋体" w:eastAsia="宋体" w:cs="Times New Roman"/>
          <w:color w:val="auto"/>
          <w:szCs w:val="24"/>
          <w:highlight w:val="none"/>
        </w:rPr>
        <w:t>活动总结视频</w:t>
      </w:r>
      <w:r>
        <w:rPr>
          <w:rFonts w:hint="eastAsia" w:hAnsi="宋体" w:cs="Times New Roman"/>
          <w:color w:val="auto"/>
          <w:szCs w:val="24"/>
          <w:highlight w:val="none"/>
          <w:lang w:eastAsia="zh-CN"/>
        </w:rPr>
        <w:t>、</w:t>
      </w:r>
      <w:r>
        <w:rPr>
          <w:rFonts w:hint="eastAsia" w:ascii="宋体" w:hAnsi="宋体" w:eastAsia="宋体" w:cs="Times New Roman"/>
          <w:color w:val="auto"/>
          <w:szCs w:val="24"/>
          <w:highlight w:val="none"/>
        </w:rPr>
        <w:t>系列短视频</w:t>
      </w:r>
      <w:r>
        <w:rPr>
          <w:rFonts w:hint="eastAsia" w:hAnsi="宋体" w:cs="Times New Roman"/>
          <w:color w:val="auto"/>
          <w:szCs w:val="24"/>
          <w:highlight w:val="none"/>
          <w:lang w:eastAsia="zh-CN"/>
        </w:rPr>
        <w:t>、</w:t>
      </w:r>
      <w:r>
        <w:rPr>
          <w:rFonts w:hint="eastAsia" w:ascii="宋体" w:hAnsi="宋体" w:eastAsia="宋体" w:cs="Times New Roman"/>
          <w:color w:val="auto"/>
          <w:szCs w:val="24"/>
          <w:highlight w:val="none"/>
        </w:rPr>
        <w:t>图文</w:t>
      </w:r>
      <w:r>
        <w:rPr>
          <w:rFonts w:hint="eastAsia" w:hAnsi="宋体" w:cs="Times New Roman"/>
          <w:color w:val="auto"/>
          <w:szCs w:val="24"/>
          <w:highlight w:val="none"/>
          <w:lang w:eastAsia="zh-CN"/>
        </w:rPr>
        <w:t>、</w:t>
      </w:r>
      <w:r>
        <w:rPr>
          <w:rFonts w:hint="eastAsia" w:ascii="宋体" w:hAnsi="宋体" w:eastAsia="宋体" w:cs="Times New Roman"/>
          <w:color w:val="auto"/>
          <w:szCs w:val="24"/>
          <w:highlight w:val="none"/>
        </w:rPr>
        <w:t>数字助老资源和海报</w:t>
      </w:r>
      <w:r>
        <w:rPr>
          <w:rFonts w:hint="eastAsia" w:hAnsi="宋体" w:cs="Times New Roman"/>
          <w:color w:val="auto"/>
          <w:szCs w:val="24"/>
          <w:highlight w:val="none"/>
          <w:lang w:val="en-US" w:eastAsia="zh-CN"/>
        </w:rPr>
        <w:t>等内容</w:t>
      </w:r>
      <w:r>
        <w:rPr>
          <w:rFonts w:hint="eastAsia" w:hAnsi="宋体" w:cs="Times New Roman"/>
          <w:color w:val="auto"/>
          <w:szCs w:val="24"/>
          <w:highlight w:val="none"/>
          <w:lang w:eastAsia="zh-CN"/>
        </w:rPr>
        <w:t>，</w:t>
      </w:r>
      <w:r>
        <w:rPr>
          <w:rFonts w:hint="eastAsia" w:hAnsi="宋体" w:cs="Times New Roman"/>
          <w:color w:val="auto"/>
          <w:szCs w:val="24"/>
          <w:highlight w:val="none"/>
          <w:lang w:val="en-US" w:eastAsia="zh-CN"/>
        </w:rPr>
        <w:t>活动现场进行直播，</w:t>
      </w:r>
      <w:r>
        <w:rPr>
          <w:rFonts w:hint="eastAsia" w:ascii="宋体" w:hAnsi="宋体" w:eastAsia="宋体" w:cs="Times New Roman"/>
          <w:color w:val="auto"/>
          <w:szCs w:val="24"/>
          <w:highlight w:val="none"/>
        </w:rPr>
        <w:t>打造“西安温度”公益品牌记忆点。</w:t>
      </w:r>
    </w:p>
    <w:p w14:paraId="66539BD9">
      <w:pPr>
        <w:spacing w:line="360" w:lineRule="auto"/>
        <w:rPr>
          <w:rFonts w:hint="eastAsia" w:ascii="宋体" w:hAnsi="宋体" w:eastAsia="宋体" w:cs="Times New Roman"/>
          <w:b/>
          <w:bCs/>
          <w:color w:val="auto"/>
          <w:szCs w:val="24"/>
          <w:highlight w:val="none"/>
        </w:rPr>
      </w:pPr>
      <w:r>
        <w:rPr>
          <w:rFonts w:hint="eastAsia" w:hAnsi="宋体" w:cs="Times New Roman"/>
          <w:b/>
          <w:bCs/>
          <w:color w:val="auto"/>
          <w:szCs w:val="24"/>
          <w:highlight w:val="none"/>
          <w:lang w:val="en-US" w:eastAsia="zh-CN"/>
        </w:rPr>
        <w:t>三</w:t>
      </w:r>
      <w:r>
        <w:rPr>
          <w:rFonts w:hint="eastAsia" w:ascii="宋体" w:hAnsi="宋体" w:eastAsia="宋体" w:cs="Times New Roman"/>
          <w:b/>
          <w:bCs/>
          <w:color w:val="auto"/>
          <w:szCs w:val="24"/>
          <w:highlight w:val="none"/>
        </w:rPr>
        <w:t>、网络传播</w:t>
      </w:r>
    </w:p>
    <w:p w14:paraId="31A010B1">
      <w:pPr>
        <w:spacing w:line="360" w:lineRule="auto"/>
        <w:ind w:firstLine="420"/>
        <w:rPr>
          <w:rFonts w:hint="eastAsia" w:ascii="宋体" w:hAnsi="宋体" w:eastAsia="宋体" w:cs="Times New Roman"/>
          <w:color w:val="auto"/>
          <w:szCs w:val="24"/>
          <w:highlight w:val="none"/>
          <w:lang w:eastAsia="zh-CN"/>
        </w:rPr>
      </w:pPr>
      <w:r>
        <w:rPr>
          <w:rFonts w:hint="eastAsia" w:ascii="宋体" w:hAnsi="宋体" w:eastAsia="宋体" w:cs="Times New Roman"/>
          <w:color w:val="auto"/>
          <w:szCs w:val="24"/>
          <w:highlight w:val="none"/>
        </w:rPr>
        <w:t>在中省市主流网络媒体推送融媒体作品，宣传报道活动全程</w:t>
      </w:r>
      <w:r>
        <w:rPr>
          <w:rFonts w:hint="eastAsia" w:hAnsi="宋体" w:cs="Times New Roman"/>
          <w:color w:val="auto"/>
          <w:szCs w:val="24"/>
          <w:highlight w:val="none"/>
          <w:lang w:eastAsia="zh-CN"/>
        </w:rPr>
        <w:t>；</w:t>
      </w:r>
      <w:r>
        <w:rPr>
          <w:rFonts w:hint="eastAsia" w:ascii="宋体" w:hAnsi="宋体" w:eastAsia="宋体" w:cs="Times New Roman"/>
          <w:color w:val="auto"/>
          <w:szCs w:val="24"/>
          <w:highlight w:val="none"/>
        </w:rPr>
        <w:t>构建“参与单位+网络大V”传播矩阵，在活动策划执行全过程各有侧重的</w:t>
      </w:r>
      <w:r>
        <w:rPr>
          <w:rFonts w:hint="eastAsia" w:hAnsi="宋体" w:cs="Times New Roman"/>
          <w:color w:val="auto"/>
          <w:szCs w:val="24"/>
          <w:highlight w:val="none"/>
          <w:lang w:val="en-US" w:eastAsia="zh-CN"/>
        </w:rPr>
        <w:t>进行</w:t>
      </w:r>
      <w:r>
        <w:rPr>
          <w:rFonts w:hint="eastAsia" w:ascii="宋体" w:hAnsi="宋体" w:eastAsia="宋体" w:cs="Times New Roman"/>
          <w:color w:val="auto"/>
          <w:szCs w:val="24"/>
          <w:highlight w:val="none"/>
        </w:rPr>
        <w:t>传播</w:t>
      </w:r>
      <w:r>
        <w:rPr>
          <w:rFonts w:hint="eastAsia" w:hAnsi="宋体" w:cs="Times New Roman"/>
          <w:color w:val="auto"/>
          <w:szCs w:val="24"/>
          <w:highlight w:val="none"/>
          <w:lang w:eastAsia="zh-CN"/>
        </w:rPr>
        <w:t>。</w:t>
      </w:r>
    </w:p>
    <w:p w14:paraId="4655E58B">
      <w:pPr>
        <w:spacing w:line="360" w:lineRule="auto"/>
        <w:ind w:firstLine="420"/>
        <w:rPr>
          <w:rFonts w:hint="eastAsia" w:ascii="宋体" w:hAnsi="宋体" w:eastAsia="宋体" w:cs="Times New Roman"/>
          <w:color w:val="auto"/>
          <w:szCs w:val="24"/>
          <w:highlight w:val="none"/>
        </w:rPr>
      </w:pPr>
      <w:r>
        <w:rPr>
          <w:rFonts w:hint="eastAsia" w:hAnsi="宋体" w:cs="Times New Roman"/>
          <w:color w:val="auto"/>
          <w:szCs w:val="24"/>
          <w:highlight w:val="none"/>
          <w:lang w:val="en-US" w:eastAsia="zh-CN"/>
        </w:rPr>
        <w:t>服务要求：</w:t>
      </w:r>
      <w:r>
        <w:rPr>
          <w:rFonts w:hint="eastAsia" w:hAnsi="宋体" w:cs="Times New Roman"/>
          <w:color w:val="auto"/>
          <w:szCs w:val="24"/>
          <w:highlight w:val="none"/>
          <w:lang w:val="en-US" w:eastAsia="zh-CN"/>
        </w:rPr>
        <w:t>举办</w:t>
      </w:r>
      <w:r>
        <w:rPr>
          <w:rFonts w:hint="eastAsia" w:ascii="宋体" w:hAnsi="宋体" w:eastAsia="宋体" w:cs="Times New Roman"/>
          <w:color w:val="auto"/>
          <w:szCs w:val="24"/>
          <w:highlight w:val="none"/>
        </w:rPr>
        <w:t>线下主题活动3场，活动总结视频1部，稿件及图文制作内容不少于9篇，创意海报不少于9张，系列短视频不少于9条，</w:t>
      </w:r>
      <w:r>
        <w:rPr>
          <w:rFonts w:hint="eastAsia" w:hAnsi="宋体" w:cs="Times New Roman"/>
          <w:color w:val="auto"/>
          <w:szCs w:val="24"/>
          <w:highlight w:val="none"/>
          <w:lang w:val="en-US" w:eastAsia="zh-CN"/>
        </w:rPr>
        <w:t>开展</w:t>
      </w:r>
      <w:r>
        <w:rPr>
          <w:rFonts w:hint="eastAsia" w:ascii="宋体" w:hAnsi="宋体" w:eastAsia="宋体" w:cs="Times New Roman"/>
          <w:color w:val="auto"/>
          <w:szCs w:val="24"/>
          <w:highlight w:val="none"/>
        </w:rPr>
        <w:t>活动宣传推广。</w:t>
      </w:r>
    </w:p>
    <w:p w14:paraId="731EA5DB">
      <w:pPr>
        <w:spacing w:line="360" w:lineRule="auto"/>
        <w:ind w:firstLine="420"/>
        <w:rPr>
          <w:rStyle w:val="29"/>
          <w:rFonts w:hint="eastAsia" w:ascii="宋体" w:eastAsia="宋体" w:cs="宋体"/>
          <w:color w:val="auto"/>
          <w:sz w:val="36"/>
          <w:szCs w:val="21"/>
          <w:highlight w:val="none"/>
        </w:rPr>
      </w:pPr>
      <w:r>
        <w:rPr>
          <w:rStyle w:val="29"/>
          <w:rFonts w:hint="eastAsia" w:ascii="宋体" w:eastAsia="宋体" w:cs="宋体"/>
          <w:color w:val="auto"/>
          <w:sz w:val="36"/>
          <w:szCs w:val="21"/>
          <w:highlight w:val="none"/>
        </w:rPr>
        <w:br w:type="page"/>
      </w:r>
    </w:p>
    <w:p w14:paraId="2ABB4366">
      <w:pPr>
        <w:tabs>
          <w:tab w:val="left" w:pos="480"/>
        </w:tabs>
        <w:spacing w:line="360" w:lineRule="auto"/>
        <w:jc w:val="center"/>
        <w:outlineLvl w:val="0"/>
        <w:rPr>
          <w:rFonts w:hAnsi="宋体" w:cs="宋体"/>
          <w:bCs/>
          <w:color w:val="auto"/>
          <w:kern w:val="2"/>
          <w:sz w:val="36"/>
          <w:szCs w:val="36"/>
          <w:highlight w:val="none"/>
        </w:rPr>
      </w:pPr>
      <w:bookmarkStart w:id="194" w:name="_Toc16389"/>
      <w:r>
        <w:rPr>
          <w:rStyle w:val="29"/>
          <w:rFonts w:hint="eastAsia" w:ascii="宋体" w:eastAsia="宋体" w:cs="宋体"/>
          <w:color w:val="auto"/>
          <w:sz w:val="36"/>
          <w:szCs w:val="21"/>
          <w:highlight w:val="none"/>
        </w:rPr>
        <w:t>第六章  竞争性磋商响应文件格式</w:t>
      </w:r>
      <w:bookmarkEnd w:id="189"/>
      <w:bookmarkEnd w:id="190"/>
      <w:bookmarkEnd w:id="191"/>
      <w:bookmarkEnd w:id="192"/>
      <w:bookmarkEnd w:id="193"/>
      <w:bookmarkEnd w:id="194"/>
    </w:p>
    <w:p w14:paraId="27600943">
      <w:pPr>
        <w:rPr>
          <w:rFonts w:hAnsi="宋体" w:cs="宋体"/>
          <w:color w:val="auto"/>
          <w:highlight w:val="none"/>
        </w:rPr>
      </w:pPr>
    </w:p>
    <w:p w14:paraId="7E87AE6D">
      <w:pPr>
        <w:rPr>
          <w:rFonts w:hAnsi="宋体" w:cs="宋体"/>
          <w:color w:val="auto"/>
          <w:highlight w:val="none"/>
        </w:rPr>
      </w:pPr>
    </w:p>
    <w:p w14:paraId="3AEE0798">
      <w:pPr>
        <w:rPr>
          <w:rFonts w:hAnsi="宋体" w:cs="宋体"/>
          <w:b/>
          <w:color w:val="auto"/>
          <w:sz w:val="32"/>
          <w:szCs w:val="32"/>
          <w:highlight w:val="none"/>
        </w:rPr>
      </w:pPr>
      <w:r>
        <w:rPr>
          <w:rFonts w:hint="eastAsia" w:hAnsi="宋体" w:cs="宋体"/>
          <w:b/>
          <w:bCs/>
          <w:color w:val="auto"/>
          <w:sz w:val="32"/>
          <w:szCs w:val="32"/>
          <w:highlight w:val="none"/>
        </w:rPr>
        <w:t>项目编号：</w:t>
      </w:r>
      <w:r>
        <w:rPr>
          <w:rFonts w:hint="eastAsia" w:hAnsi="宋体" w:cs="宋体"/>
          <w:b/>
          <w:bCs/>
          <w:color w:val="auto"/>
          <w:sz w:val="32"/>
          <w:szCs w:val="32"/>
          <w:highlight w:val="none"/>
          <w:lang w:eastAsia="zh-CN"/>
        </w:rPr>
        <w:t>SXZCZB2026-ZCCS-0635</w:t>
      </w:r>
      <w:r>
        <w:rPr>
          <w:rFonts w:hint="eastAsia" w:hAnsi="宋体" w:cs="宋体"/>
          <w:b/>
          <w:bCs/>
          <w:color w:val="auto"/>
          <w:sz w:val="32"/>
          <w:szCs w:val="32"/>
          <w:highlight w:val="none"/>
        </w:rPr>
        <w:t xml:space="preserve">         </w:t>
      </w:r>
      <w:r>
        <w:rPr>
          <w:rFonts w:hint="eastAsia" w:hAnsi="宋体" w:cs="宋体"/>
          <w:b/>
          <w:bCs/>
          <w:color w:val="auto"/>
          <w:sz w:val="32"/>
          <w:szCs w:val="32"/>
          <w:highlight w:val="none"/>
        </w:rPr>
        <w:tab/>
      </w:r>
      <w:r>
        <w:rPr>
          <w:rFonts w:hint="eastAsia" w:hAnsi="宋体" w:cs="宋体"/>
          <w:b/>
          <w:bCs/>
          <w:color w:val="auto"/>
          <w:sz w:val="32"/>
          <w:szCs w:val="32"/>
          <w:highlight w:val="none"/>
        </w:rPr>
        <w:tab/>
      </w:r>
      <w:r>
        <w:rPr>
          <w:rFonts w:hint="eastAsia" w:hAnsi="宋体" w:cs="宋体"/>
          <w:b/>
          <w:color w:val="auto"/>
          <w:sz w:val="32"/>
          <w:szCs w:val="32"/>
          <w:highlight w:val="none"/>
        </w:rPr>
        <w:t>（正本或副本）</w:t>
      </w:r>
    </w:p>
    <w:p w14:paraId="4C98D5D6">
      <w:pPr>
        <w:jc w:val="right"/>
        <w:rPr>
          <w:rFonts w:hAnsi="宋体" w:cs="宋体"/>
          <w:b/>
          <w:color w:val="auto"/>
          <w:sz w:val="32"/>
          <w:szCs w:val="32"/>
          <w:highlight w:val="none"/>
        </w:rPr>
      </w:pPr>
    </w:p>
    <w:p w14:paraId="15C224EE">
      <w:pPr>
        <w:jc w:val="right"/>
        <w:rPr>
          <w:rFonts w:hAnsi="宋体" w:cs="宋体"/>
          <w:b/>
          <w:color w:val="auto"/>
          <w:sz w:val="32"/>
          <w:szCs w:val="32"/>
          <w:highlight w:val="none"/>
        </w:rPr>
      </w:pPr>
    </w:p>
    <w:p w14:paraId="7AA1BD7D">
      <w:pPr>
        <w:pStyle w:val="9"/>
        <w:rPr>
          <w:color w:val="auto"/>
          <w:highlight w:val="none"/>
        </w:rPr>
      </w:pPr>
    </w:p>
    <w:p w14:paraId="6B8825D7">
      <w:pPr>
        <w:jc w:val="center"/>
        <w:rPr>
          <w:rFonts w:hint="eastAsia" w:hAnsi="宋体" w:cs="宋体"/>
          <w:b/>
          <w:color w:val="auto"/>
          <w:sz w:val="56"/>
          <w:szCs w:val="56"/>
          <w:highlight w:val="none"/>
          <w:lang w:eastAsia="zh-CN"/>
        </w:rPr>
      </w:pPr>
      <w:r>
        <w:rPr>
          <w:rFonts w:hint="eastAsia" w:hAnsi="宋体" w:cs="宋体"/>
          <w:b/>
          <w:color w:val="auto"/>
          <w:sz w:val="56"/>
          <w:szCs w:val="56"/>
          <w:highlight w:val="none"/>
          <w:lang w:eastAsia="zh-CN"/>
        </w:rPr>
        <w:t>西安温度暖益绵长互联网科技助老公益活动</w:t>
      </w:r>
    </w:p>
    <w:p w14:paraId="2DF1B197">
      <w:pPr>
        <w:rPr>
          <w:rFonts w:hAnsi="宋体" w:cs="宋体"/>
          <w:color w:val="auto"/>
          <w:highlight w:val="none"/>
        </w:rPr>
      </w:pPr>
    </w:p>
    <w:p w14:paraId="2045A4C9">
      <w:pPr>
        <w:jc w:val="center"/>
        <w:rPr>
          <w:rFonts w:hint="eastAsia" w:hAnsi="宋体" w:cs="宋体"/>
          <w:b/>
          <w:color w:val="auto"/>
          <w:sz w:val="56"/>
          <w:szCs w:val="56"/>
          <w:highlight w:val="none"/>
        </w:rPr>
      </w:pPr>
    </w:p>
    <w:p w14:paraId="50EAEA5F">
      <w:pPr>
        <w:jc w:val="center"/>
        <w:rPr>
          <w:rFonts w:hint="eastAsia" w:hAnsi="宋体" w:cs="宋体"/>
          <w:b/>
          <w:color w:val="auto"/>
          <w:sz w:val="56"/>
          <w:szCs w:val="56"/>
          <w:highlight w:val="none"/>
        </w:rPr>
      </w:pPr>
    </w:p>
    <w:p w14:paraId="6BE67C48">
      <w:pPr>
        <w:jc w:val="center"/>
        <w:rPr>
          <w:rFonts w:hAnsi="宋体" w:cs="宋体"/>
          <w:b/>
          <w:color w:val="auto"/>
          <w:sz w:val="56"/>
          <w:szCs w:val="56"/>
          <w:highlight w:val="none"/>
        </w:rPr>
      </w:pPr>
      <w:r>
        <w:rPr>
          <w:rFonts w:hint="eastAsia" w:hAnsi="宋体" w:cs="宋体"/>
          <w:b/>
          <w:color w:val="auto"/>
          <w:sz w:val="56"/>
          <w:szCs w:val="56"/>
          <w:highlight w:val="none"/>
        </w:rPr>
        <w:t>竞争性磋商响应文件</w:t>
      </w:r>
    </w:p>
    <w:p w14:paraId="10BA74D6">
      <w:pPr>
        <w:jc w:val="center"/>
        <w:rPr>
          <w:rFonts w:hAnsi="宋体" w:cs="宋体"/>
          <w:b/>
          <w:color w:val="auto"/>
          <w:sz w:val="36"/>
          <w:szCs w:val="36"/>
          <w:highlight w:val="none"/>
        </w:rPr>
      </w:pPr>
    </w:p>
    <w:p w14:paraId="7DD1E4B1">
      <w:pPr>
        <w:rPr>
          <w:rFonts w:hAnsi="宋体" w:cs="宋体"/>
          <w:b/>
          <w:color w:val="auto"/>
          <w:sz w:val="36"/>
          <w:szCs w:val="36"/>
          <w:highlight w:val="none"/>
        </w:rPr>
      </w:pPr>
    </w:p>
    <w:p w14:paraId="2A31E9D6">
      <w:pPr>
        <w:pStyle w:val="9"/>
        <w:rPr>
          <w:color w:val="auto"/>
          <w:highlight w:val="none"/>
        </w:rPr>
      </w:pPr>
    </w:p>
    <w:p w14:paraId="451C77CF">
      <w:pPr>
        <w:rPr>
          <w:rFonts w:hAnsi="宋体" w:cs="宋体"/>
          <w:b/>
          <w:color w:val="auto"/>
          <w:sz w:val="36"/>
          <w:szCs w:val="36"/>
          <w:highlight w:val="none"/>
        </w:rPr>
      </w:pPr>
    </w:p>
    <w:p w14:paraId="04633E36">
      <w:pPr>
        <w:tabs>
          <w:tab w:val="center" w:pos="5346"/>
        </w:tabs>
        <w:spacing w:line="480" w:lineRule="auto"/>
        <w:jc w:val="center"/>
        <w:rPr>
          <w:rFonts w:hint="eastAsia" w:hAnsi="宋体" w:cs="宋体"/>
          <w:b/>
          <w:color w:val="auto"/>
          <w:sz w:val="32"/>
          <w:szCs w:val="32"/>
          <w:highlight w:val="none"/>
        </w:rPr>
      </w:pPr>
    </w:p>
    <w:p w14:paraId="4E14E2EE">
      <w:pPr>
        <w:tabs>
          <w:tab w:val="center" w:pos="5346"/>
        </w:tabs>
        <w:spacing w:line="480" w:lineRule="auto"/>
        <w:jc w:val="center"/>
        <w:rPr>
          <w:rFonts w:hAnsi="宋体" w:cs="宋体"/>
          <w:b/>
          <w:color w:val="auto"/>
          <w:sz w:val="32"/>
          <w:szCs w:val="32"/>
          <w:highlight w:val="none"/>
        </w:rPr>
      </w:pPr>
      <w:r>
        <w:rPr>
          <w:rFonts w:hint="eastAsia" w:hAnsi="宋体" w:cs="宋体"/>
          <w:b/>
          <w:color w:val="auto"/>
          <w:sz w:val="32"/>
          <w:szCs w:val="32"/>
          <w:highlight w:val="none"/>
        </w:rPr>
        <w:t>供应商名称（公章）</w:t>
      </w:r>
    </w:p>
    <w:p w14:paraId="5C454820">
      <w:pPr>
        <w:jc w:val="center"/>
        <w:rPr>
          <w:rFonts w:hAnsi="宋体" w:cs="宋体"/>
          <w:b/>
          <w:color w:val="auto"/>
          <w:sz w:val="44"/>
          <w:highlight w:val="none"/>
        </w:rPr>
      </w:pPr>
      <w:r>
        <w:rPr>
          <w:rFonts w:hint="eastAsia" w:hAnsi="宋体" w:cs="宋体"/>
          <w:b/>
          <w:color w:val="auto"/>
          <w:sz w:val="32"/>
          <w:szCs w:val="32"/>
          <w:highlight w:val="none"/>
        </w:rPr>
        <w:t xml:space="preserve"> 年   月</w:t>
      </w:r>
      <w:r>
        <w:rPr>
          <w:rFonts w:hint="eastAsia" w:hAnsi="宋体" w:cs="宋体"/>
          <w:b/>
          <w:color w:val="auto"/>
          <w:sz w:val="36"/>
          <w:szCs w:val="36"/>
          <w:highlight w:val="none"/>
        </w:rPr>
        <w:br w:type="page"/>
      </w:r>
      <w:bookmarkStart w:id="195" w:name="_Toc344572156"/>
    </w:p>
    <w:p w14:paraId="1F15D2FC">
      <w:pPr>
        <w:jc w:val="center"/>
        <w:rPr>
          <w:rFonts w:hAnsi="宋体" w:cs="宋体"/>
          <w:b/>
          <w:color w:val="auto"/>
          <w:sz w:val="44"/>
          <w:highlight w:val="none"/>
        </w:rPr>
      </w:pPr>
      <w:r>
        <w:rPr>
          <w:rFonts w:hint="eastAsia" w:hAnsi="宋体" w:cs="宋体"/>
          <w:b/>
          <w:color w:val="auto"/>
          <w:sz w:val="44"/>
          <w:highlight w:val="none"/>
        </w:rPr>
        <w:t>目  录</w:t>
      </w:r>
    </w:p>
    <w:p w14:paraId="40A0C0CE">
      <w:pPr>
        <w:pStyle w:val="9"/>
        <w:rPr>
          <w:color w:val="auto"/>
          <w:highlight w:val="none"/>
        </w:rPr>
      </w:pPr>
    </w:p>
    <w:p w14:paraId="5D846A2B">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一、磋商响应函</w:t>
      </w:r>
    </w:p>
    <w:p w14:paraId="68801BDC">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二、磋商报价表</w:t>
      </w:r>
    </w:p>
    <w:p w14:paraId="4037647A">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三、磋商方案说明书</w:t>
      </w:r>
    </w:p>
    <w:p w14:paraId="3396175F">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四、商务条款偏离表</w:t>
      </w:r>
    </w:p>
    <w:p w14:paraId="6245E076">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五、陕西省政府采购供应商拒绝政府采购领域商业贿赂承诺书</w:t>
      </w:r>
    </w:p>
    <w:p w14:paraId="3A2B9EB2">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六、特定资格证明文件</w:t>
      </w:r>
    </w:p>
    <w:p w14:paraId="02A05832">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七、其他</w:t>
      </w:r>
    </w:p>
    <w:p w14:paraId="333EEFD0">
      <w:pPr>
        <w:pStyle w:val="7"/>
        <w:spacing w:line="360" w:lineRule="auto"/>
        <w:rPr>
          <w:rFonts w:ascii="宋体" w:hAnsi="宋体" w:cs="宋体"/>
          <w:color w:val="auto"/>
          <w:highlight w:val="none"/>
        </w:rPr>
      </w:pPr>
    </w:p>
    <w:p w14:paraId="598F2FF4">
      <w:pPr>
        <w:pStyle w:val="7"/>
        <w:spacing w:line="360" w:lineRule="auto"/>
        <w:rPr>
          <w:rFonts w:ascii="宋体" w:hAnsi="宋体" w:cs="宋体"/>
          <w:color w:val="auto"/>
          <w:highlight w:val="none"/>
        </w:rPr>
      </w:pPr>
    </w:p>
    <w:p w14:paraId="633FAF57">
      <w:pPr>
        <w:pStyle w:val="7"/>
        <w:ind w:firstLine="880"/>
        <w:rPr>
          <w:rFonts w:ascii="宋体" w:hAnsi="宋体" w:cs="宋体"/>
          <w:bCs/>
          <w:color w:val="auto"/>
          <w:sz w:val="44"/>
          <w:highlight w:val="none"/>
        </w:rPr>
      </w:pPr>
    </w:p>
    <w:p w14:paraId="527405D6">
      <w:pPr>
        <w:pStyle w:val="7"/>
        <w:ind w:firstLine="880"/>
        <w:rPr>
          <w:rFonts w:ascii="宋体" w:hAnsi="宋体" w:cs="宋体"/>
          <w:bCs/>
          <w:color w:val="auto"/>
          <w:sz w:val="44"/>
          <w:highlight w:val="none"/>
        </w:rPr>
      </w:pPr>
    </w:p>
    <w:bookmarkEnd w:id="195"/>
    <w:p w14:paraId="57D57A6A">
      <w:pPr>
        <w:pStyle w:val="9"/>
        <w:rPr>
          <w:color w:val="auto"/>
          <w:highlight w:val="none"/>
        </w:rPr>
      </w:pPr>
      <w:bookmarkStart w:id="196" w:name="_Toc363474027"/>
      <w:bookmarkStart w:id="197" w:name="_Toc403077648"/>
      <w:bookmarkStart w:id="198" w:name="_Toc204524343"/>
    </w:p>
    <w:p w14:paraId="2F8C6C7F">
      <w:pPr>
        <w:pStyle w:val="9"/>
        <w:rPr>
          <w:color w:val="auto"/>
          <w:highlight w:val="none"/>
        </w:rPr>
      </w:pPr>
    </w:p>
    <w:p w14:paraId="72048236">
      <w:pPr>
        <w:pStyle w:val="9"/>
        <w:rPr>
          <w:color w:val="auto"/>
          <w:highlight w:val="none"/>
        </w:rPr>
      </w:pPr>
    </w:p>
    <w:p w14:paraId="6D3BB7F1">
      <w:pPr>
        <w:spacing w:line="520" w:lineRule="exact"/>
        <w:jc w:val="center"/>
        <w:outlineLvl w:val="1"/>
        <w:rPr>
          <w:rFonts w:hAnsi="宋体" w:cs="宋体"/>
          <w:b/>
          <w:color w:val="auto"/>
          <w:sz w:val="32"/>
          <w:szCs w:val="32"/>
          <w:highlight w:val="none"/>
        </w:rPr>
      </w:pPr>
      <w:r>
        <w:rPr>
          <w:rFonts w:hint="eastAsia" w:hAnsi="宋体" w:cs="宋体"/>
          <w:b/>
          <w:color w:val="auto"/>
          <w:sz w:val="32"/>
          <w:szCs w:val="32"/>
          <w:highlight w:val="none"/>
        </w:rPr>
        <w:br w:type="page"/>
      </w:r>
      <w:bookmarkStart w:id="199" w:name="_Toc16320"/>
      <w:bookmarkStart w:id="200" w:name="_Toc4367"/>
      <w:bookmarkStart w:id="201" w:name="_Toc15762"/>
      <w:bookmarkStart w:id="202" w:name="_Toc6128"/>
      <w:bookmarkStart w:id="203" w:name="_Toc28508"/>
      <w:bookmarkStart w:id="204" w:name="_Toc32002"/>
      <w:r>
        <w:rPr>
          <w:rFonts w:hint="eastAsia" w:hAnsi="宋体" w:cs="宋体"/>
          <w:b/>
          <w:color w:val="auto"/>
          <w:sz w:val="32"/>
          <w:szCs w:val="32"/>
          <w:highlight w:val="none"/>
        </w:rPr>
        <w:t>一、磋商</w:t>
      </w:r>
      <w:bookmarkEnd w:id="196"/>
      <w:bookmarkEnd w:id="197"/>
      <w:r>
        <w:rPr>
          <w:rFonts w:hint="eastAsia" w:hAnsi="宋体" w:cs="宋体"/>
          <w:b/>
          <w:color w:val="auto"/>
          <w:sz w:val="32"/>
          <w:szCs w:val="32"/>
          <w:highlight w:val="none"/>
        </w:rPr>
        <w:t>响应函</w:t>
      </w:r>
      <w:bookmarkEnd w:id="199"/>
      <w:bookmarkEnd w:id="200"/>
      <w:bookmarkEnd w:id="201"/>
      <w:bookmarkEnd w:id="202"/>
      <w:bookmarkEnd w:id="203"/>
      <w:bookmarkEnd w:id="204"/>
    </w:p>
    <w:p w14:paraId="4A4ED100">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致：</w:t>
      </w:r>
      <w:r>
        <w:rPr>
          <w:rFonts w:hint="eastAsia" w:hAnsi="宋体" w:cs="宋体"/>
          <w:color w:val="auto"/>
          <w:spacing w:val="4"/>
          <w:szCs w:val="24"/>
          <w:highlight w:val="none"/>
          <w:u w:val="single"/>
        </w:rPr>
        <w:t>陕西至诚项目管理集团有限公司</w:t>
      </w:r>
    </w:p>
    <w:p w14:paraId="4DA502E5">
      <w:pPr>
        <w:spacing w:line="360" w:lineRule="auto"/>
        <w:ind w:firstLine="496" w:firstLineChars="200"/>
        <w:rPr>
          <w:rFonts w:hAnsi="宋体" w:cs="宋体"/>
          <w:color w:val="auto"/>
          <w:spacing w:val="4"/>
          <w:szCs w:val="24"/>
          <w:highlight w:val="none"/>
        </w:rPr>
      </w:pPr>
      <w:r>
        <w:rPr>
          <w:rFonts w:hint="eastAsia" w:hAnsi="宋体" w:cs="宋体"/>
          <w:color w:val="auto"/>
          <w:spacing w:val="4"/>
          <w:szCs w:val="24"/>
          <w:highlight w:val="none"/>
        </w:rPr>
        <w:t>根据贵方“</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”项目的磋商邀请</w:t>
      </w:r>
      <w:r>
        <w:rPr>
          <w:rFonts w:hint="eastAsia" w:hAnsi="宋体" w:cs="宋体"/>
          <w:color w:val="auto"/>
          <w:spacing w:val="4"/>
          <w:szCs w:val="24"/>
          <w:highlight w:val="none"/>
          <w:u w:val="single"/>
        </w:rPr>
        <w:t>(项目编号：           )</w:t>
      </w:r>
      <w:r>
        <w:rPr>
          <w:rFonts w:hint="eastAsia" w:hAnsi="宋体" w:cs="宋体"/>
          <w:color w:val="auto"/>
          <w:spacing w:val="4"/>
          <w:szCs w:val="24"/>
          <w:highlight w:val="none"/>
        </w:rPr>
        <w:t>，签字代表</w:t>
      </w:r>
      <w:r>
        <w:rPr>
          <w:rFonts w:hint="eastAsia" w:hAnsi="宋体" w:cs="宋体"/>
          <w:color w:val="auto"/>
          <w:spacing w:val="4"/>
          <w:szCs w:val="24"/>
          <w:highlight w:val="none"/>
          <w:u w:val="single"/>
        </w:rPr>
        <w:t>（全名、职务）</w:t>
      </w:r>
      <w:r>
        <w:rPr>
          <w:rFonts w:hint="eastAsia" w:hAnsi="宋体" w:cs="宋体"/>
          <w:color w:val="auto"/>
          <w:spacing w:val="4"/>
          <w:szCs w:val="24"/>
          <w:highlight w:val="none"/>
        </w:rPr>
        <w:t>经正式授权并代表供应商</w:t>
      </w:r>
      <w:r>
        <w:rPr>
          <w:rFonts w:hint="eastAsia" w:hAnsi="宋体" w:cs="宋体"/>
          <w:color w:val="auto"/>
          <w:spacing w:val="4"/>
          <w:szCs w:val="24"/>
          <w:highlight w:val="none"/>
          <w:u w:val="single"/>
        </w:rPr>
        <w:t>(供应商名称、地址)</w:t>
      </w:r>
      <w:r>
        <w:rPr>
          <w:rFonts w:hint="eastAsia" w:hAnsi="宋体" w:cs="宋体"/>
          <w:color w:val="auto"/>
          <w:spacing w:val="4"/>
          <w:szCs w:val="24"/>
          <w:highlight w:val="none"/>
        </w:rPr>
        <w:t xml:space="preserve"> 提交竞争性磋商响应文件正本壹份、副本一式</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份、报价一览表</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份、电子版</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w:t>
      </w:r>
    </w:p>
    <w:p w14:paraId="36BE293B">
      <w:pPr>
        <w:spacing w:line="360" w:lineRule="auto"/>
        <w:ind w:left="624" w:leftChars="251" w:hanging="22" w:hangingChars="9"/>
        <w:jc w:val="left"/>
        <w:rPr>
          <w:rFonts w:hAnsi="宋体" w:cs="宋体"/>
          <w:color w:val="auto"/>
          <w:spacing w:val="4"/>
          <w:szCs w:val="24"/>
          <w:highlight w:val="none"/>
        </w:rPr>
      </w:pPr>
      <w:r>
        <w:rPr>
          <w:rFonts w:hint="eastAsia" w:hAnsi="宋体" w:cs="宋体"/>
          <w:color w:val="auto"/>
          <w:spacing w:val="4"/>
          <w:szCs w:val="24"/>
          <w:highlight w:val="none"/>
        </w:rPr>
        <w:t>我方承诺如下：</w:t>
      </w:r>
    </w:p>
    <w:p w14:paraId="74D415E5">
      <w:pPr>
        <w:numPr>
          <w:ilvl w:val="0"/>
          <w:numId w:val="4"/>
        </w:numPr>
        <w:tabs>
          <w:tab w:val="left" w:pos="2160"/>
        </w:tabs>
        <w:spacing w:line="360" w:lineRule="auto"/>
        <w:ind w:firstLine="496" w:firstLineChars="200"/>
        <w:jc w:val="left"/>
        <w:rPr>
          <w:rFonts w:hAnsi="宋体" w:cs="宋体"/>
          <w:color w:val="auto"/>
          <w:spacing w:val="4"/>
          <w:highlight w:val="none"/>
        </w:rPr>
      </w:pPr>
      <w:r>
        <w:rPr>
          <w:rFonts w:hint="eastAsia" w:hAnsi="宋体" w:cs="宋体"/>
          <w:color w:val="auto"/>
          <w:spacing w:val="4"/>
          <w:szCs w:val="24"/>
          <w:highlight w:val="none"/>
        </w:rPr>
        <w:t>磋商报价</w:t>
      </w:r>
      <w:r>
        <w:rPr>
          <w:rFonts w:hint="eastAsia" w:hAnsi="宋体" w:cs="宋体"/>
          <w:color w:val="auto"/>
          <w:spacing w:val="4"/>
          <w:highlight w:val="none"/>
        </w:rPr>
        <w:t>为小写：</w:t>
      </w:r>
      <w:r>
        <w:rPr>
          <w:rFonts w:hint="eastAsia" w:hAnsi="宋体" w:cs="宋体"/>
          <w:color w:val="auto"/>
          <w:spacing w:val="4"/>
          <w:highlight w:val="none"/>
          <w:u w:val="single"/>
        </w:rPr>
        <w:t xml:space="preserve">         </w:t>
      </w:r>
      <w:r>
        <w:rPr>
          <w:rFonts w:hint="eastAsia" w:hAnsi="宋体" w:cs="宋体"/>
          <w:color w:val="auto"/>
          <w:spacing w:val="4"/>
          <w:highlight w:val="none"/>
        </w:rPr>
        <w:t>（大写：</w:t>
      </w:r>
      <w:r>
        <w:rPr>
          <w:rFonts w:hint="eastAsia" w:hAnsi="宋体" w:cs="宋体"/>
          <w:color w:val="auto"/>
          <w:spacing w:val="4"/>
          <w:highlight w:val="none"/>
          <w:u w:val="single"/>
        </w:rPr>
        <w:t xml:space="preserve">         </w:t>
      </w:r>
      <w:r>
        <w:rPr>
          <w:rFonts w:hint="eastAsia" w:hAnsi="宋体" w:cs="宋体"/>
          <w:color w:val="auto"/>
          <w:spacing w:val="4"/>
          <w:highlight w:val="none"/>
        </w:rPr>
        <w:t>）。</w:t>
      </w:r>
    </w:p>
    <w:p w14:paraId="320904C4">
      <w:pPr>
        <w:numPr>
          <w:ilvl w:val="0"/>
          <w:numId w:val="4"/>
        </w:num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如果成交，我们根据竞争性磋商文件的规定，履行合同的责任和义务。</w:t>
      </w:r>
    </w:p>
    <w:p w14:paraId="1B3D3FC1">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3）我们已详细阅读和审核全部竞争性磋商文件（含修改部分，如有的话），及有关附件，我们知道必须放弃提出含糊不清或误解的问题的权利。</w:t>
      </w:r>
    </w:p>
    <w:p w14:paraId="707D9FAC">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4）我们同意在磋商有效期内（</w:t>
      </w:r>
      <w:r>
        <w:rPr>
          <w:rFonts w:hint="eastAsia" w:hAnsi="宋体" w:cs="宋体"/>
          <w:color w:val="auto"/>
          <w:spacing w:val="4"/>
          <w:szCs w:val="24"/>
          <w:highlight w:val="none"/>
          <w:u w:val="single"/>
        </w:rPr>
        <w:t>自磋商之日起   天</w:t>
      </w:r>
      <w:r>
        <w:rPr>
          <w:rFonts w:hint="eastAsia" w:hAnsi="宋体" w:cs="宋体"/>
          <w:color w:val="auto"/>
          <w:spacing w:val="4"/>
          <w:szCs w:val="24"/>
          <w:highlight w:val="none"/>
        </w:rPr>
        <w:t>），本磋商响应函对我方具有约束力。</w:t>
      </w:r>
    </w:p>
    <w:p w14:paraId="5D967CBF">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 xml:space="preserve">5）同意提供贵方可能另外要求的与本磋商有关的任何证据和资料。 </w:t>
      </w:r>
    </w:p>
    <w:p w14:paraId="27DA2408">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6）我们同意，如果成交，向陕西至诚项目管理集团有限公司交纳招标代理服务费。</w:t>
      </w:r>
    </w:p>
    <w:p w14:paraId="557C71D9">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7）与本磋商有关的一切正式往来通讯为：</w:t>
      </w:r>
    </w:p>
    <w:p w14:paraId="47E34D37">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联系地址：</w:t>
      </w:r>
    </w:p>
    <w:p w14:paraId="050A0FFB">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邮政编码：</w:t>
      </w:r>
    </w:p>
    <w:p w14:paraId="2E3ACE87">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电    话：</w:t>
      </w:r>
    </w:p>
    <w:p w14:paraId="3EF35813">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传    真：</w:t>
      </w:r>
    </w:p>
    <w:p w14:paraId="4B2A890A">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供应商名称（盖章）：</w:t>
      </w:r>
    </w:p>
    <w:p w14:paraId="2AA7A8F9">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供应商法定代表人</w:t>
      </w:r>
      <w:r>
        <w:rPr>
          <w:rFonts w:hint="eastAsia" w:hAnsi="宋体" w:cs="宋体"/>
          <w:color w:val="auto"/>
          <w:spacing w:val="4"/>
          <w:highlight w:val="none"/>
        </w:rPr>
        <w:t>/被授权人</w:t>
      </w:r>
      <w:r>
        <w:rPr>
          <w:rFonts w:hint="eastAsia" w:hAnsi="宋体" w:cs="宋体"/>
          <w:color w:val="auto"/>
          <w:spacing w:val="4"/>
          <w:szCs w:val="24"/>
          <w:highlight w:val="none"/>
        </w:rPr>
        <w:t>签字</w:t>
      </w:r>
      <w:r>
        <w:rPr>
          <w:rFonts w:hint="eastAsia" w:hAnsi="宋体" w:cs="宋体"/>
          <w:color w:val="auto"/>
          <w:spacing w:val="4"/>
          <w:highlight w:val="none"/>
        </w:rPr>
        <w:t>或盖章</w:t>
      </w:r>
      <w:r>
        <w:rPr>
          <w:rFonts w:hint="eastAsia" w:hAnsi="宋体" w:cs="宋体"/>
          <w:color w:val="auto"/>
          <w:szCs w:val="24"/>
          <w:highlight w:val="none"/>
        </w:rPr>
        <w:t>：</w:t>
      </w:r>
    </w:p>
    <w:p w14:paraId="0AA810C1">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日    期：</w:t>
      </w:r>
    </w:p>
    <w:p w14:paraId="5055B004">
      <w:pPr>
        <w:pStyle w:val="3"/>
        <w:spacing w:beforeLines="100" w:line="360" w:lineRule="auto"/>
        <w:jc w:val="center"/>
        <w:rPr>
          <w:rFonts w:ascii="宋体" w:hAnsi="宋体" w:cs="宋体"/>
          <w:bCs w:val="0"/>
          <w:color w:val="auto"/>
          <w:sz w:val="32"/>
          <w:highlight w:val="none"/>
        </w:rPr>
      </w:pPr>
      <w:r>
        <w:rPr>
          <w:rFonts w:hint="eastAsia" w:ascii="宋体" w:hAnsi="宋体" w:cs="宋体"/>
          <w:color w:val="auto"/>
          <w:highlight w:val="none"/>
        </w:rPr>
        <w:br w:type="page"/>
      </w:r>
      <w:bookmarkStart w:id="205" w:name="_Toc17800"/>
      <w:bookmarkStart w:id="206" w:name="_Toc13482"/>
      <w:bookmarkStart w:id="207" w:name="_Toc363474030"/>
      <w:bookmarkStart w:id="208" w:name="_Toc732"/>
      <w:bookmarkStart w:id="209" w:name="_Toc9730"/>
      <w:bookmarkStart w:id="210" w:name="_Toc28910"/>
      <w:bookmarkStart w:id="211" w:name="_Toc27989"/>
      <w:bookmarkStart w:id="212" w:name="_Toc403077651"/>
      <w:r>
        <w:rPr>
          <w:rFonts w:hint="eastAsia" w:ascii="宋体" w:hAnsi="宋体" w:cs="宋体"/>
          <w:bCs w:val="0"/>
          <w:color w:val="auto"/>
          <w:sz w:val="32"/>
          <w:highlight w:val="none"/>
        </w:rPr>
        <w:t>二、磋商报价表</w:t>
      </w:r>
      <w:bookmarkEnd w:id="205"/>
      <w:bookmarkEnd w:id="206"/>
      <w:bookmarkEnd w:id="207"/>
      <w:bookmarkEnd w:id="208"/>
      <w:bookmarkEnd w:id="209"/>
      <w:bookmarkEnd w:id="210"/>
      <w:bookmarkEnd w:id="211"/>
      <w:bookmarkEnd w:id="212"/>
    </w:p>
    <w:p w14:paraId="22052E7E">
      <w:pPr>
        <w:spacing w:line="360" w:lineRule="auto"/>
        <w:jc w:val="center"/>
        <w:outlineLvl w:val="2"/>
        <w:rPr>
          <w:rFonts w:hAnsi="宋体" w:cs="宋体"/>
          <w:color w:val="auto"/>
          <w:szCs w:val="24"/>
          <w:highlight w:val="none"/>
        </w:rPr>
      </w:pPr>
      <w:bookmarkStart w:id="213" w:name="_Toc29008"/>
      <w:bookmarkStart w:id="214" w:name="_Toc7982"/>
      <w:bookmarkStart w:id="215" w:name="_Toc1405"/>
      <w:bookmarkStart w:id="216" w:name="_Toc12732"/>
      <w:bookmarkStart w:id="217" w:name="_Toc11518"/>
      <w:bookmarkStart w:id="218" w:name="_Toc32277"/>
      <w:r>
        <w:rPr>
          <w:rFonts w:hint="eastAsia" w:hAnsi="宋体" w:cs="宋体"/>
          <w:color w:val="auto"/>
          <w:szCs w:val="24"/>
          <w:highlight w:val="none"/>
        </w:rPr>
        <w:t>2.1报价一览表</w:t>
      </w:r>
      <w:bookmarkEnd w:id="213"/>
      <w:bookmarkEnd w:id="214"/>
      <w:bookmarkEnd w:id="215"/>
      <w:bookmarkEnd w:id="216"/>
      <w:bookmarkEnd w:id="217"/>
      <w:bookmarkEnd w:id="218"/>
    </w:p>
    <w:p w14:paraId="48BA4C8C">
      <w:pPr>
        <w:spacing w:line="360" w:lineRule="auto"/>
        <w:jc w:val="center"/>
        <w:rPr>
          <w:rFonts w:hAnsi="宋体" w:cs="宋体"/>
          <w:color w:val="auto"/>
          <w:szCs w:val="24"/>
          <w:highlight w:val="none"/>
        </w:rPr>
      </w:pPr>
    </w:p>
    <w:p w14:paraId="41A9D600">
      <w:pPr>
        <w:jc w:val="left"/>
        <w:rPr>
          <w:rFonts w:hAnsi="宋体" w:cs="宋体"/>
          <w:color w:val="auto"/>
          <w:highlight w:val="none"/>
        </w:rPr>
      </w:pPr>
      <w:r>
        <w:rPr>
          <w:rFonts w:hint="eastAsia" w:hAnsi="宋体" w:cs="宋体"/>
          <w:color w:val="auto"/>
          <w:highlight w:val="none"/>
        </w:rPr>
        <w:t xml:space="preserve">项目名称：                                                 </w:t>
      </w:r>
    </w:p>
    <w:p w14:paraId="47CEA6B9">
      <w:pPr>
        <w:jc w:val="left"/>
        <w:rPr>
          <w:rFonts w:hAnsi="宋体" w:cs="宋体"/>
          <w:color w:val="auto"/>
          <w:highlight w:val="none"/>
        </w:rPr>
      </w:pPr>
      <w:r>
        <w:rPr>
          <w:rFonts w:hint="eastAsia" w:hAnsi="宋体" w:cs="宋体"/>
          <w:color w:val="auto"/>
          <w:highlight w:val="none"/>
        </w:rPr>
        <w:t xml:space="preserve">项目编号：                                               </w:t>
      </w:r>
    </w:p>
    <w:tbl>
      <w:tblPr>
        <w:tblStyle w:val="22"/>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1"/>
        <w:gridCol w:w="2667"/>
        <w:gridCol w:w="2883"/>
        <w:gridCol w:w="1492"/>
      </w:tblGrid>
      <w:tr w14:paraId="29C0E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1295" w:type="pct"/>
            <w:vAlign w:val="center"/>
          </w:tcPr>
          <w:p w14:paraId="2104935E">
            <w:pPr>
              <w:jc w:val="center"/>
              <w:rPr>
                <w:rFonts w:hAnsi="宋体" w:cs="宋体"/>
                <w:color w:val="auto"/>
                <w:szCs w:val="24"/>
                <w:highlight w:val="none"/>
              </w:rPr>
            </w:pPr>
            <w:r>
              <w:rPr>
                <w:rFonts w:hint="eastAsia" w:hAnsi="宋体" w:cs="宋体"/>
                <w:color w:val="auto"/>
                <w:szCs w:val="24"/>
                <w:highlight w:val="none"/>
              </w:rPr>
              <w:t>磋商总报价（元）</w:t>
            </w:r>
          </w:p>
        </w:tc>
        <w:tc>
          <w:tcPr>
            <w:tcW w:w="1403" w:type="pct"/>
            <w:vAlign w:val="center"/>
          </w:tcPr>
          <w:p w14:paraId="41A0A004">
            <w:pPr>
              <w:jc w:val="center"/>
              <w:rPr>
                <w:rFonts w:hAnsi="宋体" w:cs="宋体"/>
                <w:color w:val="auto"/>
                <w:szCs w:val="24"/>
                <w:highlight w:val="none"/>
              </w:rPr>
            </w:pPr>
            <w:r>
              <w:rPr>
                <w:rFonts w:hint="eastAsia" w:hAnsi="宋体" w:cs="宋体"/>
                <w:color w:val="auto"/>
                <w:szCs w:val="24"/>
                <w:highlight w:val="none"/>
              </w:rPr>
              <w:t>服务期限</w:t>
            </w:r>
          </w:p>
        </w:tc>
        <w:tc>
          <w:tcPr>
            <w:tcW w:w="1517" w:type="pct"/>
            <w:vAlign w:val="center"/>
          </w:tcPr>
          <w:p w14:paraId="27A30377">
            <w:pPr>
              <w:jc w:val="center"/>
              <w:rPr>
                <w:rFonts w:hint="default" w:hAnsi="宋体" w:eastAsia="宋体" w:cs="宋体"/>
                <w:color w:val="auto"/>
                <w:szCs w:val="24"/>
                <w:highlight w:val="none"/>
                <w:lang w:val="en-US" w:eastAsia="zh-CN"/>
              </w:rPr>
            </w:pPr>
            <w:r>
              <w:rPr>
                <w:rFonts w:hint="eastAsia" w:hAnsi="宋体" w:cs="宋体"/>
                <w:color w:val="auto"/>
                <w:szCs w:val="24"/>
                <w:highlight w:val="none"/>
                <w:lang w:val="en-US" w:eastAsia="zh-CN"/>
              </w:rPr>
              <w:t>项目负责人</w:t>
            </w:r>
          </w:p>
        </w:tc>
        <w:tc>
          <w:tcPr>
            <w:tcW w:w="782" w:type="pct"/>
            <w:vAlign w:val="center"/>
          </w:tcPr>
          <w:p w14:paraId="40941689">
            <w:pPr>
              <w:jc w:val="center"/>
              <w:rPr>
                <w:rFonts w:hAnsi="宋体" w:cs="宋体"/>
                <w:color w:val="auto"/>
                <w:szCs w:val="24"/>
                <w:highlight w:val="none"/>
              </w:rPr>
            </w:pPr>
            <w:r>
              <w:rPr>
                <w:rFonts w:hint="eastAsia" w:hAnsi="宋体" w:cs="宋体"/>
                <w:color w:val="auto"/>
                <w:szCs w:val="24"/>
                <w:highlight w:val="none"/>
              </w:rPr>
              <w:t>备注</w:t>
            </w:r>
          </w:p>
        </w:tc>
      </w:tr>
      <w:tr w14:paraId="6AC8A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jc w:val="center"/>
        </w:trPr>
        <w:tc>
          <w:tcPr>
            <w:tcW w:w="1295" w:type="pct"/>
            <w:vAlign w:val="center"/>
          </w:tcPr>
          <w:p w14:paraId="46BC479A">
            <w:pPr>
              <w:jc w:val="center"/>
              <w:rPr>
                <w:rFonts w:hAnsi="宋体" w:cs="宋体"/>
                <w:color w:val="auto"/>
                <w:szCs w:val="24"/>
                <w:highlight w:val="none"/>
              </w:rPr>
            </w:pPr>
          </w:p>
        </w:tc>
        <w:tc>
          <w:tcPr>
            <w:tcW w:w="1403" w:type="pct"/>
            <w:vAlign w:val="center"/>
          </w:tcPr>
          <w:p w14:paraId="6AB5F815">
            <w:pPr>
              <w:jc w:val="center"/>
              <w:rPr>
                <w:rFonts w:hAnsi="宋体" w:cs="宋体"/>
                <w:color w:val="auto"/>
                <w:szCs w:val="24"/>
                <w:highlight w:val="none"/>
              </w:rPr>
            </w:pPr>
          </w:p>
        </w:tc>
        <w:tc>
          <w:tcPr>
            <w:tcW w:w="1517" w:type="pct"/>
            <w:vAlign w:val="center"/>
          </w:tcPr>
          <w:p w14:paraId="2618C123">
            <w:pPr>
              <w:jc w:val="center"/>
              <w:rPr>
                <w:rFonts w:hAnsi="宋体" w:cs="宋体"/>
                <w:color w:val="auto"/>
                <w:szCs w:val="24"/>
                <w:highlight w:val="none"/>
              </w:rPr>
            </w:pPr>
          </w:p>
        </w:tc>
        <w:tc>
          <w:tcPr>
            <w:tcW w:w="782" w:type="pct"/>
            <w:vAlign w:val="center"/>
          </w:tcPr>
          <w:p w14:paraId="519A2B1E">
            <w:pPr>
              <w:jc w:val="center"/>
              <w:rPr>
                <w:rFonts w:hAnsi="宋体" w:cs="宋体"/>
                <w:color w:val="auto"/>
                <w:szCs w:val="24"/>
                <w:highlight w:val="none"/>
              </w:rPr>
            </w:pPr>
          </w:p>
        </w:tc>
      </w:tr>
      <w:tr w14:paraId="14E67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6" w:hRule="atLeast"/>
          <w:jc w:val="center"/>
        </w:trPr>
        <w:tc>
          <w:tcPr>
            <w:tcW w:w="5000" w:type="pct"/>
            <w:gridSpan w:val="4"/>
            <w:vAlign w:val="center"/>
          </w:tcPr>
          <w:p w14:paraId="1F9ADA3F">
            <w:pPr>
              <w:jc w:val="center"/>
              <w:rPr>
                <w:rFonts w:hAnsi="宋体" w:cs="宋体"/>
                <w:color w:val="auto"/>
                <w:szCs w:val="24"/>
                <w:highlight w:val="none"/>
              </w:rPr>
            </w:pPr>
            <w:r>
              <w:rPr>
                <w:rFonts w:hint="eastAsia" w:hAnsi="宋体" w:cs="宋体"/>
                <w:color w:val="auto"/>
                <w:szCs w:val="24"/>
                <w:highlight w:val="none"/>
              </w:rPr>
              <w:t>磋商报价（大写）：                             （小写：￥       ）</w:t>
            </w:r>
          </w:p>
        </w:tc>
      </w:tr>
      <w:tr w14:paraId="66878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jc w:val="center"/>
        </w:trPr>
        <w:tc>
          <w:tcPr>
            <w:tcW w:w="5000" w:type="pct"/>
            <w:gridSpan w:val="4"/>
            <w:vAlign w:val="center"/>
          </w:tcPr>
          <w:p w14:paraId="5927F395">
            <w:pPr>
              <w:rPr>
                <w:rFonts w:hAnsi="宋体" w:cs="宋体"/>
                <w:color w:val="auto"/>
                <w:szCs w:val="24"/>
                <w:highlight w:val="none"/>
              </w:rPr>
            </w:pPr>
            <w:r>
              <w:rPr>
                <w:rFonts w:hint="eastAsia" w:hAnsi="宋体" w:cs="宋体"/>
                <w:color w:val="auto"/>
                <w:szCs w:val="24"/>
                <w:highlight w:val="none"/>
              </w:rPr>
              <w:t>备注：表内报价内容以元为单位，保留小数点后（</w:t>
            </w:r>
            <w:r>
              <w:rPr>
                <w:rFonts w:hint="eastAsia" w:hAnsi="宋体" w:cs="宋体"/>
                <w:b/>
                <w:color w:val="auto"/>
                <w:szCs w:val="24"/>
                <w:highlight w:val="none"/>
              </w:rPr>
              <w:t>两位</w:t>
            </w:r>
            <w:r>
              <w:rPr>
                <w:rFonts w:hint="eastAsia" w:hAnsi="宋体" w:cs="宋体"/>
                <w:color w:val="auto"/>
                <w:szCs w:val="24"/>
                <w:highlight w:val="none"/>
              </w:rPr>
              <w:t>）。</w:t>
            </w:r>
          </w:p>
        </w:tc>
      </w:tr>
    </w:tbl>
    <w:p w14:paraId="39E5AAA3">
      <w:pPr>
        <w:rPr>
          <w:rFonts w:hAnsi="宋体" w:cs="宋体"/>
          <w:color w:val="auto"/>
          <w:szCs w:val="24"/>
          <w:highlight w:val="none"/>
        </w:rPr>
      </w:pPr>
    </w:p>
    <w:p w14:paraId="2F7749F7">
      <w:pPr>
        <w:rPr>
          <w:rFonts w:hAnsi="宋体" w:cs="宋体"/>
          <w:color w:val="auto"/>
          <w:szCs w:val="24"/>
          <w:highlight w:val="none"/>
        </w:rPr>
      </w:pPr>
    </w:p>
    <w:p w14:paraId="1C89D53B">
      <w:pPr>
        <w:rPr>
          <w:rFonts w:hAnsi="宋体" w:cs="宋体"/>
          <w:color w:val="auto"/>
          <w:szCs w:val="24"/>
          <w:highlight w:val="none"/>
        </w:rPr>
      </w:pPr>
    </w:p>
    <w:p w14:paraId="56B99D8B">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供应商名称：</w:t>
      </w:r>
      <w:r>
        <w:rPr>
          <w:rFonts w:hint="eastAsia" w:hAnsi="宋体" w:cs="宋体"/>
          <w:color w:val="auto"/>
          <w:szCs w:val="24"/>
          <w:highlight w:val="none"/>
          <w:u w:val="single"/>
        </w:rPr>
        <w:t xml:space="preserve">      （加盖单位公章）      </w:t>
      </w:r>
    </w:p>
    <w:p w14:paraId="45CC3094">
      <w:pPr>
        <w:spacing w:line="280" w:lineRule="exact"/>
        <w:ind w:right="617" w:rightChars="257"/>
        <w:jc w:val="left"/>
        <w:rPr>
          <w:rFonts w:hAnsi="宋体" w:cs="宋体"/>
          <w:color w:val="auto"/>
          <w:szCs w:val="24"/>
          <w:highlight w:val="none"/>
        </w:rPr>
      </w:pPr>
    </w:p>
    <w:p w14:paraId="66697A65">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法定代表人/授权代表签字</w:t>
      </w:r>
      <w:r>
        <w:rPr>
          <w:rFonts w:hint="eastAsia" w:hAnsi="宋体" w:cs="宋体"/>
          <w:color w:val="auto"/>
          <w:spacing w:val="4"/>
          <w:highlight w:val="none"/>
        </w:rPr>
        <w:t>或盖章</w:t>
      </w:r>
      <w:r>
        <w:rPr>
          <w:rFonts w:hint="eastAsia" w:hAnsi="宋体" w:cs="宋体"/>
          <w:color w:val="auto"/>
          <w:szCs w:val="24"/>
          <w:highlight w:val="none"/>
        </w:rPr>
        <w:t>：</w:t>
      </w:r>
    </w:p>
    <w:p w14:paraId="3FC90BA5">
      <w:pPr>
        <w:spacing w:line="280" w:lineRule="exact"/>
        <w:ind w:right="617" w:rightChars="257"/>
        <w:jc w:val="left"/>
        <w:rPr>
          <w:rFonts w:hAnsi="宋体" w:cs="宋体"/>
          <w:color w:val="auto"/>
          <w:szCs w:val="24"/>
          <w:highlight w:val="none"/>
        </w:rPr>
      </w:pPr>
    </w:p>
    <w:p w14:paraId="2B746868">
      <w:pPr>
        <w:spacing w:line="280" w:lineRule="exact"/>
        <w:ind w:right="617" w:rightChars="257"/>
        <w:rPr>
          <w:rFonts w:hAnsi="宋体" w:cs="宋体"/>
          <w:color w:val="auto"/>
          <w:szCs w:val="24"/>
          <w:highlight w:val="none"/>
        </w:rPr>
      </w:pPr>
      <w:r>
        <w:rPr>
          <w:rFonts w:hint="eastAsia" w:hAnsi="宋体" w:cs="宋体"/>
          <w:color w:val="auto"/>
          <w:szCs w:val="24"/>
          <w:highlight w:val="none"/>
        </w:rPr>
        <w:t>日    期：</w:t>
      </w:r>
    </w:p>
    <w:p w14:paraId="34D2F902">
      <w:pPr>
        <w:jc w:val="center"/>
        <w:rPr>
          <w:rFonts w:hAnsi="宋体" w:cs="宋体"/>
          <w:color w:val="auto"/>
          <w:szCs w:val="24"/>
          <w:highlight w:val="none"/>
        </w:rPr>
      </w:pPr>
    </w:p>
    <w:p w14:paraId="38B43EA8">
      <w:pPr>
        <w:spacing w:beforeLines="50" w:afterLines="50" w:line="400" w:lineRule="atLeast"/>
        <w:rPr>
          <w:rFonts w:hAnsi="宋体" w:cs="宋体"/>
          <w:color w:val="auto"/>
          <w:szCs w:val="24"/>
          <w:highlight w:val="none"/>
          <w:u w:val="single"/>
        </w:rPr>
      </w:pPr>
      <w:r>
        <w:rPr>
          <w:rFonts w:hint="eastAsia" w:hAnsi="宋体" w:cs="宋体"/>
          <w:color w:val="auto"/>
          <w:szCs w:val="24"/>
          <w:highlight w:val="none"/>
        </w:rPr>
        <w:t>注：本表应按“供应商须知”的规定密封单独提交。若有折扣声明，请与本表一并装订和密封。严格按照表格格式报价。</w:t>
      </w:r>
    </w:p>
    <w:p w14:paraId="1420DEBA">
      <w:pPr>
        <w:jc w:val="center"/>
        <w:rPr>
          <w:rFonts w:hAnsi="宋体" w:cs="宋体"/>
          <w:b/>
          <w:color w:val="auto"/>
          <w:sz w:val="30"/>
          <w:szCs w:val="30"/>
          <w:highlight w:val="none"/>
        </w:rPr>
      </w:pPr>
    </w:p>
    <w:p w14:paraId="6666C101">
      <w:pPr>
        <w:jc w:val="center"/>
        <w:outlineLvl w:val="2"/>
        <w:rPr>
          <w:rFonts w:hAnsi="宋体" w:cs="宋体"/>
          <w:b/>
          <w:color w:val="auto"/>
          <w:sz w:val="30"/>
          <w:szCs w:val="30"/>
          <w:highlight w:val="none"/>
        </w:rPr>
      </w:pPr>
      <w:r>
        <w:rPr>
          <w:rFonts w:hint="eastAsia" w:hAnsi="宋体" w:cs="宋体"/>
          <w:b/>
          <w:color w:val="auto"/>
          <w:sz w:val="30"/>
          <w:szCs w:val="30"/>
          <w:highlight w:val="none"/>
        </w:rPr>
        <w:br w:type="page"/>
      </w:r>
      <w:bookmarkStart w:id="219" w:name="_Toc8017"/>
      <w:bookmarkStart w:id="220" w:name="_Toc19127"/>
      <w:bookmarkStart w:id="221" w:name="_Toc11197"/>
      <w:bookmarkStart w:id="222" w:name="_Toc9220"/>
      <w:bookmarkStart w:id="223" w:name="_Toc8370"/>
      <w:bookmarkStart w:id="224" w:name="_Toc9760"/>
      <w:r>
        <w:rPr>
          <w:rFonts w:hint="eastAsia" w:hAnsi="宋体" w:cs="宋体"/>
          <w:b/>
          <w:color w:val="auto"/>
          <w:sz w:val="30"/>
          <w:szCs w:val="30"/>
          <w:highlight w:val="none"/>
        </w:rPr>
        <w:t>2.2分项报价表</w:t>
      </w:r>
      <w:bookmarkEnd w:id="219"/>
      <w:bookmarkEnd w:id="220"/>
      <w:bookmarkEnd w:id="221"/>
      <w:bookmarkEnd w:id="222"/>
      <w:bookmarkEnd w:id="223"/>
      <w:bookmarkEnd w:id="224"/>
    </w:p>
    <w:p w14:paraId="207108B6">
      <w:pPr>
        <w:pStyle w:val="9"/>
        <w:rPr>
          <w:color w:val="auto"/>
          <w:highlight w:val="none"/>
        </w:rPr>
      </w:pPr>
    </w:p>
    <w:p w14:paraId="6128E1DF">
      <w:pPr>
        <w:pStyle w:val="9"/>
        <w:rPr>
          <w:color w:val="auto"/>
          <w:highlight w:val="none"/>
        </w:rPr>
      </w:pPr>
      <w:r>
        <w:rPr>
          <w:rFonts w:hint="eastAsia"/>
          <w:color w:val="auto"/>
          <w:highlight w:val="none"/>
        </w:rPr>
        <w:t>供应商自行拟定格式，用于说明磋商报价各报价的组成。</w:t>
      </w:r>
    </w:p>
    <w:p w14:paraId="0D27EC6B">
      <w:pPr>
        <w:pStyle w:val="9"/>
        <w:rPr>
          <w:color w:val="auto"/>
          <w:highlight w:val="none"/>
        </w:rPr>
      </w:pPr>
    </w:p>
    <w:p w14:paraId="351137BB">
      <w:pPr>
        <w:ind w:firstLine="420"/>
        <w:rPr>
          <w:rFonts w:hAnsi="宋体" w:cs="宋体"/>
          <w:color w:val="auto"/>
          <w:highlight w:val="none"/>
        </w:rPr>
      </w:pPr>
    </w:p>
    <w:p w14:paraId="6B04D280">
      <w:pPr>
        <w:pStyle w:val="9"/>
        <w:rPr>
          <w:color w:val="auto"/>
          <w:highlight w:val="none"/>
        </w:rPr>
      </w:pPr>
    </w:p>
    <w:p w14:paraId="5C9EF0D4">
      <w:pPr>
        <w:rPr>
          <w:rFonts w:hAnsi="宋体" w:cs="宋体"/>
          <w:color w:val="auto"/>
          <w:highlight w:val="none"/>
        </w:rPr>
      </w:pPr>
    </w:p>
    <w:bookmarkEnd w:id="198"/>
    <w:p w14:paraId="2000A8C6">
      <w:pPr>
        <w:jc w:val="center"/>
        <w:outlineLvl w:val="1"/>
        <w:rPr>
          <w:rFonts w:hAnsi="宋体" w:cs="宋体"/>
          <w:color w:val="auto"/>
          <w:sz w:val="32"/>
          <w:szCs w:val="32"/>
          <w:highlight w:val="none"/>
        </w:rPr>
      </w:pPr>
      <w:bookmarkStart w:id="225" w:name="_Toc344572163"/>
      <w:r>
        <w:rPr>
          <w:rFonts w:hint="eastAsia" w:hAnsi="宋体" w:cs="宋体"/>
          <w:color w:val="auto"/>
          <w:sz w:val="32"/>
          <w:szCs w:val="32"/>
          <w:highlight w:val="none"/>
        </w:rPr>
        <w:br w:type="page"/>
      </w:r>
      <w:bookmarkStart w:id="226" w:name="_Toc5944"/>
      <w:bookmarkStart w:id="227" w:name="_Toc32541"/>
      <w:bookmarkStart w:id="228" w:name="_Toc3628"/>
      <w:bookmarkStart w:id="229" w:name="_Toc24936"/>
      <w:bookmarkStart w:id="230" w:name="_Toc32126"/>
      <w:bookmarkStart w:id="231" w:name="_Toc24059"/>
      <w:r>
        <w:rPr>
          <w:rFonts w:hint="eastAsia" w:hAnsi="宋体" w:cs="宋体"/>
          <w:b/>
          <w:bCs/>
          <w:color w:val="auto"/>
          <w:sz w:val="32"/>
          <w:szCs w:val="32"/>
          <w:highlight w:val="none"/>
        </w:rPr>
        <w:t>三、磋商方案说明书</w:t>
      </w:r>
      <w:bookmarkEnd w:id="226"/>
      <w:bookmarkEnd w:id="227"/>
      <w:bookmarkEnd w:id="228"/>
      <w:bookmarkEnd w:id="229"/>
      <w:bookmarkEnd w:id="230"/>
      <w:bookmarkEnd w:id="231"/>
    </w:p>
    <w:p w14:paraId="51430E57">
      <w:pPr>
        <w:spacing w:after="120" w:line="440" w:lineRule="exact"/>
        <w:rPr>
          <w:rFonts w:hAnsi="宋体" w:cs="宋体"/>
          <w:color w:val="auto"/>
          <w:szCs w:val="24"/>
          <w:highlight w:val="none"/>
        </w:rPr>
      </w:pPr>
      <w:r>
        <w:rPr>
          <w:rFonts w:hint="eastAsia" w:hAnsi="宋体" w:cs="宋体"/>
          <w:color w:val="auto"/>
          <w:szCs w:val="24"/>
          <w:highlight w:val="none"/>
        </w:rPr>
        <w:t>项目名称：</w:t>
      </w:r>
    </w:p>
    <w:p w14:paraId="737B5831">
      <w:pPr>
        <w:tabs>
          <w:tab w:val="left" w:pos="1800"/>
        </w:tabs>
        <w:spacing w:after="120" w:line="440" w:lineRule="exact"/>
        <w:rPr>
          <w:rFonts w:hAnsi="宋体" w:cs="宋体"/>
          <w:color w:val="auto"/>
          <w:szCs w:val="24"/>
          <w:highlight w:val="none"/>
        </w:rPr>
      </w:pPr>
      <w:r>
        <w:rPr>
          <w:rFonts w:hint="eastAsia" w:hAnsi="宋体" w:cs="宋体"/>
          <w:color w:val="auto"/>
          <w:szCs w:val="24"/>
          <w:highlight w:val="none"/>
        </w:rPr>
        <w:t>项目编号：</w:t>
      </w:r>
    </w:p>
    <w:p w14:paraId="5EB4FC56">
      <w:pPr>
        <w:spacing w:line="480" w:lineRule="auto"/>
        <w:ind w:firstLine="480" w:firstLineChars="200"/>
        <w:rPr>
          <w:rFonts w:hAnsi="宋体" w:cs="宋体"/>
          <w:b/>
          <w:bCs/>
          <w:color w:val="auto"/>
          <w:szCs w:val="24"/>
          <w:highlight w:val="none"/>
        </w:rPr>
      </w:pPr>
      <w:r>
        <w:rPr>
          <w:rFonts w:hint="eastAsia" w:hAnsi="宋体" w:cs="宋体"/>
          <w:color w:val="auto"/>
          <w:szCs w:val="24"/>
          <w:highlight w:val="none"/>
        </w:rPr>
        <w:t>按照磋商文件的要求编制的磋商方案说明书</w:t>
      </w:r>
      <w:r>
        <w:rPr>
          <w:rFonts w:hint="eastAsia" w:hAnsi="宋体" w:cs="宋体"/>
          <w:b/>
          <w:bCs/>
          <w:color w:val="auto"/>
          <w:szCs w:val="24"/>
          <w:highlight w:val="none"/>
        </w:rPr>
        <w:t>（可参照第三章评审办法进行响应）。</w:t>
      </w:r>
    </w:p>
    <w:p w14:paraId="5E60BAA9">
      <w:pPr>
        <w:pStyle w:val="9"/>
        <w:rPr>
          <w:color w:val="auto"/>
          <w:highlight w:val="none"/>
        </w:rPr>
      </w:pPr>
    </w:p>
    <w:p w14:paraId="30601DCC">
      <w:pPr>
        <w:pStyle w:val="9"/>
        <w:rPr>
          <w:color w:val="auto"/>
          <w:highlight w:val="none"/>
        </w:rPr>
      </w:pPr>
    </w:p>
    <w:p w14:paraId="45C2FAC7">
      <w:pPr>
        <w:rPr>
          <w:rFonts w:hAnsi="宋体" w:cs="宋体"/>
          <w:color w:val="auto"/>
          <w:highlight w:val="none"/>
        </w:rPr>
      </w:pPr>
    </w:p>
    <w:p w14:paraId="545438FB">
      <w:pPr>
        <w:pStyle w:val="9"/>
        <w:rPr>
          <w:color w:val="auto"/>
          <w:highlight w:val="none"/>
        </w:rPr>
      </w:pPr>
    </w:p>
    <w:p w14:paraId="47A97442">
      <w:pPr>
        <w:spacing w:line="480" w:lineRule="auto"/>
        <w:ind w:left="3725" w:leftChars="1552"/>
        <w:rPr>
          <w:rFonts w:hAnsi="宋体" w:cs="宋体"/>
          <w:color w:val="auto"/>
          <w:szCs w:val="24"/>
          <w:highlight w:val="none"/>
        </w:rPr>
      </w:pPr>
      <w:r>
        <w:rPr>
          <w:rFonts w:hint="eastAsia" w:hAnsi="宋体" w:cs="宋体"/>
          <w:color w:val="auto"/>
          <w:szCs w:val="24"/>
          <w:highlight w:val="none"/>
        </w:rPr>
        <w:t>法定代表人/被授权人签字或盖章：</w:t>
      </w:r>
    </w:p>
    <w:p w14:paraId="5FB502F9">
      <w:pPr>
        <w:spacing w:line="480" w:lineRule="auto"/>
        <w:ind w:left="3725" w:leftChars="1552"/>
        <w:rPr>
          <w:rFonts w:hAnsi="宋体" w:cs="宋体"/>
          <w:color w:val="auto"/>
          <w:szCs w:val="24"/>
          <w:highlight w:val="none"/>
        </w:rPr>
      </w:pPr>
    </w:p>
    <w:p w14:paraId="22D0F3D4">
      <w:pPr>
        <w:spacing w:line="480" w:lineRule="auto"/>
        <w:ind w:left="3725" w:leftChars="1552"/>
        <w:rPr>
          <w:rFonts w:hAnsi="宋体" w:cs="宋体"/>
          <w:color w:val="auto"/>
          <w:szCs w:val="24"/>
          <w:highlight w:val="none"/>
        </w:rPr>
      </w:pPr>
      <w:r>
        <w:rPr>
          <w:rFonts w:hint="eastAsia" w:hAnsi="宋体" w:cs="宋体"/>
          <w:color w:val="auto"/>
          <w:szCs w:val="24"/>
          <w:highlight w:val="none"/>
        </w:rPr>
        <w:t>公      章：</w:t>
      </w:r>
    </w:p>
    <w:p w14:paraId="051DA24D">
      <w:pPr>
        <w:spacing w:line="480" w:lineRule="auto"/>
        <w:ind w:left="3725" w:leftChars="1552" w:firstLine="5668" w:firstLineChars="2362"/>
        <w:rPr>
          <w:rFonts w:hAnsi="宋体" w:cs="宋体"/>
          <w:color w:val="auto"/>
          <w:szCs w:val="24"/>
          <w:highlight w:val="none"/>
        </w:rPr>
      </w:pPr>
    </w:p>
    <w:p w14:paraId="5050BA67">
      <w:pPr>
        <w:spacing w:line="480" w:lineRule="auto"/>
        <w:ind w:left="3725" w:leftChars="1552"/>
        <w:rPr>
          <w:rFonts w:hAnsi="宋体" w:cs="宋体"/>
          <w:color w:val="auto"/>
          <w:szCs w:val="24"/>
          <w:highlight w:val="none"/>
        </w:rPr>
      </w:pPr>
      <w:r>
        <w:rPr>
          <w:rFonts w:hint="eastAsia" w:hAnsi="宋体" w:cs="宋体"/>
          <w:color w:val="auto"/>
          <w:szCs w:val="24"/>
          <w:highlight w:val="none"/>
        </w:rPr>
        <w:t>日      期：</w:t>
      </w:r>
    </w:p>
    <w:p w14:paraId="2B718856">
      <w:pPr>
        <w:spacing w:after="120" w:line="480" w:lineRule="auto"/>
        <w:rPr>
          <w:rFonts w:hAnsi="宋体" w:cs="宋体"/>
          <w:b/>
          <w:color w:val="auto"/>
          <w:szCs w:val="24"/>
          <w:highlight w:val="none"/>
        </w:rPr>
      </w:pPr>
    </w:p>
    <w:p w14:paraId="2DEE8BF7">
      <w:pPr>
        <w:spacing w:after="120"/>
        <w:rPr>
          <w:rFonts w:hAnsi="宋体" w:cs="宋体"/>
          <w:b/>
          <w:color w:val="auto"/>
          <w:szCs w:val="24"/>
          <w:highlight w:val="none"/>
        </w:rPr>
      </w:pPr>
    </w:p>
    <w:p w14:paraId="18991D2F">
      <w:pPr>
        <w:spacing w:after="120"/>
        <w:rPr>
          <w:rFonts w:hAnsi="宋体" w:cs="宋体"/>
          <w:b/>
          <w:color w:val="auto"/>
          <w:szCs w:val="24"/>
          <w:highlight w:val="none"/>
        </w:rPr>
      </w:pPr>
    </w:p>
    <w:p w14:paraId="56AE92DD">
      <w:pPr>
        <w:spacing w:after="120"/>
        <w:rPr>
          <w:rFonts w:hAnsi="宋体" w:cs="宋体"/>
          <w:b/>
          <w:color w:val="auto"/>
          <w:szCs w:val="24"/>
          <w:highlight w:val="none"/>
        </w:rPr>
      </w:pPr>
    </w:p>
    <w:p w14:paraId="2E2F23CF">
      <w:pPr>
        <w:rPr>
          <w:rFonts w:hAnsi="宋体" w:cs="宋体"/>
          <w:b/>
          <w:color w:val="auto"/>
          <w:szCs w:val="24"/>
          <w:highlight w:val="none"/>
        </w:rPr>
      </w:pPr>
      <w:r>
        <w:rPr>
          <w:rFonts w:hint="eastAsia" w:hAnsi="宋体" w:cs="宋体"/>
          <w:b/>
          <w:color w:val="auto"/>
          <w:szCs w:val="24"/>
          <w:highlight w:val="none"/>
        </w:rPr>
        <w:br w:type="page"/>
      </w:r>
      <w:bookmarkStart w:id="232" w:name="_Toc2621"/>
      <w:bookmarkStart w:id="233" w:name="_Toc1379"/>
      <w:bookmarkStart w:id="234" w:name="_Toc21284"/>
      <w:bookmarkStart w:id="235" w:name="_Toc9218"/>
      <w:bookmarkStart w:id="236" w:name="_Toc23455"/>
      <w:bookmarkStart w:id="237" w:name="_Toc15265"/>
      <w:bookmarkStart w:id="238" w:name="_Toc5662"/>
      <w:bookmarkStart w:id="239" w:name="_Toc8845"/>
    </w:p>
    <w:p w14:paraId="70D1C1A2">
      <w:pPr>
        <w:spacing w:line="360" w:lineRule="auto"/>
        <w:rPr>
          <w:rFonts w:hAnsi="宋体" w:cs="宋体"/>
          <w:b/>
          <w:bCs/>
          <w:color w:val="auto"/>
          <w:sz w:val="30"/>
          <w:szCs w:val="30"/>
          <w:highlight w:val="none"/>
        </w:rPr>
      </w:pPr>
      <w:bookmarkStart w:id="240" w:name="_Toc4503"/>
      <w:bookmarkStart w:id="241" w:name="_Toc31151"/>
      <w:bookmarkStart w:id="242" w:name="_Toc3626"/>
      <w:r>
        <w:rPr>
          <w:rFonts w:hint="eastAsia" w:hAnsi="宋体" w:cs="宋体"/>
          <w:b/>
          <w:bCs/>
          <w:color w:val="auto"/>
          <w:sz w:val="30"/>
          <w:szCs w:val="30"/>
          <w:highlight w:val="none"/>
        </w:rPr>
        <w:t>附件1：</w:t>
      </w:r>
    </w:p>
    <w:p w14:paraId="4CED4DB6">
      <w:pPr>
        <w:spacing w:line="360" w:lineRule="auto"/>
        <w:jc w:val="center"/>
        <w:rPr>
          <w:rFonts w:hAnsi="宋体" w:cs="宋体"/>
          <w:b/>
          <w:bCs/>
          <w:color w:val="auto"/>
          <w:sz w:val="30"/>
          <w:szCs w:val="30"/>
          <w:highlight w:val="none"/>
        </w:rPr>
      </w:pPr>
      <w:r>
        <w:rPr>
          <w:rFonts w:hint="eastAsia" w:hAnsi="宋体" w:cs="宋体"/>
          <w:b/>
          <w:bCs/>
          <w:color w:val="auto"/>
          <w:sz w:val="30"/>
          <w:szCs w:val="30"/>
          <w:highlight w:val="none"/>
        </w:rPr>
        <w:t>本项目拟投入人员汇总表</w:t>
      </w:r>
    </w:p>
    <w:tbl>
      <w:tblPr>
        <w:tblStyle w:val="22"/>
        <w:tblW w:w="9322" w:type="dxa"/>
        <w:tblInd w:w="0" w:type="dxa"/>
        <w:tblLayout w:type="autofit"/>
        <w:tblCellMar>
          <w:top w:w="0" w:type="dxa"/>
          <w:left w:w="0" w:type="dxa"/>
          <w:bottom w:w="0" w:type="dxa"/>
          <w:right w:w="0" w:type="dxa"/>
        </w:tblCellMar>
      </w:tblPr>
      <w:tblGrid>
        <w:gridCol w:w="561"/>
        <w:gridCol w:w="562"/>
        <w:gridCol w:w="562"/>
        <w:gridCol w:w="562"/>
        <w:gridCol w:w="562"/>
        <w:gridCol w:w="1091"/>
        <w:gridCol w:w="1620"/>
        <w:gridCol w:w="1091"/>
        <w:gridCol w:w="1620"/>
        <w:gridCol w:w="1091"/>
      </w:tblGrid>
      <w:tr w14:paraId="73719E70">
        <w:tblPrEx>
          <w:tblCellMar>
            <w:top w:w="0" w:type="dxa"/>
            <w:left w:w="0" w:type="dxa"/>
            <w:bottom w:w="0" w:type="dxa"/>
            <w:right w:w="0" w:type="dxa"/>
          </w:tblCellMar>
        </w:tblPrEx>
        <w:trPr>
          <w:trHeight w:val="851" w:hRule="exact"/>
        </w:trPr>
        <w:tc>
          <w:tcPr>
            <w:tcW w:w="0" w:type="auto"/>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3ADD273">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序号</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558E8E80">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姓名</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9656851">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性别</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66C64331">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年龄</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3C7B0862">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学历</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609EBE2A">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技术职称</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9C0B6F6">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资格证书种类</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6C95FA89">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工作年限</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6CA753F">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拟担任的职务</w:t>
            </w: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73A66C1D">
            <w:pPr>
              <w:pStyle w:val="34"/>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岗位情况</w:t>
            </w:r>
          </w:p>
        </w:tc>
      </w:tr>
      <w:tr w14:paraId="282C7A02">
        <w:tblPrEx>
          <w:tblCellMar>
            <w:top w:w="0" w:type="dxa"/>
            <w:left w:w="0" w:type="dxa"/>
            <w:bottom w:w="0" w:type="dxa"/>
            <w:right w:w="0" w:type="dxa"/>
          </w:tblCellMar>
        </w:tblPrEx>
        <w:trPr>
          <w:trHeight w:val="851" w:hRule="exact"/>
        </w:trPr>
        <w:tc>
          <w:tcPr>
            <w:tcW w:w="0" w:type="auto"/>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70EE8A7C">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DCDF43F">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BB88C2C">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18D689E">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8B46517">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23460B8">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49B73C99">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B2B2071">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66C5CC7">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B38D1E9">
            <w:pPr>
              <w:pStyle w:val="34"/>
              <w:spacing w:line="240" w:lineRule="auto"/>
              <w:ind w:left="0" w:leftChars="0" w:right="0" w:rightChars="0" w:firstLine="0" w:firstLineChars="0"/>
              <w:jc w:val="both"/>
              <w:rPr>
                <w:rFonts w:hAnsi="宋体" w:cs="宋体"/>
                <w:color w:val="auto"/>
                <w:highlight w:val="none"/>
              </w:rPr>
            </w:pPr>
          </w:p>
        </w:tc>
      </w:tr>
      <w:tr w14:paraId="64A4172D">
        <w:tblPrEx>
          <w:tblCellMar>
            <w:top w:w="0" w:type="dxa"/>
            <w:left w:w="0" w:type="dxa"/>
            <w:bottom w:w="0" w:type="dxa"/>
            <w:right w:w="0" w:type="dxa"/>
          </w:tblCellMar>
        </w:tblPrEx>
        <w:trPr>
          <w:trHeight w:val="851" w:hRule="exact"/>
        </w:trPr>
        <w:tc>
          <w:tcPr>
            <w:tcW w:w="0" w:type="auto"/>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70A7B0F3">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C735CB3">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DE6F0B8">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08DF62C">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A854E8D">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38644A4C">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3E2DF2E5">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770DDFE">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7CDB28C">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D422C05">
            <w:pPr>
              <w:pStyle w:val="34"/>
              <w:spacing w:line="240" w:lineRule="auto"/>
              <w:ind w:left="0" w:leftChars="0" w:right="0" w:rightChars="0" w:firstLine="0" w:firstLineChars="0"/>
              <w:jc w:val="both"/>
              <w:rPr>
                <w:rFonts w:hAnsi="宋体" w:cs="宋体"/>
                <w:color w:val="auto"/>
                <w:highlight w:val="none"/>
              </w:rPr>
            </w:pPr>
          </w:p>
        </w:tc>
      </w:tr>
      <w:tr w14:paraId="19CCB3B5">
        <w:tblPrEx>
          <w:tblCellMar>
            <w:top w:w="0" w:type="dxa"/>
            <w:left w:w="0" w:type="dxa"/>
            <w:bottom w:w="0" w:type="dxa"/>
            <w:right w:w="0" w:type="dxa"/>
          </w:tblCellMar>
        </w:tblPrEx>
        <w:trPr>
          <w:trHeight w:val="851" w:hRule="exact"/>
        </w:trPr>
        <w:tc>
          <w:tcPr>
            <w:tcW w:w="0" w:type="auto"/>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6F770A81">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6527DAA">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C0B3C61">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8D19E9D">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5188ED9">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345870D">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654D599C">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2704E50">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97B3085">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B1CF65D">
            <w:pPr>
              <w:pStyle w:val="34"/>
              <w:spacing w:line="240" w:lineRule="auto"/>
              <w:ind w:left="0" w:leftChars="0" w:right="0" w:rightChars="0" w:firstLine="0" w:firstLineChars="0"/>
              <w:jc w:val="both"/>
              <w:rPr>
                <w:rFonts w:hAnsi="宋体" w:cs="宋体"/>
                <w:color w:val="auto"/>
                <w:highlight w:val="none"/>
              </w:rPr>
            </w:pPr>
          </w:p>
        </w:tc>
      </w:tr>
      <w:tr w14:paraId="25DE93F6">
        <w:tblPrEx>
          <w:tblCellMar>
            <w:top w:w="0" w:type="dxa"/>
            <w:left w:w="0" w:type="dxa"/>
            <w:bottom w:w="0" w:type="dxa"/>
            <w:right w:w="0" w:type="dxa"/>
          </w:tblCellMar>
        </w:tblPrEx>
        <w:trPr>
          <w:trHeight w:val="851" w:hRule="exact"/>
        </w:trPr>
        <w:tc>
          <w:tcPr>
            <w:tcW w:w="0" w:type="auto"/>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5350868A">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C512550">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A327F0A">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402E6D6">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E6556C9">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0BB65D3">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2F46486E">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41EA59D">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1C7D368">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6A57B42">
            <w:pPr>
              <w:pStyle w:val="34"/>
              <w:spacing w:line="240" w:lineRule="auto"/>
              <w:ind w:left="0" w:leftChars="0" w:right="0" w:rightChars="0" w:firstLine="0" w:firstLineChars="0"/>
              <w:jc w:val="both"/>
              <w:rPr>
                <w:rFonts w:hAnsi="宋体" w:cs="宋体"/>
                <w:color w:val="auto"/>
                <w:highlight w:val="none"/>
              </w:rPr>
            </w:pPr>
          </w:p>
        </w:tc>
      </w:tr>
      <w:tr w14:paraId="2092A971">
        <w:tblPrEx>
          <w:tblCellMar>
            <w:top w:w="0" w:type="dxa"/>
            <w:left w:w="0" w:type="dxa"/>
            <w:bottom w:w="0" w:type="dxa"/>
            <w:right w:w="0" w:type="dxa"/>
          </w:tblCellMar>
        </w:tblPrEx>
        <w:trPr>
          <w:trHeight w:val="851" w:hRule="exact"/>
        </w:trPr>
        <w:tc>
          <w:tcPr>
            <w:tcW w:w="0" w:type="auto"/>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431BE5D8">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AD03DE4">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294B7A0">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E3A08E5">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32391AA">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95191FF">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2CB5B98B">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3C24C0E">
            <w:pPr>
              <w:pStyle w:val="34"/>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0185B1E">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1612B6E">
            <w:pPr>
              <w:pStyle w:val="34"/>
              <w:spacing w:line="240" w:lineRule="auto"/>
              <w:ind w:left="0" w:leftChars="0" w:right="0" w:rightChars="0" w:firstLine="0" w:firstLineChars="0"/>
              <w:jc w:val="both"/>
              <w:rPr>
                <w:rFonts w:hAnsi="宋体" w:cs="宋体"/>
                <w:color w:val="auto"/>
                <w:highlight w:val="none"/>
              </w:rPr>
            </w:pPr>
          </w:p>
        </w:tc>
      </w:tr>
      <w:tr w14:paraId="6A8F67A9">
        <w:tblPrEx>
          <w:tblCellMar>
            <w:top w:w="0" w:type="dxa"/>
            <w:left w:w="0" w:type="dxa"/>
            <w:bottom w:w="0" w:type="dxa"/>
            <w:right w:w="0" w:type="dxa"/>
          </w:tblCellMar>
        </w:tblPrEx>
        <w:trPr>
          <w:trHeight w:val="851" w:hRule="exact"/>
        </w:trPr>
        <w:tc>
          <w:tcPr>
            <w:tcW w:w="56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62501DB9">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BE609F2">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D13D282">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16CEDC9">
            <w:pPr>
              <w:pStyle w:val="34"/>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C2BE324">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EEC020A">
            <w:pPr>
              <w:pStyle w:val="34"/>
              <w:spacing w:line="240" w:lineRule="auto"/>
              <w:ind w:left="0" w:leftChars="0" w:right="0" w:rightChars="0" w:firstLine="0" w:firstLineChars="0"/>
              <w:jc w:val="both"/>
              <w:rPr>
                <w:rFonts w:hAnsi="宋体" w:cs="宋体"/>
                <w:color w:val="auto"/>
                <w:highlight w:val="none"/>
              </w:rPr>
            </w:pPr>
          </w:p>
        </w:tc>
        <w:tc>
          <w:tcPr>
            <w:tcW w:w="162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38701F34">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8466708">
            <w:pPr>
              <w:pStyle w:val="34"/>
              <w:spacing w:line="240" w:lineRule="auto"/>
              <w:ind w:left="0" w:leftChars="0" w:right="0" w:rightChars="0" w:firstLine="0" w:firstLineChars="0"/>
              <w:jc w:val="both"/>
              <w:rPr>
                <w:rFonts w:hAnsi="宋体" w:cs="宋体"/>
                <w:color w:val="auto"/>
                <w:highlight w:val="none"/>
              </w:rPr>
            </w:pPr>
          </w:p>
        </w:tc>
        <w:tc>
          <w:tcPr>
            <w:tcW w:w="162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FF285C6">
            <w:pPr>
              <w:pStyle w:val="34"/>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305B743">
            <w:pPr>
              <w:pStyle w:val="34"/>
              <w:spacing w:line="240" w:lineRule="auto"/>
              <w:ind w:left="0" w:leftChars="0" w:right="0" w:rightChars="0" w:firstLine="0" w:firstLineChars="0"/>
              <w:jc w:val="both"/>
              <w:rPr>
                <w:rFonts w:hAnsi="宋体" w:cs="宋体"/>
                <w:color w:val="auto"/>
                <w:highlight w:val="none"/>
              </w:rPr>
            </w:pPr>
          </w:p>
        </w:tc>
      </w:tr>
    </w:tbl>
    <w:p w14:paraId="1EE90BB2">
      <w:pPr>
        <w:rPr>
          <w:rFonts w:hint="eastAsia" w:hAnsi="宋体" w:cs="宋体"/>
          <w:b/>
          <w:bCs/>
          <w:color w:val="auto"/>
          <w:sz w:val="32"/>
          <w:szCs w:val="32"/>
          <w:highlight w:val="none"/>
        </w:rPr>
      </w:pPr>
    </w:p>
    <w:p w14:paraId="78C6125C">
      <w:pPr>
        <w:rPr>
          <w:rFonts w:hint="eastAsia" w:hAnsi="宋体" w:cs="宋体"/>
          <w:b/>
          <w:bCs/>
          <w:color w:val="auto"/>
          <w:sz w:val="32"/>
          <w:szCs w:val="32"/>
          <w:highlight w:val="none"/>
        </w:rPr>
      </w:pPr>
      <w:r>
        <w:rPr>
          <w:rFonts w:hint="eastAsia" w:hAnsi="宋体" w:cs="宋体"/>
          <w:b/>
          <w:bCs/>
          <w:color w:val="auto"/>
          <w:sz w:val="32"/>
          <w:szCs w:val="32"/>
          <w:highlight w:val="none"/>
        </w:rPr>
        <w:br w:type="page"/>
      </w:r>
    </w:p>
    <w:p w14:paraId="3EED5C15">
      <w:pPr>
        <w:ind w:firstLine="161" w:firstLineChars="50"/>
        <w:jc w:val="center"/>
        <w:outlineLvl w:val="1"/>
        <w:rPr>
          <w:rFonts w:hAnsi="宋体" w:cs="宋体"/>
          <w:color w:val="auto"/>
          <w:sz w:val="32"/>
          <w:szCs w:val="32"/>
          <w:highlight w:val="none"/>
        </w:rPr>
      </w:pPr>
      <w:r>
        <w:rPr>
          <w:rFonts w:hint="eastAsia" w:hAnsi="宋体" w:cs="宋体"/>
          <w:b/>
          <w:bCs/>
          <w:color w:val="auto"/>
          <w:sz w:val="32"/>
          <w:szCs w:val="32"/>
          <w:highlight w:val="none"/>
        </w:rPr>
        <w:t>四、</w:t>
      </w:r>
      <w:bookmarkEnd w:id="232"/>
      <w:bookmarkEnd w:id="233"/>
      <w:bookmarkEnd w:id="234"/>
      <w:bookmarkEnd w:id="235"/>
      <w:bookmarkEnd w:id="236"/>
      <w:r>
        <w:rPr>
          <w:rFonts w:hint="eastAsia" w:hAnsi="宋体" w:cs="宋体"/>
          <w:b/>
          <w:bCs/>
          <w:color w:val="auto"/>
          <w:sz w:val="32"/>
          <w:szCs w:val="32"/>
          <w:highlight w:val="none"/>
        </w:rPr>
        <w:t>商务条款偏离表</w:t>
      </w:r>
      <w:bookmarkEnd w:id="237"/>
      <w:bookmarkEnd w:id="238"/>
      <w:bookmarkEnd w:id="239"/>
      <w:bookmarkEnd w:id="240"/>
      <w:bookmarkEnd w:id="241"/>
      <w:bookmarkEnd w:id="242"/>
    </w:p>
    <w:p w14:paraId="20385B01">
      <w:pPr>
        <w:pStyle w:val="19"/>
        <w:widowControl w:val="0"/>
        <w:spacing w:before="0" w:beforeAutospacing="0" w:after="0" w:afterAutospacing="0"/>
        <w:jc w:val="both"/>
        <w:rPr>
          <w:rFonts w:cs="宋体"/>
          <w:color w:val="auto"/>
          <w:highlight w:val="none"/>
        </w:rPr>
      </w:pPr>
    </w:p>
    <w:p w14:paraId="51C350C8">
      <w:pPr>
        <w:pStyle w:val="19"/>
        <w:widowControl w:val="0"/>
        <w:spacing w:beforeLines="50" w:beforeAutospacing="0" w:afterLines="50" w:afterAutospacing="0"/>
        <w:rPr>
          <w:rFonts w:cs="宋体"/>
          <w:color w:val="auto"/>
          <w:highlight w:val="none"/>
        </w:rPr>
      </w:pPr>
      <w:r>
        <w:rPr>
          <w:rFonts w:hint="eastAsia" w:cs="宋体"/>
          <w:color w:val="auto"/>
          <w:highlight w:val="none"/>
        </w:rPr>
        <w:t>项目编号：</w:t>
      </w:r>
    </w:p>
    <w:p w14:paraId="390A83D6">
      <w:pPr>
        <w:pStyle w:val="19"/>
        <w:widowControl w:val="0"/>
        <w:spacing w:beforeLines="50" w:beforeAutospacing="0" w:afterLines="50" w:afterAutospacing="0"/>
        <w:rPr>
          <w:rFonts w:cs="宋体"/>
          <w:color w:val="auto"/>
          <w:highlight w:val="none"/>
          <w:u w:val="single"/>
        </w:rPr>
      </w:pPr>
      <w:r>
        <w:rPr>
          <w:rFonts w:hint="eastAsia" w:cs="宋体"/>
          <w:color w:val="auto"/>
          <w:highlight w:val="none"/>
        </w:rPr>
        <w:t>项目名称：</w:t>
      </w:r>
    </w:p>
    <w:p w14:paraId="40FDBF82">
      <w:pPr>
        <w:pStyle w:val="19"/>
        <w:widowControl w:val="0"/>
        <w:spacing w:before="0" w:beforeAutospacing="0" w:after="0" w:afterAutospacing="0"/>
        <w:ind w:firstLine="480" w:firstLineChars="200"/>
        <w:jc w:val="center"/>
        <w:rPr>
          <w:rFonts w:cs="宋体"/>
          <w:color w:val="auto"/>
          <w:highlight w:val="none"/>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2649"/>
        <w:gridCol w:w="2768"/>
        <w:gridCol w:w="1673"/>
        <w:gridCol w:w="1253"/>
      </w:tblGrid>
      <w:tr w14:paraId="09A14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0AC0DE5D">
            <w:pPr>
              <w:pStyle w:val="19"/>
              <w:widowControl w:val="0"/>
              <w:spacing w:before="0" w:beforeAutospacing="0" w:after="0" w:afterAutospacing="0"/>
              <w:jc w:val="center"/>
              <w:rPr>
                <w:rFonts w:cs="宋体"/>
                <w:color w:val="auto"/>
                <w:highlight w:val="none"/>
              </w:rPr>
            </w:pPr>
            <w:r>
              <w:rPr>
                <w:rFonts w:hint="eastAsia" w:cs="宋体"/>
                <w:color w:val="auto"/>
                <w:highlight w:val="none"/>
              </w:rPr>
              <w:t>序号</w:t>
            </w:r>
          </w:p>
        </w:tc>
        <w:tc>
          <w:tcPr>
            <w:tcW w:w="2649" w:type="dxa"/>
            <w:tcBorders>
              <w:top w:val="single" w:color="auto" w:sz="4" w:space="0"/>
              <w:left w:val="single" w:color="auto" w:sz="4" w:space="0"/>
              <w:bottom w:val="single" w:color="auto" w:sz="4" w:space="0"/>
              <w:right w:val="single" w:color="auto" w:sz="4" w:space="0"/>
            </w:tcBorders>
            <w:vAlign w:val="center"/>
          </w:tcPr>
          <w:p w14:paraId="59951533">
            <w:pPr>
              <w:pStyle w:val="19"/>
              <w:widowControl w:val="0"/>
              <w:spacing w:before="0" w:beforeAutospacing="0" w:after="0" w:afterAutospacing="0"/>
              <w:jc w:val="center"/>
              <w:rPr>
                <w:rFonts w:cs="宋体"/>
                <w:color w:val="auto"/>
                <w:highlight w:val="none"/>
              </w:rPr>
            </w:pPr>
            <w:r>
              <w:rPr>
                <w:rFonts w:hint="eastAsia" w:cs="宋体"/>
                <w:color w:val="auto"/>
                <w:highlight w:val="none"/>
              </w:rPr>
              <w:t>磋商文件的商务条款</w:t>
            </w:r>
          </w:p>
        </w:tc>
        <w:tc>
          <w:tcPr>
            <w:tcW w:w="2768" w:type="dxa"/>
            <w:tcBorders>
              <w:top w:val="single" w:color="auto" w:sz="4" w:space="0"/>
              <w:left w:val="single" w:color="auto" w:sz="4" w:space="0"/>
              <w:bottom w:val="single" w:color="auto" w:sz="4" w:space="0"/>
              <w:right w:val="single" w:color="auto" w:sz="4" w:space="0"/>
            </w:tcBorders>
            <w:vAlign w:val="center"/>
          </w:tcPr>
          <w:p w14:paraId="0872A75D">
            <w:pPr>
              <w:pStyle w:val="19"/>
              <w:widowControl w:val="0"/>
              <w:spacing w:before="0" w:beforeAutospacing="0" w:after="0" w:afterAutospacing="0"/>
              <w:jc w:val="center"/>
              <w:rPr>
                <w:rFonts w:cs="宋体"/>
                <w:color w:val="auto"/>
                <w:highlight w:val="none"/>
              </w:rPr>
            </w:pPr>
            <w:r>
              <w:rPr>
                <w:rFonts w:hint="eastAsia" w:cs="宋体"/>
                <w:color w:val="auto"/>
                <w:highlight w:val="none"/>
              </w:rPr>
              <w:t>磋商响应文件的商务条款</w:t>
            </w:r>
          </w:p>
        </w:tc>
        <w:tc>
          <w:tcPr>
            <w:tcW w:w="1673" w:type="dxa"/>
            <w:tcBorders>
              <w:top w:val="single" w:color="auto" w:sz="4" w:space="0"/>
              <w:left w:val="single" w:color="auto" w:sz="4" w:space="0"/>
              <w:bottom w:val="single" w:color="auto" w:sz="4" w:space="0"/>
              <w:right w:val="single" w:color="auto" w:sz="4" w:space="0"/>
            </w:tcBorders>
            <w:vAlign w:val="center"/>
          </w:tcPr>
          <w:p w14:paraId="68AD2072">
            <w:pPr>
              <w:pStyle w:val="19"/>
              <w:widowControl w:val="0"/>
              <w:spacing w:before="0" w:beforeAutospacing="0" w:after="0" w:afterAutospacing="0"/>
              <w:jc w:val="center"/>
              <w:rPr>
                <w:rFonts w:cs="宋体"/>
                <w:color w:val="auto"/>
                <w:highlight w:val="none"/>
              </w:rPr>
            </w:pPr>
            <w:r>
              <w:rPr>
                <w:rFonts w:hint="eastAsia" w:cs="宋体"/>
                <w:color w:val="auto"/>
                <w:highlight w:val="none"/>
              </w:rPr>
              <w:t>偏离</w:t>
            </w:r>
          </w:p>
        </w:tc>
        <w:tc>
          <w:tcPr>
            <w:tcW w:w="1253" w:type="dxa"/>
            <w:tcBorders>
              <w:top w:val="single" w:color="auto" w:sz="4" w:space="0"/>
              <w:left w:val="single" w:color="auto" w:sz="4" w:space="0"/>
              <w:bottom w:val="single" w:color="auto" w:sz="4" w:space="0"/>
              <w:right w:val="single" w:color="auto" w:sz="4" w:space="0"/>
            </w:tcBorders>
            <w:vAlign w:val="center"/>
          </w:tcPr>
          <w:p w14:paraId="1F2BBA4E">
            <w:pPr>
              <w:pStyle w:val="19"/>
              <w:widowControl w:val="0"/>
              <w:spacing w:before="0" w:beforeAutospacing="0" w:after="0" w:afterAutospacing="0"/>
              <w:jc w:val="center"/>
              <w:rPr>
                <w:rFonts w:cs="宋体"/>
                <w:color w:val="auto"/>
                <w:highlight w:val="none"/>
              </w:rPr>
            </w:pPr>
            <w:r>
              <w:rPr>
                <w:rFonts w:hint="eastAsia" w:cs="宋体"/>
                <w:color w:val="auto"/>
                <w:highlight w:val="none"/>
              </w:rPr>
              <w:t>说明</w:t>
            </w:r>
          </w:p>
        </w:tc>
      </w:tr>
      <w:tr w14:paraId="1CA42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74BF68B4">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7F1EDE94">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3C9A58A2">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168542A6">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7F5E6D6F">
            <w:pPr>
              <w:pStyle w:val="19"/>
              <w:widowControl w:val="0"/>
              <w:spacing w:before="0" w:beforeAutospacing="0" w:after="0" w:afterAutospacing="0"/>
              <w:ind w:firstLine="480" w:firstLineChars="200"/>
              <w:jc w:val="center"/>
              <w:rPr>
                <w:rFonts w:cs="宋体"/>
                <w:color w:val="auto"/>
                <w:highlight w:val="none"/>
              </w:rPr>
            </w:pPr>
          </w:p>
        </w:tc>
      </w:tr>
      <w:tr w14:paraId="13335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C1604B3">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454390D0">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718106C8">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3C7A52AF">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5DE9F6AA">
            <w:pPr>
              <w:pStyle w:val="19"/>
              <w:widowControl w:val="0"/>
              <w:spacing w:before="0" w:beforeAutospacing="0" w:after="0" w:afterAutospacing="0"/>
              <w:ind w:firstLine="480" w:firstLineChars="200"/>
              <w:jc w:val="center"/>
              <w:rPr>
                <w:rFonts w:cs="宋体"/>
                <w:color w:val="auto"/>
                <w:highlight w:val="none"/>
              </w:rPr>
            </w:pPr>
          </w:p>
        </w:tc>
      </w:tr>
      <w:tr w14:paraId="28272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5A6DBF0">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52427623">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110A7B37">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572C3411">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655F0A0B">
            <w:pPr>
              <w:pStyle w:val="19"/>
              <w:widowControl w:val="0"/>
              <w:spacing w:before="0" w:beforeAutospacing="0" w:after="0" w:afterAutospacing="0"/>
              <w:ind w:firstLine="480" w:firstLineChars="200"/>
              <w:jc w:val="center"/>
              <w:rPr>
                <w:rFonts w:cs="宋体"/>
                <w:color w:val="auto"/>
                <w:highlight w:val="none"/>
              </w:rPr>
            </w:pPr>
          </w:p>
        </w:tc>
      </w:tr>
      <w:tr w14:paraId="4F790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0DBDA084">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617075A0">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30264917">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01A5F00C">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6136F0DF">
            <w:pPr>
              <w:pStyle w:val="19"/>
              <w:widowControl w:val="0"/>
              <w:spacing w:before="0" w:beforeAutospacing="0" w:after="0" w:afterAutospacing="0"/>
              <w:ind w:firstLine="480" w:firstLineChars="200"/>
              <w:jc w:val="center"/>
              <w:rPr>
                <w:rFonts w:cs="宋体"/>
                <w:color w:val="auto"/>
                <w:highlight w:val="none"/>
              </w:rPr>
            </w:pPr>
          </w:p>
        </w:tc>
      </w:tr>
      <w:tr w14:paraId="3CF03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DBBDB0C">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02F34D91">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2E32AE31">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322D2BDB">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56CE1F97">
            <w:pPr>
              <w:pStyle w:val="19"/>
              <w:widowControl w:val="0"/>
              <w:spacing w:before="0" w:beforeAutospacing="0" w:after="0" w:afterAutospacing="0"/>
              <w:ind w:firstLine="480" w:firstLineChars="200"/>
              <w:jc w:val="center"/>
              <w:rPr>
                <w:rFonts w:cs="宋体"/>
                <w:color w:val="auto"/>
                <w:highlight w:val="none"/>
              </w:rPr>
            </w:pPr>
          </w:p>
        </w:tc>
      </w:tr>
      <w:tr w14:paraId="65D61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19E37F9E">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0B8A730F">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3F0EC614">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706D9D65">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595A448B">
            <w:pPr>
              <w:pStyle w:val="19"/>
              <w:widowControl w:val="0"/>
              <w:spacing w:before="0" w:beforeAutospacing="0" w:after="0" w:afterAutospacing="0"/>
              <w:ind w:firstLine="480" w:firstLineChars="200"/>
              <w:jc w:val="center"/>
              <w:rPr>
                <w:rFonts w:cs="宋体"/>
                <w:color w:val="auto"/>
                <w:highlight w:val="none"/>
              </w:rPr>
            </w:pPr>
          </w:p>
        </w:tc>
      </w:tr>
      <w:tr w14:paraId="24B82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2A38C4F2">
            <w:pPr>
              <w:pStyle w:val="19"/>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0DBF0584">
            <w:pPr>
              <w:pStyle w:val="19"/>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363609A4">
            <w:pPr>
              <w:pStyle w:val="19"/>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7D6C7B01">
            <w:pPr>
              <w:pStyle w:val="19"/>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7A6A5DD7">
            <w:pPr>
              <w:pStyle w:val="19"/>
              <w:widowControl w:val="0"/>
              <w:spacing w:before="0" w:beforeAutospacing="0" w:after="0" w:afterAutospacing="0"/>
              <w:ind w:firstLine="480" w:firstLineChars="200"/>
              <w:jc w:val="center"/>
              <w:rPr>
                <w:rFonts w:cs="宋体"/>
                <w:color w:val="auto"/>
                <w:highlight w:val="none"/>
              </w:rPr>
            </w:pPr>
          </w:p>
        </w:tc>
      </w:tr>
    </w:tbl>
    <w:p w14:paraId="0719B666">
      <w:pPr>
        <w:pStyle w:val="19"/>
        <w:widowControl w:val="0"/>
        <w:spacing w:before="0" w:beforeAutospacing="0" w:after="0" w:afterAutospacing="0"/>
        <w:rPr>
          <w:rFonts w:cs="宋体"/>
          <w:color w:val="auto"/>
          <w:highlight w:val="none"/>
        </w:rPr>
      </w:pPr>
      <w:r>
        <w:rPr>
          <w:rFonts w:hint="eastAsia" w:cs="宋体"/>
          <w:color w:val="auto"/>
          <w:highlight w:val="none"/>
        </w:rPr>
        <w:t>说明：</w:t>
      </w:r>
    </w:p>
    <w:p w14:paraId="37C98074">
      <w:pPr>
        <w:pStyle w:val="19"/>
        <w:widowControl w:val="0"/>
        <w:spacing w:before="0" w:beforeAutospacing="0" w:after="0" w:afterAutospacing="0"/>
        <w:ind w:firstLine="480" w:firstLineChars="200"/>
        <w:jc w:val="both"/>
        <w:rPr>
          <w:rFonts w:cs="宋体"/>
          <w:color w:val="auto"/>
          <w:highlight w:val="none"/>
        </w:rPr>
      </w:pPr>
      <w:r>
        <w:rPr>
          <w:rFonts w:hint="eastAsia" w:cs="宋体"/>
          <w:color w:val="auto"/>
          <w:highlight w:val="none"/>
        </w:rPr>
        <w:t>1.参照第四章合同条款要求内容进行响应。</w:t>
      </w:r>
    </w:p>
    <w:p w14:paraId="52E629A3">
      <w:pPr>
        <w:pStyle w:val="19"/>
        <w:widowControl w:val="0"/>
        <w:spacing w:before="0" w:beforeAutospacing="0" w:after="0" w:afterAutospacing="0"/>
        <w:ind w:firstLine="480" w:firstLineChars="200"/>
        <w:jc w:val="both"/>
        <w:rPr>
          <w:rFonts w:cs="宋体"/>
          <w:color w:val="auto"/>
          <w:highlight w:val="none"/>
        </w:rPr>
      </w:pPr>
      <w:r>
        <w:rPr>
          <w:rFonts w:hint="eastAsia" w:cs="宋体"/>
          <w:color w:val="auto"/>
          <w:highlight w:val="none"/>
        </w:rPr>
        <w:t>2.本表只填写磋商响应文件中与磋商文件有偏离（包括正偏离和负偏离）的内容，磋商响应文件中商务响应与磋商文件要求完全一致的，不用在此表中列出，但必须提交空白表。</w:t>
      </w:r>
    </w:p>
    <w:p w14:paraId="42B76AC1">
      <w:pPr>
        <w:pStyle w:val="19"/>
        <w:widowControl w:val="0"/>
        <w:spacing w:before="0" w:beforeAutospacing="0" w:after="0" w:afterAutospacing="0"/>
        <w:ind w:firstLine="480" w:firstLineChars="200"/>
        <w:rPr>
          <w:rFonts w:cs="宋体"/>
          <w:color w:val="auto"/>
          <w:highlight w:val="none"/>
        </w:rPr>
      </w:pPr>
      <w:r>
        <w:rPr>
          <w:rFonts w:hint="eastAsia" w:cs="宋体"/>
          <w:color w:val="auto"/>
          <w:highlight w:val="none"/>
        </w:rPr>
        <w:t>2.供应商必须据实填写，不得虚假响应，否则将取消其磋商或成交资格，并按有关规定进行处罚。</w:t>
      </w:r>
    </w:p>
    <w:p w14:paraId="68E23BE7">
      <w:pPr>
        <w:pStyle w:val="19"/>
        <w:widowControl w:val="0"/>
        <w:spacing w:before="0" w:beforeAutospacing="0" w:after="0" w:afterAutospacing="0"/>
        <w:ind w:firstLine="480" w:firstLineChars="200"/>
        <w:jc w:val="center"/>
        <w:rPr>
          <w:rFonts w:cs="宋体"/>
          <w:color w:val="auto"/>
          <w:highlight w:val="none"/>
        </w:rPr>
      </w:pPr>
    </w:p>
    <w:p w14:paraId="2E9A1915">
      <w:pPr>
        <w:pStyle w:val="19"/>
        <w:widowControl w:val="0"/>
        <w:spacing w:before="0" w:beforeAutospacing="0" w:after="0" w:afterAutospacing="0"/>
        <w:ind w:firstLine="480" w:firstLineChars="200"/>
        <w:rPr>
          <w:rFonts w:cs="宋体"/>
          <w:color w:val="auto"/>
          <w:highlight w:val="none"/>
        </w:rPr>
      </w:pPr>
      <w:r>
        <w:rPr>
          <w:rFonts w:hint="eastAsia" w:cs="宋体"/>
          <w:color w:val="auto"/>
          <w:highlight w:val="none"/>
        </w:rPr>
        <w:t>供应商名称：                          （单位公章）</w:t>
      </w:r>
    </w:p>
    <w:p w14:paraId="01A4475E">
      <w:pPr>
        <w:pStyle w:val="19"/>
        <w:widowControl w:val="0"/>
        <w:spacing w:before="0" w:beforeAutospacing="0" w:after="0" w:afterAutospacing="0"/>
        <w:ind w:firstLine="480" w:firstLineChars="200"/>
        <w:jc w:val="center"/>
        <w:rPr>
          <w:rFonts w:cs="宋体"/>
          <w:color w:val="auto"/>
          <w:highlight w:val="none"/>
        </w:rPr>
      </w:pPr>
    </w:p>
    <w:p w14:paraId="33770F2C">
      <w:pPr>
        <w:spacing w:line="400" w:lineRule="exact"/>
        <w:ind w:firstLine="480" w:firstLineChars="200"/>
        <w:rPr>
          <w:rFonts w:hAnsi="宋体" w:cs="宋体"/>
          <w:color w:val="auto"/>
          <w:szCs w:val="24"/>
          <w:highlight w:val="none"/>
        </w:rPr>
      </w:pPr>
      <w:r>
        <w:rPr>
          <w:rFonts w:hint="eastAsia" w:hAnsi="宋体" w:cs="宋体"/>
          <w:color w:val="auto"/>
          <w:highlight w:val="none"/>
        </w:rPr>
        <w:t xml:space="preserve">法定代表人或委托代理人：              （签字或盖章） </w:t>
      </w:r>
    </w:p>
    <w:p w14:paraId="360ECF27">
      <w:pPr>
        <w:spacing w:line="360" w:lineRule="auto"/>
        <w:ind w:left="600" w:leftChars="250"/>
        <w:rPr>
          <w:rFonts w:hAnsi="宋体" w:cs="宋体"/>
          <w:b/>
          <w:bCs/>
          <w:color w:val="auto"/>
          <w:sz w:val="28"/>
          <w:szCs w:val="28"/>
          <w:highlight w:val="none"/>
        </w:rPr>
      </w:pPr>
    </w:p>
    <w:p w14:paraId="7444CDF5">
      <w:pPr>
        <w:spacing w:line="440" w:lineRule="exact"/>
        <w:ind w:left="3725" w:leftChars="1552"/>
        <w:rPr>
          <w:rFonts w:hAnsi="宋体" w:cs="宋体"/>
          <w:color w:val="auto"/>
          <w:szCs w:val="24"/>
          <w:highlight w:val="none"/>
        </w:rPr>
      </w:pPr>
    </w:p>
    <w:p w14:paraId="0D435002">
      <w:pPr>
        <w:spacing w:line="440" w:lineRule="exact"/>
        <w:ind w:left="3725" w:leftChars="1552"/>
        <w:rPr>
          <w:rFonts w:hAnsi="宋体" w:cs="宋体"/>
          <w:color w:val="auto"/>
          <w:szCs w:val="24"/>
          <w:highlight w:val="none"/>
        </w:rPr>
      </w:pPr>
    </w:p>
    <w:p w14:paraId="07609532">
      <w:pPr>
        <w:spacing w:line="440" w:lineRule="exact"/>
        <w:ind w:left="3725" w:leftChars="1552"/>
        <w:rPr>
          <w:rFonts w:hAnsi="宋体" w:cs="宋体"/>
          <w:color w:val="auto"/>
          <w:szCs w:val="24"/>
          <w:highlight w:val="none"/>
        </w:rPr>
      </w:pPr>
    </w:p>
    <w:bookmarkEnd w:id="225"/>
    <w:p w14:paraId="1A318D22">
      <w:pPr>
        <w:spacing w:line="360" w:lineRule="auto"/>
        <w:jc w:val="center"/>
        <w:outlineLvl w:val="1"/>
        <w:rPr>
          <w:rFonts w:hAnsi="宋体" w:cs="宋体"/>
          <w:b/>
          <w:bCs/>
          <w:color w:val="auto"/>
          <w:sz w:val="30"/>
          <w:szCs w:val="30"/>
          <w:highlight w:val="none"/>
        </w:rPr>
      </w:pPr>
      <w:bookmarkStart w:id="243" w:name="_Toc363474033"/>
      <w:bookmarkStart w:id="244" w:name="_Toc403077656"/>
      <w:r>
        <w:rPr>
          <w:rFonts w:hint="eastAsia" w:hAnsi="宋体" w:cs="宋体"/>
          <w:b/>
          <w:bCs/>
          <w:color w:val="auto"/>
          <w:sz w:val="30"/>
          <w:szCs w:val="30"/>
          <w:highlight w:val="none"/>
        </w:rPr>
        <w:br w:type="page"/>
      </w:r>
      <w:bookmarkStart w:id="245" w:name="_Toc1542"/>
      <w:bookmarkStart w:id="246" w:name="_Toc7544"/>
      <w:bookmarkStart w:id="247" w:name="_Toc27470"/>
      <w:bookmarkStart w:id="248" w:name="_Toc3386"/>
      <w:bookmarkStart w:id="249" w:name="_Toc3253"/>
      <w:bookmarkStart w:id="250" w:name="_Toc11212"/>
      <w:r>
        <w:rPr>
          <w:rFonts w:hint="eastAsia" w:hAnsi="宋体" w:cs="宋体"/>
          <w:b/>
          <w:bCs/>
          <w:color w:val="auto"/>
          <w:sz w:val="30"/>
          <w:szCs w:val="30"/>
          <w:highlight w:val="none"/>
        </w:rPr>
        <w:t>五、陕西省政府采购供应商拒绝政府采购领域商业贿赂承诺书</w:t>
      </w:r>
      <w:bookmarkEnd w:id="243"/>
      <w:bookmarkEnd w:id="244"/>
      <w:bookmarkEnd w:id="245"/>
      <w:bookmarkEnd w:id="246"/>
      <w:bookmarkEnd w:id="247"/>
      <w:bookmarkEnd w:id="248"/>
      <w:bookmarkEnd w:id="249"/>
      <w:bookmarkEnd w:id="250"/>
    </w:p>
    <w:p w14:paraId="423DFD3E">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为响应党中央、国务院关于治理政府采购领域商业贿赂行为的号召，我公司在此庄严承诺：</w:t>
      </w:r>
    </w:p>
    <w:p w14:paraId="72D28047">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1、在参与政府采购活动中遵纪守法、诚信经营、公平竞标。</w:t>
      </w:r>
    </w:p>
    <w:p w14:paraId="3B57AFCD">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2、不向政府采购人、采购代理机构和政府采购评审专家进行任何形式的商业贿赂以谋取交易机会。</w:t>
      </w:r>
    </w:p>
    <w:p w14:paraId="26A4AE1C">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3、不向政府采购代理机构和采购人提供虚假资质文件或采用虚假应标方式参与政府采购市场竞争并谋取中标、成交。</w:t>
      </w:r>
    </w:p>
    <w:p w14:paraId="3C0DE217">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4、不采取“围标、陪标”等商业欺诈手段获得政府采购订单。</w:t>
      </w:r>
    </w:p>
    <w:p w14:paraId="05E6639B">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5、不采取不正当手段诋毁、排挤其他供应商。</w:t>
      </w:r>
    </w:p>
    <w:p w14:paraId="37CA2BA1">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6、不在提供商品和服务时“偷梁换柱、以次充好”损害采购人的合法权益。</w:t>
      </w:r>
    </w:p>
    <w:p w14:paraId="6F7CC560">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7、不与采购人、采购代理机构政府采购评审专家或其他供应商恶意串通，进行质疑和投诉，维护政府采购市场秩序。</w:t>
      </w:r>
    </w:p>
    <w:p w14:paraId="1DB11D91">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8、尊重和接受政府采购监督管理部门的监督和政府采购代理机构招标采购要求，承担因违约行为给采购人造成的损失。</w:t>
      </w:r>
    </w:p>
    <w:p w14:paraId="796F5E95">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9、不发生其他有悖于政府采购公开、公平、公正和诚信原则的行为。</w:t>
      </w:r>
    </w:p>
    <w:p w14:paraId="1B84A249">
      <w:pPr>
        <w:spacing w:line="600" w:lineRule="exact"/>
        <w:ind w:firstLine="720" w:firstLineChars="300"/>
        <w:jc w:val="left"/>
        <w:rPr>
          <w:rFonts w:hAnsi="宋体" w:cs="宋体"/>
          <w:color w:val="auto"/>
          <w:szCs w:val="24"/>
          <w:highlight w:val="none"/>
        </w:rPr>
      </w:pPr>
      <w:r>
        <w:rPr>
          <w:rFonts w:hint="eastAsia" w:hAnsi="宋体" w:cs="宋体"/>
          <w:color w:val="auto"/>
          <w:szCs w:val="24"/>
          <w:highlight w:val="none"/>
        </w:rPr>
        <w:t>承诺单位（盖章）：</w:t>
      </w:r>
    </w:p>
    <w:p w14:paraId="208C179E">
      <w:pPr>
        <w:spacing w:line="600" w:lineRule="exact"/>
        <w:ind w:firstLine="720" w:firstLineChars="300"/>
        <w:jc w:val="left"/>
        <w:rPr>
          <w:rFonts w:hAnsi="宋体" w:cs="宋体"/>
          <w:color w:val="auto"/>
          <w:szCs w:val="24"/>
          <w:highlight w:val="none"/>
        </w:rPr>
      </w:pPr>
      <w:r>
        <w:rPr>
          <w:rFonts w:hint="eastAsia" w:hAnsi="宋体" w:cs="宋体"/>
          <w:color w:val="auto"/>
          <w:szCs w:val="24"/>
          <w:highlight w:val="none"/>
        </w:rPr>
        <w:t>全权代表（签字）：</w:t>
      </w:r>
    </w:p>
    <w:p w14:paraId="08B46B6E">
      <w:pPr>
        <w:spacing w:line="600" w:lineRule="exact"/>
        <w:ind w:firstLine="720" w:firstLineChars="300"/>
        <w:rPr>
          <w:rFonts w:hAnsi="宋体" w:cs="宋体"/>
          <w:color w:val="auto"/>
          <w:szCs w:val="24"/>
          <w:highlight w:val="none"/>
        </w:rPr>
      </w:pPr>
      <w:r>
        <w:rPr>
          <w:rFonts w:hint="eastAsia" w:hAnsi="宋体" w:cs="宋体"/>
          <w:color w:val="auto"/>
          <w:szCs w:val="24"/>
          <w:highlight w:val="none"/>
        </w:rPr>
        <w:t xml:space="preserve">地    址：                                                       </w:t>
      </w:r>
    </w:p>
    <w:p w14:paraId="3A40C48A">
      <w:pPr>
        <w:spacing w:line="600" w:lineRule="exact"/>
        <w:ind w:firstLine="720" w:firstLineChars="300"/>
        <w:rPr>
          <w:rFonts w:hAnsi="宋体" w:cs="宋体"/>
          <w:color w:val="auto"/>
          <w:szCs w:val="24"/>
          <w:highlight w:val="none"/>
        </w:rPr>
      </w:pPr>
      <w:r>
        <w:rPr>
          <w:rFonts w:hint="eastAsia" w:hAnsi="宋体" w:cs="宋体"/>
          <w:color w:val="auto"/>
          <w:szCs w:val="24"/>
          <w:highlight w:val="none"/>
        </w:rPr>
        <w:t xml:space="preserve">邮    编：                                                       </w:t>
      </w:r>
    </w:p>
    <w:p w14:paraId="49DF1C15">
      <w:pPr>
        <w:spacing w:line="600" w:lineRule="exact"/>
        <w:ind w:left="240" w:leftChars="100" w:firstLine="480" w:firstLineChars="200"/>
        <w:rPr>
          <w:rFonts w:hAnsi="宋体" w:cs="宋体"/>
          <w:color w:val="auto"/>
          <w:szCs w:val="24"/>
          <w:highlight w:val="none"/>
        </w:rPr>
      </w:pPr>
      <w:r>
        <w:rPr>
          <w:rFonts w:hint="eastAsia" w:hAnsi="宋体" w:cs="宋体"/>
          <w:color w:val="auto"/>
          <w:szCs w:val="24"/>
          <w:highlight w:val="none"/>
        </w:rPr>
        <w:t xml:space="preserve">电    话：                                                       </w:t>
      </w:r>
    </w:p>
    <w:p w14:paraId="41F4E7C5">
      <w:pPr>
        <w:spacing w:line="600" w:lineRule="exact"/>
        <w:ind w:left="754" w:leftChars="314" w:firstLine="5280" w:firstLineChars="2200"/>
        <w:jc w:val="left"/>
        <w:rPr>
          <w:rFonts w:hAnsi="宋体" w:cs="宋体"/>
          <w:color w:val="auto"/>
          <w:szCs w:val="24"/>
          <w:highlight w:val="none"/>
        </w:rPr>
      </w:pPr>
      <w:r>
        <w:rPr>
          <w:rFonts w:hint="eastAsia" w:hAnsi="宋体" w:cs="宋体"/>
          <w:color w:val="auto"/>
          <w:szCs w:val="24"/>
          <w:highlight w:val="none"/>
        </w:rPr>
        <w:t>年    月    日</w:t>
      </w:r>
    </w:p>
    <w:p w14:paraId="27393930">
      <w:pPr>
        <w:jc w:val="center"/>
        <w:outlineLvl w:val="1"/>
        <w:rPr>
          <w:rFonts w:hAnsi="宋体" w:cs="宋体"/>
          <w:color w:val="auto"/>
          <w:highlight w:val="none"/>
          <w:shd w:val="clear" w:color="auto" w:fill="FFFFFF"/>
        </w:rPr>
      </w:pPr>
      <w:bookmarkStart w:id="251" w:name="_Toc363474034"/>
      <w:bookmarkStart w:id="252" w:name="_Toc403077657"/>
      <w:r>
        <w:rPr>
          <w:rFonts w:hint="eastAsia" w:hAnsi="宋体" w:cs="宋体"/>
          <w:b/>
          <w:bCs/>
          <w:color w:val="auto"/>
          <w:sz w:val="30"/>
          <w:szCs w:val="30"/>
          <w:highlight w:val="none"/>
        </w:rPr>
        <w:br w:type="page"/>
      </w:r>
      <w:bookmarkStart w:id="253" w:name="_Toc6273"/>
      <w:bookmarkStart w:id="254" w:name="_Toc6077"/>
      <w:bookmarkStart w:id="255" w:name="_Toc32016"/>
      <w:bookmarkStart w:id="256" w:name="_Toc29285"/>
      <w:bookmarkStart w:id="257" w:name="_Toc7842"/>
      <w:bookmarkStart w:id="258" w:name="_Toc13983"/>
      <w:r>
        <w:rPr>
          <w:rFonts w:hint="eastAsia" w:hAnsi="宋体" w:cs="宋体"/>
          <w:b/>
          <w:bCs/>
          <w:color w:val="auto"/>
          <w:sz w:val="30"/>
          <w:szCs w:val="30"/>
          <w:highlight w:val="none"/>
        </w:rPr>
        <w:t>六、特定资格证明文件</w:t>
      </w:r>
      <w:bookmarkEnd w:id="251"/>
      <w:bookmarkEnd w:id="252"/>
      <w:bookmarkEnd w:id="253"/>
      <w:bookmarkEnd w:id="254"/>
      <w:bookmarkEnd w:id="255"/>
      <w:bookmarkEnd w:id="256"/>
      <w:bookmarkEnd w:id="257"/>
      <w:bookmarkEnd w:id="258"/>
    </w:p>
    <w:p w14:paraId="444CE21A">
      <w:pPr>
        <w:pStyle w:val="42"/>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(1)提供合格有效的法人或者其他组织的营业执照等证明文件，自然人的身份证明；</w:t>
      </w:r>
    </w:p>
    <w:p w14:paraId="1AB795F3">
      <w:pPr>
        <w:pStyle w:val="42"/>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授权代表参加磋商的，提供法定代表人授权书（附法定代表人、被授权人身份证复印件），授权代表提供在投标单位缴纳的社保记录（近6个月内任意一个月）；法定代表人直接参加磋商的，须提供法定代表人身份证明及身份证复印件）；</w:t>
      </w:r>
    </w:p>
    <w:p w14:paraId="3C28099D">
      <w:pPr>
        <w:pStyle w:val="42"/>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提供递交磋商响应文件截止之日前两年内（2024年度和2025年度）任意一个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2DACB2AA">
      <w:pPr>
        <w:pStyle w:val="42"/>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(4)提供磋商响应文件截止日前近六个月内任意一个月的纳税证明或完税证明（任意税种），依法免税的单位应提供相关证明材料；</w:t>
      </w:r>
    </w:p>
    <w:p w14:paraId="5CB43C94">
      <w:pPr>
        <w:pStyle w:val="42"/>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(5)提供磋商响应文件截止日前近六个月内任意一个月的社会保障资金缴存单据或社保机构开具的社会保险参保缴费情况证明，依法不需要缴纳社会保障资金的单位应提供相关证明材料；</w:t>
      </w:r>
    </w:p>
    <w:p w14:paraId="1F442D8D">
      <w:pPr>
        <w:pStyle w:val="42"/>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40CDBEE1">
      <w:pPr>
        <w:pStyle w:val="42"/>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(7)参加政府采购活动前3年内，在经营活动中没有重大违法记录的书面声明；</w:t>
      </w:r>
    </w:p>
    <w:p w14:paraId="57B42A4B">
      <w:pPr>
        <w:pStyle w:val="42"/>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(8)提供具有履行合同所必需的设备和专业技术能力的承诺函；</w:t>
      </w:r>
    </w:p>
    <w:p w14:paraId="667ED514">
      <w:pPr>
        <w:pStyle w:val="42"/>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(9)提供直接控股和管理关系清单。若与其他供应商存在单位负责人为同一人或者存在直接控股、管理关系的，则投标无效；</w:t>
      </w:r>
    </w:p>
    <w:p w14:paraId="5B57C948">
      <w:pPr>
        <w:pStyle w:val="42"/>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(10)本项目不接受联合体磋商（需提供承诺书）。</w:t>
      </w:r>
    </w:p>
    <w:p w14:paraId="290E4E90">
      <w:pPr>
        <w:spacing w:line="560" w:lineRule="exact"/>
        <w:rPr>
          <w:rFonts w:hAnsi="宋体" w:cs="宋体"/>
          <w:b/>
          <w:bCs/>
          <w:color w:val="auto"/>
          <w:sz w:val="28"/>
          <w:szCs w:val="28"/>
          <w:highlight w:val="none"/>
        </w:rPr>
      </w:pPr>
      <w:r>
        <w:rPr>
          <w:rFonts w:hint="eastAsia" w:hAnsi="宋体" w:cs="宋体"/>
          <w:b/>
          <w:bCs/>
          <w:color w:val="auto"/>
          <w:sz w:val="28"/>
          <w:szCs w:val="28"/>
          <w:highlight w:val="none"/>
        </w:rPr>
        <w:t>后附相关格式：</w:t>
      </w:r>
    </w:p>
    <w:p w14:paraId="5FA13F2A">
      <w:pPr>
        <w:jc w:val="center"/>
        <w:outlineLvl w:val="1"/>
        <w:rPr>
          <w:rFonts w:hAnsi="宋体" w:cs="宋体"/>
          <w:b/>
          <w:bCs/>
          <w:color w:val="auto"/>
          <w:sz w:val="30"/>
          <w:szCs w:val="30"/>
          <w:highlight w:val="none"/>
        </w:rPr>
      </w:pPr>
      <w:r>
        <w:rPr>
          <w:rFonts w:hint="eastAsia" w:hAnsi="宋体" w:cs="宋体"/>
          <w:color w:val="auto"/>
          <w:szCs w:val="24"/>
          <w:highlight w:val="none"/>
        </w:rPr>
        <w:br w:type="page"/>
      </w:r>
      <w:bookmarkStart w:id="259" w:name="_Toc24739"/>
      <w:bookmarkStart w:id="260" w:name="_Toc19114"/>
      <w:bookmarkStart w:id="261" w:name="_Toc22315"/>
      <w:bookmarkStart w:id="262" w:name="_Toc12717"/>
      <w:bookmarkStart w:id="263" w:name="_Toc6853"/>
      <w:bookmarkStart w:id="264" w:name="_Toc23859"/>
      <w:r>
        <w:rPr>
          <w:rFonts w:hint="eastAsia" w:hAnsi="宋体" w:cs="宋体"/>
          <w:b/>
          <w:bCs/>
          <w:color w:val="auto"/>
          <w:sz w:val="30"/>
          <w:szCs w:val="30"/>
          <w:highlight w:val="none"/>
        </w:rPr>
        <w:t>七、其它</w:t>
      </w:r>
      <w:bookmarkEnd w:id="259"/>
      <w:bookmarkEnd w:id="260"/>
      <w:bookmarkEnd w:id="261"/>
      <w:bookmarkEnd w:id="262"/>
      <w:bookmarkEnd w:id="263"/>
      <w:bookmarkEnd w:id="264"/>
    </w:p>
    <w:p w14:paraId="6C2BBA37">
      <w:pPr>
        <w:pStyle w:val="9"/>
        <w:ind w:left="0" w:leftChars="0" w:firstLine="0" w:firstLineChars="0"/>
        <w:rPr>
          <w:color w:val="auto"/>
          <w:highlight w:val="none"/>
        </w:rPr>
      </w:pPr>
      <w:r>
        <w:rPr>
          <w:rFonts w:hint="eastAsia"/>
          <w:color w:val="auto"/>
          <w:highlight w:val="none"/>
        </w:rPr>
        <w:t>1、依据竞争性磋商文件要求，供应商认为有必要说明的其他内容</w:t>
      </w:r>
    </w:p>
    <w:p w14:paraId="06B0A62D">
      <w:pPr>
        <w:pStyle w:val="9"/>
        <w:ind w:left="0" w:leftChars="0" w:firstLine="0" w:firstLineChars="0"/>
        <w:rPr>
          <w:color w:val="auto"/>
          <w:highlight w:val="none"/>
        </w:rPr>
      </w:pPr>
      <w:r>
        <w:rPr>
          <w:rFonts w:hint="eastAsia"/>
          <w:color w:val="auto"/>
          <w:highlight w:val="none"/>
        </w:rPr>
        <w:t>2、其他可以证明供应商实力的文件。</w:t>
      </w:r>
    </w:p>
    <w:p w14:paraId="331EB4F3">
      <w:pPr>
        <w:spacing w:beforeLines="50" w:afterLines="50" w:line="500" w:lineRule="exact"/>
        <w:outlineLvl w:val="9"/>
        <w:rPr>
          <w:rFonts w:hAnsi="宋体" w:cs="宋体"/>
          <w:b/>
          <w:sz w:val="28"/>
          <w:szCs w:val="28"/>
        </w:rPr>
      </w:pPr>
      <w:r>
        <w:rPr>
          <w:rFonts w:hint="eastAsia" w:hAnsi="宋体" w:cs="宋体"/>
          <w:color w:val="auto"/>
          <w:szCs w:val="24"/>
          <w:highlight w:val="none"/>
        </w:rPr>
        <w:br w:type="page"/>
      </w:r>
      <w:bookmarkStart w:id="265" w:name="_Toc17513"/>
      <w:bookmarkStart w:id="266" w:name="_Toc29387"/>
      <w:bookmarkStart w:id="267" w:name="_Toc6055"/>
      <w:bookmarkStart w:id="268" w:name="_Toc13836"/>
      <w:r>
        <w:rPr>
          <w:rFonts w:hint="eastAsia" w:hAnsi="宋体" w:cs="宋体"/>
          <w:b/>
          <w:sz w:val="28"/>
          <w:szCs w:val="28"/>
        </w:rPr>
        <w:t>附件</w:t>
      </w:r>
      <w:r>
        <w:rPr>
          <w:rFonts w:hint="eastAsia" w:hAnsi="宋体" w:cs="宋体"/>
          <w:b/>
          <w:sz w:val="28"/>
          <w:szCs w:val="28"/>
          <w:lang w:val="en-US" w:eastAsia="zh-CN"/>
        </w:rPr>
        <w:t>1</w:t>
      </w:r>
      <w:r>
        <w:rPr>
          <w:rFonts w:hint="eastAsia" w:hAnsi="宋体" w:cs="宋体"/>
          <w:b/>
          <w:sz w:val="28"/>
          <w:szCs w:val="28"/>
        </w:rPr>
        <w:t>：法定代表人身份证明/法定代表人授权书</w:t>
      </w:r>
      <w:bookmarkEnd w:id="265"/>
      <w:bookmarkEnd w:id="266"/>
      <w:bookmarkEnd w:id="267"/>
    </w:p>
    <w:p w14:paraId="7328220E">
      <w:pPr>
        <w:rPr>
          <w:rFonts w:hAnsi="宋体" w:cs="宋体"/>
          <w:b/>
          <w:bCs/>
          <w:szCs w:val="32"/>
        </w:rPr>
      </w:pPr>
    </w:p>
    <w:p w14:paraId="6195238F">
      <w:pPr>
        <w:pStyle w:val="9"/>
        <w:jc w:val="center"/>
        <w:rPr>
          <w:rFonts w:ascii="宋体" w:hAnsi="宋体" w:cs="宋体"/>
          <w:b/>
          <w:bCs/>
          <w:sz w:val="32"/>
          <w:szCs w:val="32"/>
        </w:rPr>
      </w:pPr>
      <w:r>
        <w:rPr>
          <w:rFonts w:hint="eastAsia" w:ascii="宋体" w:hAnsi="宋体" w:cs="宋体"/>
          <w:b/>
          <w:bCs/>
          <w:sz w:val="32"/>
          <w:szCs w:val="32"/>
        </w:rPr>
        <w:t>法定代表人身份证明</w:t>
      </w:r>
    </w:p>
    <w:p w14:paraId="21BB02D1">
      <w:pPr>
        <w:autoSpaceDE w:val="0"/>
        <w:autoSpaceDN w:val="0"/>
        <w:adjustRightInd w:val="0"/>
        <w:snapToGrid w:val="0"/>
        <w:spacing w:beforeLines="50" w:line="360" w:lineRule="auto"/>
        <w:jc w:val="left"/>
        <w:rPr>
          <w:rFonts w:hint="default" w:hAnsi="宋体" w:eastAsia="宋体" w:cs="宋体"/>
          <w:u w:val="single"/>
          <w:lang w:val="en-US" w:eastAsia="zh-CN"/>
        </w:rPr>
      </w:pPr>
      <w:r>
        <w:rPr>
          <w:rFonts w:hint="eastAsia" w:hAnsi="宋体" w:cs="宋体"/>
        </w:rPr>
        <w:t>供应商名称：</w:t>
      </w:r>
      <w:r>
        <w:rPr>
          <w:rFonts w:hint="eastAsia" w:hAnsi="宋体" w:cs="宋体"/>
          <w:u w:val="single"/>
          <w:lang w:val="en-US" w:eastAsia="zh-CN"/>
        </w:rPr>
        <w:t xml:space="preserve">                             </w:t>
      </w:r>
    </w:p>
    <w:p w14:paraId="1B4F3168">
      <w:pPr>
        <w:autoSpaceDE w:val="0"/>
        <w:autoSpaceDN w:val="0"/>
        <w:adjustRightInd w:val="0"/>
        <w:snapToGrid w:val="0"/>
        <w:spacing w:beforeLines="50" w:line="360" w:lineRule="auto"/>
        <w:jc w:val="left"/>
        <w:rPr>
          <w:rFonts w:hint="default" w:hAnsi="宋体" w:eastAsia="宋体" w:cs="宋体"/>
          <w:u w:val="single"/>
          <w:lang w:val="en-US" w:eastAsia="zh-CN"/>
        </w:rPr>
      </w:pPr>
      <w:r>
        <w:rPr>
          <w:rFonts w:hint="eastAsia" w:hAnsi="宋体" w:cs="宋体"/>
        </w:rPr>
        <w:t>统一社会信用代码：</w:t>
      </w:r>
      <w:r>
        <w:rPr>
          <w:rFonts w:hint="eastAsia" w:hAnsi="宋体" w:cs="宋体"/>
          <w:u w:val="single"/>
          <w:lang w:val="en-US" w:eastAsia="zh-CN"/>
        </w:rPr>
        <w:t xml:space="preserve">                        </w:t>
      </w:r>
    </w:p>
    <w:p w14:paraId="1AA03AD7">
      <w:pPr>
        <w:autoSpaceDE w:val="0"/>
        <w:autoSpaceDN w:val="0"/>
        <w:adjustRightInd w:val="0"/>
        <w:snapToGrid w:val="0"/>
        <w:spacing w:beforeLines="50" w:line="360" w:lineRule="auto"/>
        <w:jc w:val="left"/>
        <w:rPr>
          <w:rFonts w:hint="default" w:hAnsi="宋体" w:eastAsia="宋体" w:cs="宋体"/>
          <w:u w:val="single"/>
          <w:lang w:val="en-US" w:eastAsia="zh-CN"/>
        </w:rPr>
      </w:pPr>
      <w:r>
        <w:rPr>
          <w:rFonts w:hint="eastAsia" w:hAnsi="宋体" w:cs="宋体"/>
        </w:rPr>
        <w:t>注册地址：</w:t>
      </w:r>
      <w:r>
        <w:rPr>
          <w:rFonts w:hint="eastAsia" w:hAnsi="宋体" w:cs="宋体"/>
          <w:u w:val="single"/>
          <w:lang w:val="en-US" w:eastAsia="zh-CN"/>
        </w:rPr>
        <w:t xml:space="preserve">                     </w:t>
      </w:r>
    </w:p>
    <w:p w14:paraId="08701998">
      <w:pPr>
        <w:autoSpaceDE w:val="0"/>
        <w:autoSpaceDN w:val="0"/>
        <w:adjustRightInd w:val="0"/>
        <w:snapToGrid w:val="0"/>
        <w:spacing w:beforeLines="50" w:line="360" w:lineRule="auto"/>
        <w:jc w:val="left"/>
        <w:rPr>
          <w:rFonts w:hAnsi="宋体" w:cs="宋体"/>
        </w:rPr>
      </w:pPr>
      <w:r>
        <w:rPr>
          <w:rFonts w:hint="eastAsia" w:hAnsi="宋体" w:cs="宋体"/>
        </w:rPr>
        <w:t>成立时间：</w:t>
      </w:r>
      <w:r>
        <w:rPr>
          <w:rFonts w:hint="eastAsia" w:hAnsi="宋体" w:cs="宋体"/>
          <w:u w:val="single"/>
          <w:lang w:val="en-US" w:eastAsia="zh-CN"/>
        </w:rPr>
        <w:t xml:space="preserve">       </w:t>
      </w:r>
      <w:r>
        <w:rPr>
          <w:rFonts w:hint="eastAsia" w:hAnsi="宋体" w:cs="宋体"/>
        </w:rPr>
        <w:t>年</w:t>
      </w:r>
      <w:r>
        <w:rPr>
          <w:rFonts w:hint="eastAsia" w:hAnsi="宋体" w:cs="宋体"/>
          <w:u w:val="single"/>
          <w:lang w:val="en-US" w:eastAsia="zh-CN"/>
        </w:rPr>
        <w:t xml:space="preserve">     </w:t>
      </w:r>
      <w:r>
        <w:rPr>
          <w:rFonts w:hint="eastAsia" w:hAnsi="宋体" w:cs="宋体"/>
        </w:rPr>
        <w:t>月</w:t>
      </w:r>
      <w:r>
        <w:rPr>
          <w:rFonts w:hint="eastAsia" w:hAnsi="宋体" w:cs="宋体"/>
          <w:u w:val="single"/>
          <w:lang w:val="en-US" w:eastAsia="zh-CN"/>
        </w:rPr>
        <w:t xml:space="preserve">    </w:t>
      </w:r>
      <w:r>
        <w:rPr>
          <w:rFonts w:hint="eastAsia" w:hAnsi="宋体" w:cs="宋体"/>
        </w:rPr>
        <w:t>日</w:t>
      </w:r>
    </w:p>
    <w:p w14:paraId="0F3B3DEB">
      <w:pPr>
        <w:autoSpaceDE w:val="0"/>
        <w:autoSpaceDN w:val="0"/>
        <w:adjustRightInd w:val="0"/>
        <w:snapToGrid w:val="0"/>
        <w:spacing w:beforeLines="50" w:line="360" w:lineRule="auto"/>
        <w:jc w:val="left"/>
        <w:rPr>
          <w:rFonts w:hint="default" w:hAnsi="宋体" w:eastAsia="宋体" w:cs="宋体"/>
          <w:u w:val="single"/>
          <w:lang w:val="en-US" w:eastAsia="zh-CN"/>
        </w:rPr>
      </w:pPr>
      <w:r>
        <w:rPr>
          <w:rFonts w:hint="eastAsia" w:hAnsi="宋体" w:cs="宋体"/>
        </w:rPr>
        <w:t>经营期限：</w:t>
      </w:r>
      <w:r>
        <w:rPr>
          <w:rFonts w:hint="eastAsia" w:hAnsi="宋体" w:cs="宋体"/>
          <w:u w:val="single"/>
          <w:lang w:val="en-US" w:eastAsia="zh-CN"/>
        </w:rPr>
        <w:t xml:space="preserve">             </w:t>
      </w:r>
    </w:p>
    <w:p w14:paraId="28615946">
      <w:pPr>
        <w:autoSpaceDE w:val="0"/>
        <w:autoSpaceDN w:val="0"/>
        <w:adjustRightInd w:val="0"/>
        <w:snapToGrid w:val="0"/>
        <w:spacing w:beforeLines="50" w:line="360" w:lineRule="auto"/>
        <w:jc w:val="left"/>
        <w:rPr>
          <w:rFonts w:hAnsi="宋体" w:cs="宋体"/>
        </w:rPr>
      </w:pPr>
      <w:r>
        <w:rPr>
          <w:rFonts w:hint="eastAsia" w:hAnsi="宋体" w:cs="宋体"/>
        </w:rPr>
        <w:t>姓名：</w:t>
      </w:r>
      <w:r>
        <w:rPr>
          <w:rFonts w:hint="eastAsia" w:hAnsi="宋体" w:cs="宋体"/>
          <w:u w:val="single"/>
          <w:lang w:val="en-US" w:eastAsia="zh-CN"/>
        </w:rPr>
        <w:t xml:space="preserve">    </w:t>
      </w:r>
      <w:r>
        <w:rPr>
          <w:rFonts w:hint="eastAsia" w:hAnsi="宋体" w:cs="宋体"/>
        </w:rPr>
        <w:t xml:space="preserve"> 性别：</w:t>
      </w:r>
      <w:r>
        <w:rPr>
          <w:rFonts w:hint="eastAsia" w:hAnsi="宋体" w:cs="宋体"/>
          <w:u w:val="single"/>
          <w:lang w:val="en-US" w:eastAsia="zh-CN"/>
        </w:rPr>
        <w:t xml:space="preserve">    </w:t>
      </w:r>
      <w:r>
        <w:rPr>
          <w:rFonts w:hint="eastAsia" w:hAnsi="宋体" w:cs="宋体"/>
        </w:rPr>
        <w:t xml:space="preserve"> 年龄：</w:t>
      </w:r>
      <w:r>
        <w:rPr>
          <w:rFonts w:hint="eastAsia" w:hAnsi="宋体" w:cs="宋体"/>
          <w:u w:val="single"/>
          <w:lang w:val="en-US" w:eastAsia="zh-CN"/>
        </w:rPr>
        <w:t xml:space="preserve">    </w:t>
      </w:r>
      <w:r>
        <w:rPr>
          <w:rFonts w:hint="eastAsia" w:hAnsi="宋体" w:cs="宋体"/>
        </w:rPr>
        <w:t xml:space="preserve"> 系</w:t>
      </w:r>
      <w:r>
        <w:rPr>
          <w:rFonts w:hint="eastAsia" w:hAnsi="宋体" w:cs="宋体"/>
          <w:u w:val="single"/>
          <w:lang w:val="en-US" w:eastAsia="zh-CN"/>
        </w:rPr>
        <w:t xml:space="preserve">       </w:t>
      </w:r>
      <w:r>
        <w:rPr>
          <w:rFonts w:hint="eastAsia" w:hAnsi="宋体" w:cs="宋体"/>
        </w:rPr>
        <w:t>（供应商名称）的法定代表人。</w:t>
      </w:r>
    </w:p>
    <w:p w14:paraId="4B68513F">
      <w:pPr>
        <w:autoSpaceDE w:val="0"/>
        <w:autoSpaceDN w:val="0"/>
        <w:adjustRightInd w:val="0"/>
        <w:snapToGrid w:val="0"/>
        <w:spacing w:beforeLines="50" w:line="360" w:lineRule="auto"/>
        <w:jc w:val="left"/>
        <w:rPr>
          <w:rFonts w:hAnsi="宋体" w:cs="宋体"/>
        </w:rPr>
      </w:pPr>
      <w:r>
        <w:rPr>
          <w:rFonts w:hint="eastAsia" w:hAnsi="宋体" w:cs="宋体"/>
        </w:rPr>
        <w:t>特此证明。</w:t>
      </w:r>
    </w:p>
    <w:p w14:paraId="0A494497">
      <w:pPr>
        <w:autoSpaceDE w:val="0"/>
        <w:autoSpaceDN w:val="0"/>
        <w:adjustRightInd w:val="0"/>
        <w:snapToGrid w:val="0"/>
        <w:spacing w:beforeLines="50" w:line="360" w:lineRule="auto"/>
        <w:jc w:val="left"/>
        <w:rPr>
          <w:rFonts w:hAnsi="宋体" w:cs="宋体"/>
          <w:szCs w:val="21"/>
        </w:rPr>
      </w:pPr>
      <w:r>
        <w:rPr>
          <w:rFonts w:hint="eastAsia" w:hAnsi="宋体" w:cs="宋体"/>
          <w:szCs w:val="21"/>
        </w:rPr>
        <w:t>附：法定代表人身份证复印件</w:t>
      </w:r>
    </w:p>
    <w:tbl>
      <w:tblPr>
        <w:tblStyle w:val="22"/>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7E726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noWrap/>
            <w:vAlign w:val="center"/>
          </w:tcPr>
          <w:p w14:paraId="4B567B86">
            <w:pPr>
              <w:snapToGrid w:val="0"/>
              <w:spacing w:line="480" w:lineRule="auto"/>
              <w:jc w:val="center"/>
              <w:rPr>
                <w:rFonts w:hAnsi="宋体" w:cs="宋体"/>
                <w:szCs w:val="21"/>
              </w:rPr>
            </w:pPr>
          </w:p>
          <w:p w14:paraId="54437B90">
            <w:pPr>
              <w:snapToGrid w:val="0"/>
              <w:spacing w:line="480" w:lineRule="auto"/>
              <w:jc w:val="center"/>
              <w:rPr>
                <w:rFonts w:hAnsi="宋体" w:cs="宋体"/>
                <w:szCs w:val="21"/>
              </w:rPr>
            </w:pPr>
          </w:p>
          <w:p w14:paraId="2C1E6E97">
            <w:pPr>
              <w:autoSpaceDE w:val="0"/>
              <w:autoSpaceDN w:val="0"/>
              <w:adjustRightInd w:val="0"/>
              <w:snapToGrid w:val="0"/>
              <w:spacing w:beforeLines="50" w:line="360" w:lineRule="auto"/>
              <w:jc w:val="center"/>
              <w:rPr>
                <w:rFonts w:hAnsi="宋体" w:cs="宋体"/>
                <w:szCs w:val="21"/>
              </w:rPr>
            </w:pPr>
            <w:r>
              <w:rPr>
                <w:rFonts w:hint="eastAsia" w:hAnsi="宋体" w:cs="宋体"/>
                <w:szCs w:val="21"/>
              </w:rPr>
              <w:t>法定代表人身份证复印件粘贴处</w:t>
            </w:r>
          </w:p>
          <w:p w14:paraId="49F849D6">
            <w:pPr>
              <w:pStyle w:val="9"/>
              <w:jc w:val="center"/>
              <w:rPr>
                <w:rFonts w:ascii="宋体" w:hAnsi="宋体" w:cs="宋体"/>
              </w:rPr>
            </w:pPr>
            <w:r>
              <w:rPr>
                <w:rFonts w:hint="eastAsia" w:ascii="宋体" w:hAnsi="宋体" w:cs="宋体"/>
                <w:szCs w:val="21"/>
              </w:rPr>
              <w:t>（正反面）</w:t>
            </w:r>
          </w:p>
          <w:p w14:paraId="4EF82071">
            <w:pPr>
              <w:snapToGrid w:val="0"/>
              <w:spacing w:line="480" w:lineRule="auto"/>
              <w:jc w:val="center"/>
              <w:rPr>
                <w:rFonts w:hAnsi="宋体" w:cs="宋体"/>
                <w:szCs w:val="21"/>
              </w:rPr>
            </w:pPr>
          </w:p>
          <w:p w14:paraId="368F8AC0">
            <w:pPr>
              <w:snapToGrid w:val="0"/>
              <w:spacing w:line="480" w:lineRule="auto"/>
              <w:jc w:val="center"/>
              <w:rPr>
                <w:rFonts w:hAnsi="宋体" w:cs="宋体"/>
                <w:szCs w:val="21"/>
              </w:rPr>
            </w:pPr>
          </w:p>
        </w:tc>
      </w:tr>
    </w:tbl>
    <w:p w14:paraId="40F8BF47">
      <w:pPr>
        <w:snapToGrid w:val="0"/>
        <w:spacing w:line="480" w:lineRule="auto"/>
        <w:rPr>
          <w:rFonts w:hAnsi="宋体" w:cs="宋体"/>
          <w:szCs w:val="21"/>
        </w:rPr>
      </w:pPr>
    </w:p>
    <w:p w14:paraId="35B8A5D4">
      <w:pPr>
        <w:snapToGrid w:val="0"/>
        <w:rPr>
          <w:rFonts w:hAnsi="宋体" w:cs="宋体"/>
          <w:szCs w:val="21"/>
        </w:rPr>
      </w:pPr>
    </w:p>
    <w:p w14:paraId="670F1B52">
      <w:pPr>
        <w:snapToGrid w:val="0"/>
        <w:rPr>
          <w:rFonts w:hAnsi="宋体" w:cs="宋体"/>
          <w:szCs w:val="21"/>
        </w:rPr>
      </w:pPr>
    </w:p>
    <w:p w14:paraId="711D8911">
      <w:pPr>
        <w:snapToGrid w:val="0"/>
        <w:rPr>
          <w:rFonts w:hAnsi="宋体" w:cs="宋体"/>
          <w:szCs w:val="21"/>
        </w:rPr>
      </w:pPr>
    </w:p>
    <w:p w14:paraId="481FDF61">
      <w:pPr>
        <w:snapToGrid w:val="0"/>
        <w:rPr>
          <w:rFonts w:hAnsi="宋体" w:cs="宋体"/>
          <w:szCs w:val="21"/>
        </w:rPr>
      </w:pPr>
    </w:p>
    <w:p w14:paraId="0E3B3D38">
      <w:pPr>
        <w:adjustRightInd w:val="0"/>
        <w:snapToGrid w:val="0"/>
        <w:spacing w:line="360" w:lineRule="auto"/>
        <w:rPr>
          <w:rFonts w:hAnsi="宋体" w:cs="宋体"/>
        </w:rPr>
      </w:pPr>
    </w:p>
    <w:p w14:paraId="71B959F6">
      <w:pPr>
        <w:adjustRightInd w:val="0"/>
        <w:snapToGrid w:val="0"/>
        <w:spacing w:line="360" w:lineRule="auto"/>
        <w:ind w:right="420"/>
        <w:rPr>
          <w:rFonts w:hAnsi="宋体" w:cs="宋体"/>
        </w:rPr>
      </w:pPr>
    </w:p>
    <w:p w14:paraId="4EC7E010">
      <w:pPr>
        <w:adjustRightInd w:val="0"/>
        <w:snapToGrid w:val="0"/>
        <w:spacing w:line="360" w:lineRule="auto"/>
        <w:ind w:right="420"/>
        <w:rPr>
          <w:rFonts w:hAnsi="宋体" w:cs="宋体"/>
        </w:rPr>
      </w:pPr>
    </w:p>
    <w:p w14:paraId="1A7DE92B">
      <w:pPr>
        <w:adjustRightInd w:val="0"/>
        <w:snapToGrid w:val="0"/>
        <w:spacing w:line="360" w:lineRule="auto"/>
        <w:ind w:right="420"/>
        <w:rPr>
          <w:rFonts w:hAnsi="宋体" w:cs="宋体"/>
        </w:rPr>
      </w:pPr>
    </w:p>
    <w:p w14:paraId="3264A1D7">
      <w:pPr>
        <w:adjustRightInd w:val="0"/>
        <w:snapToGrid w:val="0"/>
        <w:spacing w:line="360" w:lineRule="auto"/>
        <w:ind w:right="420"/>
        <w:rPr>
          <w:rFonts w:hAnsi="宋体" w:cs="宋体"/>
        </w:rPr>
      </w:pPr>
    </w:p>
    <w:p w14:paraId="2EE6EE89">
      <w:pPr>
        <w:adjustRightInd w:val="0"/>
        <w:snapToGrid w:val="0"/>
        <w:spacing w:line="360" w:lineRule="auto"/>
        <w:ind w:right="420"/>
        <w:rPr>
          <w:rFonts w:hAnsi="宋体" w:cs="宋体"/>
        </w:rPr>
      </w:pPr>
      <w:r>
        <w:rPr>
          <w:rFonts w:hint="eastAsia" w:hAnsi="宋体" w:cs="宋体"/>
        </w:rPr>
        <w:t>供应商名称：</w:t>
      </w:r>
      <w:r>
        <w:rPr>
          <w:rFonts w:hint="eastAsia" w:hAnsi="宋体" w:cs="宋体"/>
          <w:u w:val="single"/>
        </w:rPr>
        <w:t xml:space="preserve">      （加盖单位公章）       </w:t>
      </w:r>
    </w:p>
    <w:p w14:paraId="05485543">
      <w:pPr>
        <w:adjustRightInd w:val="0"/>
        <w:snapToGrid w:val="0"/>
        <w:spacing w:line="360" w:lineRule="auto"/>
        <w:ind w:right="420"/>
        <w:rPr>
          <w:rFonts w:hAnsi="宋体" w:cs="宋体"/>
        </w:rPr>
      </w:pPr>
      <w:r>
        <w:rPr>
          <w:rFonts w:hint="eastAsia" w:hAnsi="宋体" w:cs="宋体"/>
        </w:rPr>
        <w:t xml:space="preserve">日期：  </w:t>
      </w:r>
      <w:r>
        <w:rPr>
          <w:rFonts w:hint="eastAsia" w:hAnsi="宋体" w:cs="宋体"/>
          <w:lang w:val="en-US" w:eastAsia="zh-CN"/>
        </w:rPr>
        <w:t xml:space="preserve"> </w:t>
      </w:r>
      <w:r>
        <w:rPr>
          <w:rFonts w:hint="eastAsia" w:hAnsi="宋体" w:cs="宋体"/>
        </w:rPr>
        <w:t xml:space="preserve">  年 </w:t>
      </w:r>
      <w:r>
        <w:rPr>
          <w:rFonts w:hint="eastAsia" w:hAnsi="宋体" w:cs="宋体"/>
          <w:lang w:val="en-US" w:eastAsia="zh-CN"/>
        </w:rPr>
        <w:t xml:space="preserve">  </w:t>
      </w:r>
      <w:r>
        <w:rPr>
          <w:rFonts w:hint="eastAsia" w:hAnsi="宋体" w:cs="宋体"/>
        </w:rPr>
        <w:t xml:space="preserve"> 月 </w:t>
      </w:r>
      <w:r>
        <w:rPr>
          <w:rFonts w:hint="eastAsia" w:hAnsi="宋体" w:cs="宋体"/>
          <w:lang w:val="en-US" w:eastAsia="zh-CN"/>
        </w:rPr>
        <w:t xml:space="preserve">  </w:t>
      </w:r>
      <w:r>
        <w:rPr>
          <w:rFonts w:hint="eastAsia" w:hAnsi="宋体" w:cs="宋体"/>
        </w:rPr>
        <w:t xml:space="preserve"> 日</w:t>
      </w:r>
    </w:p>
    <w:p w14:paraId="0841449C">
      <w:pPr>
        <w:pStyle w:val="9"/>
        <w:rPr>
          <w:rFonts w:ascii="宋体" w:hAnsi="宋体" w:cs="宋体"/>
        </w:rPr>
      </w:pPr>
    </w:p>
    <w:p w14:paraId="2FF5749C">
      <w:pPr>
        <w:spacing w:line="360" w:lineRule="auto"/>
        <w:jc w:val="left"/>
        <w:rPr>
          <w:rFonts w:hAnsi="宋体" w:cs="宋体"/>
          <w:b/>
          <w:bCs/>
          <w:spacing w:val="4"/>
          <w:szCs w:val="24"/>
        </w:rPr>
      </w:pPr>
    </w:p>
    <w:p w14:paraId="5DC21BAA">
      <w:pPr>
        <w:keepNext/>
        <w:spacing w:beforeLines="100"/>
        <w:jc w:val="center"/>
        <w:rPr>
          <w:rFonts w:hAnsi="宋体" w:cs="宋体"/>
          <w:b/>
          <w:bCs/>
          <w:sz w:val="32"/>
          <w:szCs w:val="32"/>
        </w:rPr>
      </w:pPr>
      <w:r>
        <w:rPr>
          <w:rFonts w:hint="eastAsia" w:hAnsi="宋体" w:cs="宋体"/>
          <w:b/>
          <w:bCs/>
          <w:sz w:val="32"/>
          <w:szCs w:val="32"/>
        </w:rPr>
        <w:t>法定代表人授权书</w:t>
      </w:r>
    </w:p>
    <w:p w14:paraId="5868B8C5">
      <w:pPr>
        <w:spacing w:line="500" w:lineRule="exact"/>
        <w:jc w:val="left"/>
        <w:rPr>
          <w:rFonts w:hAnsi="宋体" w:cs="宋体"/>
          <w:spacing w:val="4"/>
          <w:szCs w:val="24"/>
        </w:rPr>
      </w:pPr>
      <w:r>
        <w:rPr>
          <w:rFonts w:hint="eastAsia" w:hAnsi="宋体" w:cs="宋体"/>
          <w:spacing w:val="4"/>
          <w:szCs w:val="24"/>
        </w:rPr>
        <w:t>致：</w:t>
      </w:r>
      <w:r>
        <w:rPr>
          <w:rFonts w:hint="eastAsia" w:hAnsi="宋体" w:cs="宋体"/>
          <w:spacing w:val="4"/>
          <w:szCs w:val="24"/>
          <w:u w:val="single"/>
        </w:rPr>
        <w:t>陕西至诚项目管理集团有限公司</w:t>
      </w:r>
    </w:p>
    <w:p w14:paraId="1ECCF7AC">
      <w:pPr>
        <w:spacing w:line="500" w:lineRule="exact"/>
        <w:ind w:firstLine="496" w:firstLineChars="200"/>
        <w:jc w:val="left"/>
        <w:rPr>
          <w:rFonts w:hAnsi="宋体" w:cs="宋体"/>
          <w:spacing w:val="4"/>
          <w:szCs w:val="24"/>
        </w:rPr>
      </w:pPr>
      <w:r>
        <w:rPr>
          <w:rFonts w:hint="eastAsia" w:hAnsi="宋体" w:cs="宋体"/>
          <w:spacing w:val="4"/>
          <w:szCs w:val="24"/>
          <w:u w:val="single"/>
        </w:rPr>
        <w:t>(供应商名称)</w:t>
      </w:r>
      <w:r>
        <w:rPr>
          <w:rFonts w:hint="eastAsia" w:hAnsi="宋体" w:cs="宋体"/>
          <w:spacing w:val="4"/>
          <w:szCs w:val="24"/>
        </w:rPr>
        <w:t>按中华人民共和国法律于</w:t>
      </w:r>
      <w:r>
        <w:rPr>
          <w:rFonts w:hint="eastAsia" w:hAnsi="宋体" w:cs="宋体"/>
          <w:spacing w:val="4"/>
          <w:szCs w:val="24"/>
          <w:u w:val="single"/>
        </w:rPr>
        <w:t>（  年  月  日 ）</w:t>
      </w:r>
      <w:r>
        <w:rPr>
          <w:rFonts w:hint="eastAsia" w:hAnsi="宋体" w:cs="宋体"/>
          <w:spacing w:val="4"/>
          <w:szCs w:val="24"/>
        </w:rPr>
        <w:t>成立。</w:t>
      </w:r>
      <w:r>
        <w:rPr>
          <w:rFonts w:hint="eastAsia" w:hAnsi="宋体" w:cs="宋体"/>
          <w:spacing w:val="4"/>
          <w:szCs w:val="24"/>
          <w:u w:val="single"/>
        </w:rPr>
        <w:t>(法定代表人姓名)</w:t>
      </w:r>
      <w:r>
        <w:rPr>
          <w:rFonts w:hint="eastAsia" w:hAnsi="宋体" w:cs="宋体"/>
          <w:spacing w:val="4"/>
          <w:szCs w:val="24"/>
        </w:rPr>
        <w:t>特授权</w:t>
      </w:r>
      <w:r>
        <w:rPr>
          <w:rFonts w:hint="eastAsia" w:hAnsi="宋体" w:cs="宋体"/>
          <w:spacing w:val="4"/>
          <w:szCs w:val="24"/>
          <w:u w:val="single"/>
        </w:rPr>
        <w:t xml:space="preserve">（ </w:t>
      </w:r>
      <w:r>
        <w:rPr>
          <w:rFonts w:hint="eastAsia" w:hAnsi="宋体" w:cs="宋体"/>
          <w:szCs w:val="24"/>
          <w:u w:val="single"/>
        </w:rPr>
        <w:t>授权代表</w:t>
      </w:r>
      <w:r>
        <w:rPr>
          <w:rFonts w:hint="eastAsia" w:hAnsi="宋体" w:cs="宋体"/>
          <w:spacing w:val="4"/>
          <w:szCs w:val="24"/>
          <w:u w:val="single"/>
        </w:rPr>
        <w:t>姓名 ）</w:t>
      </w:r>
      <w:r>
        <w:rPr>
          <w:rFonts w:hint="eastAsia" w:hAnsi="宋体" w:cs="宋体"/>
          <w:spacing w:val="4"/>
          <w:szCs w:val="24"/>
        </w:rPr>
        <w:t xml:space="preserve">代表我公司全权办理针对本次 </w:t>
      </w:r>
      <w:r>
        <w:rPr>
          <w:rFonts w:hint="eastAsia" w:asciiTheme="minorEastAsia" w:hAnsiTheme="minorEastAsia" w:eastAsiaTheme="minorEastAsia" w:cstheme="minorEastAsia"/>
          <w:spacing w:val="4"/>
          <w:szCs w:val="24"/>
          <w:highlight w:val="none"/>
          <w:u w:val="single"/>
        </w:rPr>
        <w:t xml:space="preserve">（项目名称、项目编号） </w:t>
      </w:r>
      <w:r>
        <w:rPr>
          <w:rFonts w:hint="eastAsia" w:hAnsi="宋体" w:cs="宋体"/>
          <w:spacing w:val="4"/>
          <w:szCs w:val="24"/>
        </w:rPr>
        <w:t>项目的磋商、签约等具体工作，并签署全部有关的文件、协议及合同。</w:t>
      </w:r>
    </w:p>
    <w:p w14:paraId="07F72C6A">
      <w:pPr>
        <w:spacing w:line="500" w:lineRule="exact"/>
        <w:ind w:firstLine="496" w:firstLineChars="200"/>
        <w:jc w:val="left"/>
        <w:rPr>
          <w:rFonts w:hAnsi="宋体" w:cs="宋体"/>
          <w:spacing w:val="4"/>
          <w:szCs w:val="24"/>
        </w:rPr>
      </w:pPr>
      <w:r>
        <w:rPr>
          <w:rFonts w:hint="eastAsia" w:hAnsi="宋体" w:cs="宋体"/>
          <w:spacing w:val="4"/>
          <w:szCs w:val="24"/>
        </w:rPr>
        <w:t>我公司对</w:t>
      </w:r>
      <w:r>
        <w:rPr>
          <w:rFonts w:hint="eastAsia" w:hAnsi="宋体" w:cs="宋体"/>
          <w:szCs w:val="24"/>
        </w:rPr>
        <w:t>授权代表</w:t>
      </w:r>
      <w:r>
        <w:rPr>
          <w:rFonts w:hint="eastAsia" w:hAnsi="宋体" w:cs="宋体"/>
          <w:spacing w:val="4"/>
          <w:szCs w:val="24"/>
        </w:rPr>
        <w:t>的签名负全部责任。</w:t>
      </w:r>
    </w:p>
    <w:p w14:paraId="05876C8A">
      <w:pPr>
        <w:spacing w:line="500" w:lineRule="exact"/>
        <w:ind w:right="617" w:rightChars="257" w:firstLine="480" w:firstLineChars="200"/>
        <w:jc w:val="left"/>
        <w:rPr>
          <w:rFonts w:hAnsi="宋体" w:cs="宋体"/>
          <w:szCs w:val="24"/>
        </w:rPr>
      </w:pPr>
      <w:r>
        <w:rPr>
          <w:rFonts w:hint="eastAsia" w:hAnsi="宋体" w:cs="宋体"/>
          <w:szCs w:val="24"/>
        </w:rPr>
        <w:t>委托期限：</w:t>
      </w:r>
      <w:r>
        <w:rPr>
          <w:rFonts w:hint="eastAsia" w:hAnsi="宋体" w:cs="宋体"/>
          <w:szCs w:val="24"/>
          <w:lang w:val="zh-CN"/>
        </w:rPr>
        <w:t>自磋商之日起</w:t>
      </w:r>
      <w:r>
        <w:rPr>
          <w:rFonts w:hint="eastAsia" w:hAnsi="宋体" w:cs="宋体"/>
          <w:szCs w:val="24"/>
          <w:u w:val="single"/>
        </w:rPr>
        <w:t>90</w:t>
      </w:r>
      <w:r>
        <w:rPr>
          <w:rFonts w:hint="eastAsia" w:hAnsi="宋体" w:cs="宋体"/>
          <w:szCs w:val="24"/>
          <w:lang w:val="zh-CN"/>
        </w:rPr>
        <w:t>天。</w:t>
      </w:r>
    </w:p>
    <w:p w14:paraId="05F375BC">
      <w:pPr>
        <w:spacing w:line="500" w:lineRule="exact"/>
        <w:ind w:firstLine="496" w:firstLineChars="200"/>
        <w:jc w:val="left"/>
        <w:rPr>
          <w:rFonts w:hAnsi="宋体" w:cs="宋体"/>
          <w:spacing w:val="4"/>
          <w:szCs w:val="24"/>
        </w:rPr>
      </w:pPr>
      <w:r>
        <w:rPr>
          <w:rFonts w:hint="eastAsia" w:hAnsi="宋体" w:cs="宋体"/>
          <w:spacing w:val="4"/>
          <w:szCs w:val="24"/>
        </w:rPr>
        <w:t>本授权书于</w:t>
      </w:r>
      <w:r>
        <w:rPr>
          <w:rFonts w:hint="eastAsia" w:hAnsi="宋体" w:cs="宋体"/>
          <w:spacing w:val="4"/>
          <w:szCs w:val="24"/>
          <w:u w:val="single"/>
        </w:rPr>
        <w:t xml:space="preserve">      年   月   日</w:t>
      </w:r>
      <w:r>
        <w:rPr>
          <w:rFonts w:hint="eastAsia" w:hAnsi="宋体" w:cs="宋体"/>
          <w:spacing w:val="4"/>
          <w:szCs w:val="24"/>
        </w:rPr>
        <w:t>签字生效，特此证明。</w:t>
      </w:r>
    </w:p>
    <w:p w14:paraId="227B6402">
      <w:pPr>
        <w:spacing w:line="360" w:lineRule="auto"/>
        <w:ind w:firstLine="496" w:firstLineChars="200"/>
        <w:jc w:val="left"/>
        <w:rPr>
          <w:rFonts w:hAnsi="宋体" w:cs="宋体"/>
          <w:spacing w:val="4"/>
          <w:szCs w:val="24"/>
        </w:rPr>
      </w:pPr>
    </w:p>
    <w:tbl>
      <w:tblPr>
        <w:tblStyle w:val="22"/>
        <w:tblW w:w="0" w:type="auto"/>
        <w:tblInd w:w="633" w:type="dxa"/>
        <w:tblLayout w:type="fixed"/>
        <w:tblCellMar>
          <w:top w:w="0" w:type="dxa"/>
          <w:left w:w="108" w:type="dxa"/>
          <w:bottom w:w="0" w:type="dxa"/>
          <w:right w:w="108" w:type="dxa"/>
        </w:tblCellMar>
      </w:tblPr>
      <w:tblGrid>
        <w:gridCol w:w="4200"/>
        <w:gridCol w:w="3990"/>
      </w:tblGrid>
      <w:tr w14:paraId="2DBD42B7">
        <w:tblPrEx>
          <w:tblCellMar>
            <w:top w:w="0" w:type="dxa"/>
            <w:left w:w="108" w:type="dxa"/>
            <w:bottom w:w="0" w:type="dxa"/>
            <w:right w:w="108" w:type="dxa"/>
          </w:tblCellMar>
        </w:tblPrEx>
        <w:trPr>
          <w:trHeight w:val="600" w:hRule="atLeast"/>
        </w:trPr>
        <w:tc>
          <w:tcPr>
            <w:tcW w:w="4200" w:type="dxa"/>
            <w:noWrap/>
          </w:tcPr>
          <w:p w14:paraId="3AFBC409">
            <w:pPr>
              <w:spacing w:line="360" w:lineRule="auto"/>
              <w:jc w:val="left"/>
              <w:rPr>
                <w:rFonts w:hAnsi="宋体" w:cs="宋体"/>
                <w:spacing w:val="4"/>
                <w:szCs w:val="24"/>
              </w:rPr>
            </w:pPr>
            <w:r>
              <w:rPr>
                <w:rFonts w:hint="eastAsia" w:hAnsi="宋体" w:cs="宋体"/>
                <w:spacing w:val="4"/>
                <w:szCs w:val="24"/>
              </w:rPr>
              <w:t>被授权人签字或盖章：</w:t>
            </w:r>
          </w:p>
        </w:tc>
        <w:tc>
          <w:tcPr>
            <w:tcW w:w="3990" w:type="dxa"/>
            <w:noWrap/>
          </w:tcPr>
          <w:p w14:paraId="7C507C24">
            <w:pPr>
              <w:spacing w:line="360" w:lineRule="auto"/>
              <w:jc w:val="left"/>
              <w:rPr>
                <w:rFonts w:hAnsi="宋体" w:cs="宋体"/>
                <w:spacing w:val="4"/>
                <w:szCs w:val="24"/>
              </w:rPr>
            </w:pPr>
            <w:r>
              <w:rPr>
                <w:rFonts w:hint="eastAsia" w:hAnsi="宋体" w:cs="宋体"/>
                <w:spacing w:val="4"/>
                <w:szCs w:val="24"/>
              </w:rPr>
              <w:t>法定代表人签字或盖章：</w:t>
            </w:r>
          </w:p>
        </w:tc>
      </w:tr>
      <w:tr w14:paraId="3F57884B">
        <w:tblPrEx>
          <w:tblCellMar>
            <w:top w:w="0" w:type="dxa"/>
            <w:left w:w="108" w:type="dxa"/>
            <w:bottom w:w="0" w:type="dxa"/>
            <w:right w:w="108" w:type="dxa"/>
          </w:tblCellMar>
        </w:tblPrEx>
        <w:trPr>
          <w:trHeight w:val="600" w:hRule="atLeast"/>
        </w:trPr>
        <w:tc>
          <w:tcPr>
            <w:tcW w:w="4200" w:type="dxa"/>
            <w:noWrap/>
          </w:tcPr>
          <w:p w14:paraId="09527564">
            <w:pPr>
              <w:spacing w:line="360" w:lineRule="auto"/>
              <w:jc w:val="left"/>
              <w:rPr>
                <w:rFonts w:hAnsi="宋体" w:cs="宋体"/>
                <w:spacing w:val="4"/>
                <w:szCs w:val="24"/>
              </w:rPr>
            </w:pPr>
            <w:r>
              <w:rPr>
                <w:rFonts w:hint="eastAsia" w:hAnsi="宋体" w:cs="宋体"/>
                <w:spacing w:val="4"/>
                <w:szCs w:val="24"/>
              </w:rPr>
              <w:t>职务：</w:t>
            </w:r>
          </w:p>
        </w:tc>
        <w:tc>
          <w:tcPr>
            <w:tcW w:w="3990" w:type="dxa"/>
            <w:noWrap/>
          </w:tcPr>
          <w:p w14:paraId="4C025114">
            <w:pPr>
              <w:spacing w:line="360" w:lineRule="auto"/>
              <w:jc w:val="left"/>
              <w:rPr>
                <w:rFonts w:hAnsi="宋体" w:cs="宋体"/>
                <w:spacing w:val="4"/>
                <w:szCs w:val="24"/>
              </w:rPr>
            </w:pPr>
            <w:r>
              <w:rPr>
                <w:rFonts w:hint="eastAsia" w:hAnsi="宋体" w:cs="宋体"/>
                <w:spacing w:val="4"/>
                <w:szCs w:val="24"/>
              </w:rPr>
              <w:t>职务：</w:t>
            </w:r>
          </w:p>
        </w:tc>
      </w:tr>
      <w:tr w14:paraId="7F602C08">
        <w:tblPrEx>
          <w:tblCellMar>
            <w:top w:w="0" w:type="dxa"/>
            <w:left w:w="108" w:type="dxa"/>
            <w:bottom w:w="0" w:type="dxa"/>
            <w:right w:w="108" w:type="dxa"/>
          </w:tblCellMar>
        </w:tblPrEx>
        <w:trPr>
          <w:trHeight w:val="600" w:hRule="atLeast"/>
        </w:trPr>
        <w:tc>
          <w:tcPr>
            <w:tcW w:w="4200" w:type="dxa"/>
            <w:noWrap/>
          </w:tcPr>
          <w:p w14:paraId="63059D10">
            <w:pPr>
              <w:spacing w:line="360" w:lineRule="auto"/>
              <w:jc w:val="left"/>
              <w:rPr>
                <w:rFonts w:hAnsi="宋体" w:cs="宋体"/>
                <w:spacing w:val="4"/>
                <w:szCs w:val="24"/>
              </w:rPr>
            </w:pPr>
            <w:r>
              <w:rPr>
                <w:rFonts w:hint="eastAsia" w:hAnsi="宋体" w:cs="宋体"/>
                <w:spacing w:val="4"/>
                <w:szCs w:val="24"/>
              </w:rPr>
              <w:t>身份证号：</w:t>
            </w:r>
          </w:p>
        </w:tc>
        <w:tc>
          <w:tcPr>
            <w:tcW w:w="3990" w:type="dxa"/>
            <w:noWrap/>
          </w:tcPr>
          <w:p w14:paraId="3DC0B433">
            <w:pPr>
              <w:spacing w:line="360" w:lineRule="auto"/>
              <w:jc w:val="left"/>
              <w:rPr>
                <w:rFonts w:hAnsi="宋体" w:cs="宋体"/>
                <w:spacing w:val="4"/>
                <w:szCs w:val="24"/>
              </w:rPr>
            </w:pPr>
            <w:r>
              <w:rPr>
                <w:rFonts w:hint="eastAsia" w:hAnsi="宋体" w:cs="宋体"/>
                <w:spacing w:val="4"/>
                <w:szCs w:val="24"/>
              </w:rPr>
              <w:t>身份证号：</w:t>
            </w:r>
          </w:p>
        </w:tc>
      </w:tr>
      <w:tr w14:paraId="7771EDF6">
        <w:tblPrEx>
          <w:tblCellMar>
            <w:top w:w="0" w:type="dxa"/>
            <w:left w:w="108" w:type="dxa"/>
            <w:bottom w:w="0" w:type="dxa"/>
            <w:right w:w="108" w:type="dxa"/>
          </w:tblCellMar>
        </w:tblPrEx>
        <w:trPr>
          <w:trHeight w:val="600" w:hRule="atLeast"/>
        </w:trPr>
        <w:tc>
          <w:tcPr>
            <w:tcW w:w="4200" w:type="dxa"/>
            <w:noWrap/>
          </w:tcPr>
          <w:p w14:paraId="5402396A">
            <w:pPr>
              <w:spacing w:line="360" w:lineRule="auto"/>
              <w:jc w:val="left"/>
              <w:rPr>
                <w:rFonts w:hAnsi="宋体" w:cs="宋体"/>
                <w:spacing w:val="4"/>
                <w:szCs w:val="24"/>
              </w:rPr>
            </w:pPr>
            <w:r>
              <w:rPr>
                <w:rFonts w:hint="eastAsia" w:hAnsi="宋体" w:cs="宋体"/>
                <w:spacing w:val="4"/>
                <w:szCs w:val="24"/>
              </w:rPr>
              <w:t>所在部门：</w:t>
            </w:r>
          </w:p>
        </w:tc>
        <w:tc>
          <w:tcPr>
            <w:tcW w:w="3990" w:type="dxa"/>
            <w:noWrap/>
          </w:tcPr>
          <w:p w14:paraId="3753A971">
            <w:pPr>
              <w:spacing w:line="360" w:lineRule="auto"/>
              <w:jc w:val="left"/>
              <w:rPr>
                <w:rFonts w:hAnsi="宋体" w:cs="宋体"/>
                <w:spacing w:val="4"/>
                <w:szCs w:val="24"/>
              </w:rPr>
            </w:pPr>
          </w:p>
        </w:tc>
      </w:tr>
    </w:tbl>
    <w:p w14:paraId="0967B7C0">
      <w:pPr>
        <w:spacing w:line="360" w:lineRule="auto"/>
        <w:ind w:firstLine="505" w:firstLineChars="204"/>
        <w:rPr>
          <w:rFonts w:hAnsi="宋体" w:cs="宋体"/>
          <w:spacing w:val="4"/>
          <w:szCs w:val="24"/>
        </w:rPr>
      </w:pPr>
      <w:r>
        <w:rPr>
          <w:rFonts w:hint="eastAsia" w:hAnsi="宋体" w:cs="宋体"/>
          <w:spacing w:val="4"/>
          <w:szCs w:val="24"/>
        </w:rPr>
        <w:t>附：法定代表人、被授权人身份证复印件</w:t>
      </w:r>
    </w:p>
    <w:p w14:paraId="4D9B14D8">
      <w:pPr>
        <w:spacing w:line="360" w:lineRule="auto"/>
        <w:rPr>
          <w:rFonts w:hAnsi="宋体" w:cs="宋体"/>
          <w:spacing w:val="4"/>
          <w:szCs w:val="24"/>
        </w:rPr>
      </w:pPr>
    </w:p>
    <w:tbl>
      <w:tblPr>
        <w:tblStyle w:val="22"/>
        <w:tblW w:w="0" w:type="auto"/>
        <w:tblInd w:w="540" w:type="dxa"/>
        <w:tblLayout w:type="fixed"/>
        <w:tblCellMar>
          <w:top w:w="0" w:type="dxa"/>
          <w:left w:w="108" w:type="dxa"/>
          <w:bottom w:w="0" w:type="dxa"/>
          <w:right w:w="108" w:type="dxa"/>
        </w:tblCellMar>
      </w:tblPr>
      <w:tblGrid>
        <w:gridCol w:w="4246"/>
        <w:gridCol w:w="4111"/>
      </w:tblGrid>
      <w:tr w14:paraId="59DA1968">
        <w:tblPrEx>
          <w:tblCellMar>
            <w:top w:w="0" w:type="dxa"/>
            <w:left w:w="108" w:type="dxa"/>
            <w:bottom w:w="0" w:type="dxa"/>
            <w:right w:w="108" w:type="dxa"/>
          </w:tblCellMar>
        </w:tblPrEx>
        <w:trPr>
          <w:trHeight w:val="2818" w:hRule="atLeast"/>
        </w:trPr>
        <w:tc>
          <w:tcPr>
            <w:tcW w:w="4246" w:type="dxa"/>
            <w:tcBorders>
              <w:top w:val="single" w:color="auto" w:sz="6" w:space="0"/>
              <w:left w:val="single" w:color="auto" w:sz="6" w:space="0"/>
              <w:bottom w:val="single" w:color="auto" w:sz="6" w:space="0"/>
              <w:right w:val="single" w:color="auto" w:sz="6" w:space="0"/>
            </w:tcBorders>
            <w:noWrap/>
            <w:vAlign w:val="center"/>
          </w:tcPr>
          <w:p w14:paraId="28F67E0B">
            <w:pPr>
              <w:spacing w:line="360" w:lineRule="auto"/>
              <w:jc w:val="center"/>
              <w:rPr>
                <w:rFonts w:hAnsi="宋体" w:cs="宋体"/>
                <w:szCs w:val="21"/>
                <w:lang w:val="zh-CN"/>
              </w:rPr>
            </w:pPr>
            <w:r>
              <w:rPr>
                <w:rFonts w:hint="eastAsia" w:hAnsi="宋体" w:cs="宋体"/>
                <w:szCs w:val="21"/>
                <w:lang w:val="zh-CN"/>
              </w:rPr>
              <w:t>法定代表人身份证复印件粘贴处</w:t>
            </w:r>
          </w:p>
          <w:p w14:paraId="63B829BB">
            <w:pPr>
              <w:spacing w:line="360" w:lineRule="auto"/>
              <w:jc w:val="center"/>
              <w:rPr>
                <w:rFonts w:hAnsi="宋体" w:cs="宋体"/>
                <w:szCs w:val="21"/>
                <w:u w:val="single"/>
              </w:rPr>
            </w:pPr>
            <w:r>
              <w:rPr>
                <w:rFonts w:hint="eastAsia" w:hAnsi="宋体" w:cs="宋体"/>
                <w:szCs w:val="21"/>
                <w:lang w:val="zh-CN"/>
              </w:rPr>
              <w:t>（正反面）</w:t>
            </w:r>
          </w:p>
        </w:tc>
        <w:tc>
          <w:tcPr>
            <w:tcW w:w="4111" w:type="dxa"/>
            <w:tcBorders>
              <w:top w:val="single" w:color="auto" w:sz="6" w:space="0"/>
              <w:left w:val="single" w:color="auto" w:sz="6" w:space="0"/>
              <w:bottom w:val="single" w:color="auto" w:sz="6" w:space="0"/>
              <w:right w:val="single" w:color="auto" w:sz="6" w:space="0"/>
            </w:tcBorders>
            <w:noWrap/>
            <w:vAlign w:val="center"/>
          </w:tcPr>
          <w:p w14:paraId="53E24149">
            <w:pPr>
              <w:spacing w:line="360" w:lineRule="auto"/>
              <w:jc w:val="center"/>
              <w:rPr>
                <w:rFonts w:hAnsi="宋体" w:cs="宋体"/>
                <w:szCs w:val="21"/>
                <w:lang w:val="zh-CN"/>
              </w:rPr>
            </w:pPr>
            <w:r>
              <w:rPr>
                <w:rFonts w:hint="eastAsia" w:hAnsi="宋体" w:cs="宋体"/>
                <w:szCs w:val="21"/>
                <w:lang w:val="zh-CN"/>
              </w:rPr>
              <w:t>授权代表身份证复印件粘贴处</w:t>
            </w:r>
          </w:p>
          <w:p w14:paraId="41FFB428">
            <w:pPr>
              <w:spacing w:line="360" w:lineRule="auto"/>
              <w:jc w:val="center"/>
              <w:rPr>
                <w:rFonts w:hAnsi="宋体" w:cs="宋体"/>
                <w:u w:val="single"/>
              </w:rPr>
            </w:pPr>
            <w:r>
              <w:rPr>
                <w:rFonts w:hint="eastAsia" w:hAnsi="宋体" w:cs="宋体"/>
                <w:szCs w:val="21"/>
                <w:lang w:val="zh-CN"/>
              </w:rPr>
              <w:t>（正反面）</w:t>
            </w:r>
          </w:p>
        </w:tc>
      </w:tr>
    </w:tbl>
    <w:p w14:paraId="06E473EA">
      <w:pPr>
        <w:spacing w:line="360" w:lineRule="auto"/>
        <w:ind w:firstLine="510"/>
        <w:rPr>
          <w:rFonts w:hAnsi="宋体" w:cs="宋体"/>
          <w:spacing w:val="4"/>
          <w:szCs w:val="24"/>
        </w:rPr>
      </w:pPr>
    </w:p>
    <w:p w14:paraId="1E9C3DF0">
      <w:pPr>
        <w:spacing w:beforeLines="50" w:afterLines="50" w:line="360" w:lineRule="auto"/>
        <w:rPr>
          <w:rFonts w:hAnsi="宋体" w:cs="宋体"/>
          <w:spacing w:val="4"/>
          <w:szCs w:val="24"/>
        </w:rPr>
      </w:pPr>
      <w:r>
        <w:rPr>
          <w:rFonts w:hint="eastAsia" w:hAnsi="宋体" w:cs="宋体"/>
          <w:spacing w:val="4"/>
          <w:szCs w:val="24"/>
        </w:rPr>
        <w:t>供应商名称：</w:t>
      </w:r>
      <w:r>
        <w:rPr>
          <w:rFonts w:hint="eastAsia" w:hAnsi="宋体" w:cs="宋体"/>
          <w:u w:val="single"/>
        </w:rPr>
        <w:t xml:space="preserve">      （加盖单位公章）       </w:t>
      </w:r>
    </w:p>
    <w:p w14:paraId="4681F893">
      <w:pPr>
        <w:spacing w:beforeLines="50" w:afterLines="50" w:line="360" w:lineRule="auto"/>
        <w:rPr>
          <w:rFonts w:hAnsi="宋体" w:cs="宋体"/>
          <w:spacing w:val="4"/>
          <w:szCs w:val="24"/>
        </w:rPr>
      </w:pPr>
      <w:r>
        <w:rPr>
          <w:rFonts w:hint="eastAsia" w:hAnsi="宋体" w:cs="宋体"/>
          <w:spacing w:val="4"/>
          <w:szCs w:val="24"/>
        </w:rPr>
        <w:t>日期：</w:t>
      </w:r>
    </w:p>
    <w:p w14:paraId="100F077E">
      <w:pPr>
        <w:rPr>
          <w:rFonts w:hAnsi="宋体" w:cs="宋体"/>
          <w:spacing w:val="4"/>
          <w:szCs w:val="30"/>
        </w:rPr>
      </w:pPr>
      <w:r>
        <w:rPr>
          <w:rFonts w:hint="eastAsia" w:hAnsi="宋体" w:cs="宋体"/>
          <w:b/>
          <w:sz w:val="28"/>
          <w:szCs w:val="28"/>
        </w:rPr>
        <w:br w:type="page"/>
      </w:r>
      <w:bookmarkStart w:id="269" w:name="_Toc17295"/>
      <w:bookmarkStart w:id="270" w:name="_Toc11767"/>
    </w:p>
    <w:p w14:paraId="695003D6">
      <w:pPr>
        <w:widowControl/>
        <w:spacing w:line="360" w:lineRule="auto"/>
        <w:rPr>
          <w:rFonts w:hint="default" w:hAnsi="宋体" w:eastAsia="宋体" w:cs="宋体"/>
          <w:b/>
          <w:sz w:val="28"/>
          <w:szCs w:val="28"/>
          <w:lang w:val="en-US" w:eastAsia="zh-CN"/>
        </w:rPr>
      </w:pPr>
      <w:r>
        <w:rPr>
          <w:rFonts w:hint="eastAsia" w:hAnsi="宋体" w:cs="宋体"/>
          <w:b/>
          <w:sz w:val="28"/>
          <w:szCs w:val="28"/>
          <w:lang w:val="en-US" w:eastAsia="zh-CN"/>
        </w:rPr>
        <w:t>附件2：</w:t>
      </w:r>
    </w:p>
    <w:p w14:paraId="5A0F0163">
      <w:pPr>
        <w:widowControl/>
        <w:spacing w:line="360" w:lineRule="auto"/>
        <w:ind w:left="1" w:firstLine="281" w:firstLineChars="100"/>
        <w:jc w:val="center"/>
        <w:rPr>
          <w:rFonts w:hint="eastAsia" w:hAnsi="宋体" w:cs="宋体"/>
          <w:b/>
          <w:sz w:val="28"/>
          <w:szCs w:val="28"/>
        </w:rPr>
      </w:pPr>
    </w:p>
    <w:p w14:paraId="65F8A61C">
      <w:pPr>
        <w:widowControl/>
        <w:spacing w:line="360" w:lineRule="auto"/>
        <w:ind w:left="1" w:firstLine="281" w:firstLineChars="100"/>
        <w:jc w:val="center"/>
        <w:rPr>
          <w:rFonts w:hAnsi="宋体" w:cs="宋体"/>
          <w:b/>
          <w:sz w:val="28"/>
          <w:szCs w:val="28"/>
        </w:rPr>
      </w:pPr>
      <w:r>
        <w:rPr>
          <w:rFonts w:hint="eastAsia" w:hAnsi="宋体" w:cs="宋体"/>
          <w:b/>
          <w:sz w:val="28"/>
          <w:szCs w:val="28"/>
        </w:rPr>
        <w:t>参加政府采购活动前3年内在经营活动中没有重大违法纪录的书面声明</w:t>
      </w:r>
    </w:p>
    <w:p w14:paraId="5F1385AC">
      <w:pPr>
        <w:widowControl/>
        <w:spacing w:line="360" w:lineRule="auto"/>
        <w:ind w:left="1"/>
        <w:jc w:val="center"/>
        <w:rPr>
          <w:rFonts w:hAnsi="宋体" w:cs="宋体"/>
          <w:b/>
          <w:sz w:val="28"/>
          <w:szCs w:val="28"/>
        </w:rPr>
      </w:pPr>
      <w:r>
        <w:rPr>
          <w:rFonts w:hint="eastAsia" w:hAnsi="宋体" w:cs="宋体"/>
          <w:b/>
          <w:sz w:val="28"/>
          <w:szCs w:val="28"/>
        </w:rPr>
        <w:t>（格式）</w:t>
      </w:r>
    </w:p>
    <w:p w14:paraId="17C3462A">
      <w:pPr>
        <w:pStyle w:val="19"/>
        <w:wordWrap w:val="0"/>
        <w:spacing w:beforeAutospacing="0" w:afterAutospacing="0" w:line="560" w:lineRule="exact"/>
        <w:rPr>
          <w:rFonts w:cs="宋体"/>
          <w:u w:val="single"/>
          <w:shd w:val="clear" w:color="auto" w:fill="FFFFFF"/>
        </w:rPr>
      </w:pPr>
      <w:r>
        <w:rPr>
          <w:rFonts w:hint="eastAsia" w:cs="宋体"/>
          <w:u w:val="single"/>
          <w:shd w:val="clear" w:color="auto" w:fill="FFFFFF"/>
        </w:rPr>
        <w:t xml:space="preserve">      （采购人）           ：</w:t>
      </w:r>
    </w:p>
    <w:p w14:paraId="367AC5C9">
      <w:pPr>
        <w:pStyle w:val="19"/>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rPr>
      </w:pPr>
      <w:r>
        <w:rPr>
          <w:rFonts w:hint="eastAsia" w:cs="宋体"/>
          <w:shd w:val="clear" w:color="auto" w:fill="FFFFFF"/>
        </w:rPr>
        <w:t>我方作为项目名称</w:t>
      </w:r>
      <w:r>
        <w:rPr>
          <w:rFonts w:hint="eastAsia" w:cs="宋体"/>
          <w:shd w:val="clear" w:color="auto" w:fill="FFFFFF"/>
          <w:lang w:eastAsia="zh-CN"/>
        </w:rPr>
        <w:t>：</w:t>
      </w:r>
      <w:r>
        <w:rPr>
          <w:rFonts w:hint="eastAsia" w:cs="宋体"/>
          <w:u w:val="single"/>
          <w:shd w:val="clear" w:color="auto" w:fill="FFFFFF"/>
          <w:lang w:val="en-US" w:eastAsia="zh-CN"/>
        </w:rPr>
        <w:t xml:space="preserve">         </w:t>
      </w:r>
      <w:r>
        <w:rPr>
          <w:rFonts w:hint="eastAsia" w:cs="宋体"/>
          <w:shd w:val="clear" w:color="auto" w:fill="FFFFFF"/>
        </w:rPr>
        <w:t>（</w:t>
      </w:r>
      <w:r>
        <w:rPr>
          <w:rFonts w:hint="eastAsia" w:ascii="宋体" w:hAnsi="宋体" w:cs="宋体"/>
          <w:color w:val="auto"/>
          <w:highlight w:val="none"/>
          <w:shd w:val="clear" w:color="auto" w:fill="FFFFFF"/>
        </w:rPr>
        <w:t>项目编号：</w:t>
      </w:r>
      <w:r>
        <w:rPr>
          <w:rFonts w:hint="eastAsia" w:ascii="宋体" w:hAnsi="宋体" w:cs="宋体"/>
          <w:i/>
          <w:iCs/>
          <w:color w:val="auto"/>
          <w:highlight w:val="none"/>
          <w:u w:val="single"/>
          <w:shd w:val="clear" w:color="auto" w:fill="FFFFFF"/>
        </w:rPr>
        <w:t xml:space="preserve">          </w:t>
      </w:r>
      <w:r>
        <w:rPr>
          <w:rFonts w:hint="eastAsia" w:cs="宋体"/>
          <w:shd w:val="clear" w:color="auto" w:fill="FFFFFF"/>
        </w:rPr>
        <w:t>）的供应商，在此郑重声明：</w:t>
      </w:r>
    </w:p>
    <w:p w14:paraId="1D6A2477">
      <w:pPr>
        <w:pStyle w:val="19"/>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rPr>
      </w:pPr>
      <w:r>
        <w:rPr>
          <w:rFonts w:hint="eastAsia" w:cs="宋体"/>
          <w:shd w:val="clear" w:color="auto" w:fill="FFFFFF"/>
        </w:rPr>
        <w:t xml:space="preserve">在参加本次政府采购活动前3年内的经营活动中（填“没有”或“有”）重大违法记录。供应商在参加政府采购活动前3年内因违法经营被禁止在一定期限内参加政府采购活动，期限届满的，可以参加政府采购活动，但应提供期限届满的证明材料。 </w:t>
      </w:r>
    </w:p>
    <w:p w14:paraId="4A71B3BC">
      <w:pPr>
        <w:pStyle w:val="19"/>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rPr>
      </w:pPr>
      <w:r>
        <w:rPr>
          <w:rFonts w:hint="eastAsia" w:cs="宋体"/>
          <w:shd w:val="clear" w:color="auto" w:fill="FFFFFF"/>
        </w:rPr>
        <w:t>如有不实，我方将无条件地退出本项目的采购活动，并遵照《</w:t>
      </w:r>
      <w:r>
        <w:rPr>
          <w:rFonts w:hint="eastAsia" w:hAnsi="宋体" w:cs="宋体"/>
          <w:szCs w:val="24"/>
          <w:highlight w:val="none"/>
          <w:lang w:val="en-US" w:eastAsia="zh-CN"/>
        </w:rPr>
        <w:t>中华人民共和国</w:t>
      </w:r>
      <w:r>
        <w:rPr>
          <w:rFonts w:hint="eastAsia" w:cs="宋体"/>
          <w:shd w:val="clear" w:color="auto" w:fill="FFFFFF"/>
        </w:rPr>
        <w:t xml:space="preserve">政府采购法》有关“提供虚假材料的规定”接受处罚。 </w:t>
      </w:r>
    </w:p>
    <w:p w14:paraId="687E4E3B">
      <w:pPr>
        <w:pStyle w:val="19"/>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shd w:val="clear" w:color="auto" w:fill="FFFFFF"/>
        </w:rPr>
      </w:pPr>
      <w:r>
        <w:rPr>
          <w:rFonts w:hint="eastAsia" w:cs="宋体"/>
          <w:shd w:val="clear" w:color="auto" w:fill="FFFFFF"/>
        </w:rPr>
        <w:t>特此声明！</w:t>
      </w:r>
    </w:p>
    <w:p w14:paraId="2AE64CF4">
      <w:pPr>
        <w:pStyle w:val="19"/>
        <w:wordWrap w:val="0"/>
        <w:spacing w:beforeAutospacing="0" w:afterAutospacing="0" w:line="560" w:lineRule="exact"/>
        <w:ind w:firstLine="420"/>
        <w:rPr>
          <w:rFonts w:cs="宋体"/>
          <w:shd w:val="clear" w:color="auto" w:fill="FFFFFF"/>
        </w:rPr>
      </w:pPr>
    </w:p>
    <w:p w14:paraId="7D8CB890">
      <w:pPr>
        <w:spacing w:line="480" w:lineRule="auto"/>
        <w:ind w:firstLine="3360" w:firstLineChars="1400"/>
        <w:rPr>
          <w:rFonts w:hAnsi="宋体" w:cs="宋体"/>
        </w:rPr>
      </w:pPr>
      <w:r>
        <w:rPr>
          <w:rFonts w:hint="eastAsia" w:hAnsi="宋体" w:cs="宋体"/>
        </w:rPr>
        <w:t>供应商名称：</w:t>
      </w:r>
      <w:r>
        <w:rPr>
          <w:rFonts w:hint="eastAsia" w:hAnsi="宋体" w:cs="宋体"/>
          <w:u w:val="single"/>
          <w:lang w:val="en-US" w:eastAsia="zh-CN"/>
        </w:rPr>
        <w:t xml:space="preserve">                 </w:t>
      </w:r>
      <w:r>
        <w:rPr>
          <w:rFonts w:hint="eastAsia" w:hAnsi="宋体" w:cs="宋体"/>
        </w:rPr>
        <w:t>（盖章）</w:t>
      </w:r>
    </w:p>
    <w:p w14:paraId="7DC40C92">
      <w:pPr>
        <w:pStyle w:val="36"/>
        <w:spacing w:beforeLines="50"/>
        <w:ind w:firstLine="3360" w:firstLineChars="1400"/>
        <w:rPr>
          <w:rFonts w:hAnsi="宋体" w:cs="宋体"/>
          <w:b/>
          <w:bCs/>
          <w:spacing w:val="4"/>
          <w:szCs w:val="24"/>
        </w:rPr>
      </w:pPr>
      <w:r>
        <w:rPr>
          <w:rFonts w:hint="eastAsia" w:ascii="宋体" w:hAnsi="宋体" w:cs="宋体"/>
          <w:szCs w:val="24"/>
        </w:rPr>
        <w:t>日        期：</w:t>
      </w:r>
      <w:r>
        <w:rPr>
          <w:rFonts w:hint="eastAsia" w:ascii="宋体" w:hAnsi="宋体" w:cs="宋体"/>
          <w:szCs w:val="24"/>
          <w:u w:val="single"/>
          <w:lang w:val="en-US" w:eastAsia="zh-CN"/>
        </w:rPr>
        <w:t xml:space="preserve">     </w:t>
      </w:r>
      <w:r>
        <w:rPr>
          <w:rFonts w:hint="eastAsia" w:ascii="宋体" w:hAnsi="宋体" w:cs="宋体"/>
          <w:szCs w:val="24"/>
        </w:rPr>
        <w:t>年</w:t>
      </w:r>
      <w:r>
        <w:rPr>
          <w:rFonts w:hint="eastAsia" w:ascii="宋体" w:hAnsi="宋体" w:cs="宋体"/>
          <w:szCs w:val="24"/>
          <w:u w:val="single"/>
          <w:lang w:val="en-US" w:eastAsia="zh-CN"/>
        </w:rPr>
        <w:t xml:space="preserve">     </w:t>
      </w:r>
      <w:r>
        <w:rPr>
          <w:rFonts w:hint="eastAsia" w:ascii="宋体" w:hAnsi="宋体" w:cs="宋体"/>
          <w:szCs w:val="24"/>
        </w:rPr>
        <w:t>月</w:t>
      </w:r>
      <w:r>
        <w:rPr>
          <w:rFonts w:hint="eastAsia" w:ascii="宋体" w:hAnsi="宋体" w:cs="宋体"/>
          <w:szCs w:val="24"/>
          <w:u w:val="single"/>
          <w:lang w:val="en-US" w:eastAsia="zh-CN"/>
        </w:rPr>
        <w:t xml:space="preserve">     </w:t>
      </w:r>
      <w:r>
        <w:rPr>
          <w:rFonts w:hint="eastAsia" w:ascii="宋体" w:hAnsi="宋体" w:cs="宋体"/>
          <w:szCs w:val="24"/>
        </w:rPr>
        <w:t>日</w:t>
      </w:r>
    </w:p>
    <w:p w14:paraId="0406A26D">
      <w:pP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br w:type="page"/>
      </w:r>
    </w:p>
    <w:p w14:paraId="275BB4DB">
      <w:pPr>
        <w:widowControl/>
        <w:spacing w:line="360" w:lineRule="auto"/>
        <w:rPr>
          <w:rFonts w:hint="default" w:hAnsi="宋体" w:eastAsia="宋体" w:cs="宋体"/>
          <w:b/>
          <w:sz w:val="28"/>
          <w:szCs w:val="28"/>
          <w:lang w:val="en-US" w:eastAsia="zh-CN"/>
        </w:rPr>
      </w:pPr>
      <w:r>
        <w:rPr>
          <w:rFonts w:hint="eastAsia" w:hAnsi="宋体" w:cs="宋体"/>
          <w:b/>
          <w:sz w:val="28"/>
          <w:szCs w:val="28"/>
          <w:lang w:val="en-US" w:eastAsia="zh-CN"/>
        </w:rPr>
        <w:t>附件3：</w:t>
      </w:r>
    </w:p>
    <w:p w14:paraId="2A42FC5A">
      <w:pPr>
        <w:adjustRightInd w:val="0"/>
        <w:snapToGrid w:val="0"/>
        <w:spacing w:line="360" w:lineRule="auto"/>
        <w:jc w:val="center"/>
        <w:rPr>
          <w:rFonts w:hint="eastAsia" w:hAnsi="宋体" w:cs="宋体"/>
          <w:b/>
          <w:sz w:val="28"/>
          <w:szCs w:val="28"/>
        </w:rPr>
      </w:pPr>
    </w:p>
    <w:p w14:paraId="1DAD95B5">
      <w:pPr>
        <w:adjustRightInd w:val="0"/>
        <w:snapToGrid w:val="0"/>
        <w:spacing w:line="360" w:lineRule="auto"/>
        <w:jc w:val="center"/>
        <w:rPr>
          <w:rFonts w:hAnsi="宋体" w:cs="宋体"/>
          <w:b/>
          <w:sz w:val="28"/>
          <w:szCs w:val="28"/>
        </w:rPr>
      </w:pPr>
      <w:r>
        <w:rPr>
          <w:rFonts w:hint="eastAsia" w:hAnsi="宋体" w:cs="宋体"/>
          <w:b/>
          <w:sz w:val="28"/>
          <w:szCs w:val="28"/>
        </w:rPr>
        <w:t>具有履行本合同所必需的设备和专业技术能力的书面声明</w:t>
      </w:r>
    </w:p>
    <w:p w14:paraId="6FF5B29C">
      <w:pPr>
        <w:widowControl/>
        <w:spacing w:line="360" w:lineRule="auto"/>
        <w:ind w:left="1"/>
        <w:jc w:val="center"/>
        <w:rPr>
          <w:rFonts w:hAnsi="宋体" w:cs="宋体"/>
          <w:b/>
          <w:sz w:val="28"/>
          <w:szCs w:val="28"/>
        </w:rPr>
      </w:pPr>
      <w:r>
        <w:rPr>
          <w:rFonts w:hint="eastAsia" w:hAnsi="宋体" w:cs="宋体"/>
          <w:b/>
          <w:sz w:val="28"/>
          <w:szCs w:val="28"/>
        </w:rPr>
        <w:t>（格式）</w:t>
      </w:r>
    </w:p>
    <w:p w14:paraId="5EBE8134"/>
    <w:p w14:paraId="2BC84EBA">
      <w:pPr>
        <w:pStyle w:val="12"/>
        <w:adjustRightInd w:val="0"/>
        <w:snapToGrid w:val="0"/>
        <w:spacing w:line="720" w:lineRule="exact"/>
        <w:jc w:val="center"/>
        <w:rPr>
          <w:rFonts w:hAnsi="宋体" w:cs="宋体"/>
          <w:b/>
          <w:sz w:val="28"/>
          <w:szCs w:val="28"/>
        </w:rPr>
      </w:pPr>
    </w:p>
    <w:p w14:paraId="5400BEE3">
      <w:pPr>
        <w:spacing w:line="720" w:lineRule="exact"/>
        <w:rPr>
          <w:rFonts w:hAnsi="宋体" w:cs="宋体"/>
          <w:spacing w:val="4"/>
          <w:u w:val="single"/>
        </w:rPr>
      </w:pPr>
      <w:r>
        <w:rPr>
          <w:rFonts w:hint="eastAsia" w:hAnsi="宋体" w:cs="宋体"/>
          <w:spacing w:val="4"/>
          <w:u w:val="single"/>
        </w:rPr>
        <w:t xml:space="preserve">     （采购人）    ：</w:t>
      </w:r>
    </w:p>
    <w:p w14:paraId="08C3966C">
      <w:pPr>
        <w:pStyle w:val="12"/>
        <w:adjustRightInd w:val="0"/>
        <w:snapToGrid w:val="0"/>
        <w:spacing w:line="720" w:lineRule="exact"/>
        <w:ind w:firstLine="496" w:firstLineChars="200"/>
        <w:rPr>
          <w:rFonts w:hAnsi="宋体" w:cs="宋体"/>
          <w:spacing w:val="4"/>
          <w:sz w:val="24"/>
          <w:szCs w:val="24"/>
        </w:rPr>
      </w:pPr>
      <w:r>
        <w:rPr>
          <w:rFonts w:hint="eastAsia" w:hAnsi="宋体" w:cs="宋体"/>
          <w:spacing w:val="4"/>
          <w:sz w:val="24"/>
          <w:szCs w:val="24"/>
          <w:u w:val="single"/>
        </w:rPr>
        <w:t xml:space="preserve">      （供应商名称）    </w:t>
      </w:r>
      <w:r>
        <w:rPr>
          <w:rFonts w:hint="eastAsia" w:hAnsi="宋体" w:cs="宋体"/>
          <w:spacing w:val="4"/>
          <w:sz w:val="24"/>
          <w:szCs w:val="24"/>
        </w:rPr>
        <w:t xml:space="preserve"> 于年月日在中华人民共和国境内</w:t>
      </w:r>
      <w:r>
        <w:rPr>
          <w:rFonts w:hint="eastAsia" w:hAnsi="宋体" w:cs="宋体"/>
          <w:spacing w:val="4"/>
          <w:sz w:val="24"/>
          <w:szCs w:val="24"/>
          <w:u w:val="single"/>
        </w:rPr>
        <w:t xml:space="preserve">               （详细注册地址）     </w:t>
      </w:r>
      <w:r>
        <w:rPr>
          <w:rFonts w:hint="eastAsia" w:hAnsi="宋体" w:cs="宋体"/>
          <w:spacing w:val="4"/>
          <w:sz w:val="24"/>
          <w:szCs w:val="24"/>
        </w:rPr>
        <w:t>合法注册并经营，公司主营业务为</w:t>
      </w:r>
      <w:r>
        <w:rPr>
          <w:rFonts w:hint="eastAsia" w:hAnsi="宋体" w:cs="宋体"/>
          <w:spacing w:val="4"/>
          <w:sz w:val="24"/>
          <w:szCs w:val="24"/>
          <w:u w:val="single"/>
          <w:lang w:val="en-US" w:eastAsia="zh-CN"/>
        </w:rPr>
        <w:t xml:space="preserve">                  </w:t>
      </w:r>
      <w:r>
        <w:rPr>
          <w:rFonts w:hint="eastAsia" w:hAnsi="宋体" w:cs="宋体"/>
          <w:spacing w:val="4"/>
          <w:sz w:val="24"/>
          <w:szCs w:val="24"/>
        </w:rPr>
        <w:t>。</w:t>
      </w:r>
    </w:p>
    <w:p w14:paraId="74F0ED2E">
      <w:pPr>
        <w:pStyle w:val="12"/>
        <w:adjustRightInd w:val="0"/>
        <w:snapToGrid w:val="0"/>
        <w:spacing w:line="720" w:lineRule="exact"/>
        <w:ind w:firstLine="550" w:firstLineChars="222"/>
        <w:rPr>
          <w:rFonts w:hAnsi="宋体" w:cs="宋体"/>
          <w:spacing w:val="4"/>
          <w:sz w:val="24"/>
          <w:szCs w:val="24"/>
        </w:rPr>
      </w:pPr>
      <w:r>
        <w:rPr>
          <w:rFonts w:hint="eastAsia" w:hAnsi="宋体" w:cs="宋体"/>
          <w:spacing w:val="4"/>
          <w:sz w:val="24"/>
          <w:szCs w:val="24"/>
        </w:rPr>
        <w:t>我公司郑重承诺，我公司具有履行本合同所必需的设备和专业技术能力，合同履约中将无条件增加相关设备、人员，直至满足项目需求。</w:t>
      </w:r>
    </w:p>
    <w:p w14:paraId="018CF549">
      <w:pPr>
        <w:pStyle w:val="12"/>
        <w:adjustRightInd w:val="0"/>
        <w:snapToGrid w:val="0"/>
        <w:spacing w:line="720" w:lineRule="exact"/>
        <w:rPr>
          <w:rFonts w:hAnsi="宋体" w:cs="宋体"/>
          <w:spacing w:val="4"/>
          <w:sz w:val="24"/>
          <w:szCs w:val="24"/>
        </w:rPr>
      </w:pPr>
    </w:p>
    <w:p w14:paraId="695AC427">
      <w:pPr>
        <w:pStyle w:val="12"/>
        <w:adjustRightInd w:val="0"/>
        <w:snapToGrid w:val="0"/>
        <w:spacing w:line="720" w:lineRule="exact"/>
        <w:rPr>
          <w:rFonts w:hAnsi="宋体" w:cs="宋体"/>
          <w:spacing w:val="4"/>
          <w:sz w:val="24"/>
          <w:szCs w:val="24"/>
        </w:rPr>
      </w:pPr>
    </w:p>
    <w:p w14:paraId="05101532">
      <w:pPr>
        <w:pStyle w:val="12"/>
        <w:adjustRightInd w:val="0"/>
        <w:snapToGrid w:val="0"/>
        <w:spacing w:line="720" w:lineRule="exact"/>
        <w:rPr>
          <w:rFonts w:hAnsi="宋体" w:cs="宋体"/>
          <w:spacing w:val="4"/>
          <w:sz w:val="24"/>
          <w:szCs w:val="24"/>
        </w:rPr>
      </w:pPr>
    </w:p>
    <w:p w14:paraId="0C32740B">
      <w:pPr>
        <w:spacing w:line="480" w:lineRule="auto"/>
        <w:ind w:firstLine="3360" w:firstLineChars="1400"/>
        <w:rPr>
          <w:rFonts w:hAnsi="宋体" w:cs="宋体"/>
        </w:rPr>
      </w:pPr>
      <w:r>
        <w:rPr>
          <w:rFonts w:hint="eastAsia" w:hAnsi="宋体" w:cs="宋体"/>
        </w:rPr>
        <w:t>供应商名称：</w:t>
      </w:r>
      <w:r>
        <w:rPr>
          <w:rFonts w:hint="eastAsia" w:hAnsi="宋体" w:cs="宋体"/>
          <w:u w:val="single"/>
          <w:lang w:val="en-US" w:eastAsia="zh-CN"/>
        </w:rPr>
        <w:t xml:space="preserve">               </w:t>
      </w:r>
      <w:r>
        <w:rPr>
          <w:rFonts w:hint="eastAsia" w:hAnsi="宋体" w:cs="宋体"/>
        </w:rPr>
        <w:t>（盖章）</w:t>
      </w:r>
    </w:p>
    <w:p w14:paraId="4CDF67D4">
      <w:pPr>
        <w:pStyle w:val="36"/>
        <w:spacing w:beforeLines="50"/>
        <w:ind w:firstLine="3360" w:firstLineChars="1400"/>
        <w:rPr>
          <w:rFonts w:ascii="宋体" w:hAnsi="宋体" w:cs="宋体"/>
          <w:szCs w:val="24"/>
        </w:rPr>
      </w:pPr>
      <w:r>
        <w:rPr>
          <w:rFonts w:hint="eastAsia" w:ascii="宋体" w:hAnsi="宋体" w:cs="宋体"/>
          <w:szCs w:val="24"/>
        </w:rPr>
        <w:t>日        期：</w:t>
      </w:r>
      <w:r>
        <w:rPr>
          <w:rFonts w:hint="eastAsia" w:ascii="宋体" w:hAnsi="宋体" w:cs="宋体"/>
          <w:szCs w:val="24"/>
          <w:u w:val="single"/>
          <w:lang w:val="en-US" w:eastAsia="zh-CN"/>
        </w:rPr>
        <w:t xml:space="preserve">      </w:t>
      </w:r>
      <w:r>
        <w:rPr>
          <w:rFonts w:hint="eastAsia" w:ascii="宋体" w:hAnsi="宋体" w:cs="宋体"/>
          <w:szCs w:val="24"/>
        </w:rPr>
        <w:t>年</w:t>
      </w:r>
      <w:r>
        <w:rPr>
          <w:rFonts w:hint="eastAsia" w:ascii="宋体" w:hAnsi="宋体" w:cs="宋体"/>
          <w:szCs w:val="24"/>
          <w:u w:val="single"/>
          <w:lang w:val="en-US" w:eastAsia="zh-CN"/>
        </w:rPr>
        <w:t xml:space="preserve">     </w:t>
      </w:r>
      <w:r>
        <w:rPr>
          <w:rFonts w:hint="eastAsia" w:ascii="宋体" w:hAnsi="宋体" w:cs="宋体"/>
          <w:szCs w:val="24"/>
        </w:rPr>
        <w:t>月</w:t>
      </w:r>
      <w:r>
        <w:rPr>
          <w:rFonts w:hint="eastAsia" w:ascii="宋体" w:hAnsi="宋体" w:cs="宋体"/>
          <w:szCs w:val="24"/>
          <w:u w:val="single"/>
          <w:lang w:val="en-US" w:eastAsia="zh-CN"/>
        </w:rPr>
        <w:t xml:space="preserve">     </w:t>
      </w:r>
      <w:r>
        <w:rPr>
          <w:rFonts w:hint="eastAsia" w:ascii="宋体" w:hAnsi="宋体" w:cs="宋体"/>
          <w:szCs w:val="24"/>
        </w:rPr>
        <w:t>日</w:t>
      </w:r>
    </w:p>
    <w:p w14:paraId="56B57211">
      <w:pPr>
        <w:rPr>
          <w:rFonts w:hint="eastAsia" w:hAnsi="宋体" w:cs="宋体"/>
          <w:spacing w:val="4"/>
          <w:szCs w:val="30"/>
        </w:rPr>
      </w:pPr>
      <w:r>
        <w:rPr>
          <w:rFonts w:hint="eastAsia" w:hAnsi="宋体" w:cs="宋体"/>
          <w:spacing w:val="4"/>
          <w:szCs w:val="30"/>
        </w:rPr>
        <w:br w:type="page"/>
      </w:r>
    </w:p>
    <w:p w14:paraId="3D17171C">
      <w:pPr>
        <w:widowControl/>
        <w:spacing w:line="360" w:lineRule="auto"/>
        <w:rPr>
          <w:rFonts w:hint="default" w:hAnsi="宋体" w:eastAsia="宋体" w:cs="宋体"/>
          <w:b/>
          <w:sz w:val="28"/>
          <w:szCs w:val="28"/>
          <w:lang w:val="en-US" w:eastAsia="zh-CN"/>
        </w:rPr>
      </w:pPr>
      <w:r>
        <w:rPr>
          <w:rFonts w:hint="eastAsia" w:hAnsi="宋体" w:cs="宋体"/>
          <w:b/>
          <w:sz w:val="28"/>
          <w:szCs w:val="28"/>
          <w:lang w:val="en-US" w:eastAsia="zh-CN"/>
        </w:rPr>
        <w:t>附件4：</w:t>
      </w:r>
    </w:p>
    <w:p w14:paraId="407836FF">
      <w:pPr>
        <w:rPr>
          <w:rFonts w:hint="eastAsia" w:hAnsi="宋体" w:cs="宋体"/>
          <w:color w:val="auto"/>
          <w:spacing w:val="4"/>
          <w:szCs w:val="30"/>
          <w:highlight w:val="none"/>
        </w:rPr>
      </w:pPr>
    </w:p>
    <w:p w14:paraId="017B8145">
      <w:pPr>
        <w:keepNext w:val="0"/>
        <w:keepLines w:val="0"/>
        <w:widowControl/>
        <w:suppressLineNumbers w:val="0"/>
        <w:jc w:val="center"/>
        <w:rPr>
          <w:rFonts w:hint="eastAsia" w:ascii="宋体" w:hAnsi="宋体" w:eastAsia="宋体" w:cs="宋体"/>
          <w:sz w:val="28"/>
          <w:szCs w:val="28"/>
          <w:highlight w:val="none"/>
        </w:rPr>
      </w:pPr>
      <w:r>
        <w:rPr>
          <w:rFonts w:hint="eastAsia" w:hAnsi="宋体" w:cs="宋体"/>
          <w:b/>
          <w:bCs/>
          <w:color w:val="000000"/>
          <w:kern w:val="0"/>
          <w:sz w:val="28"/>
          <w:szCs w:val="28"/>
          <w:highlight w:val="none"/>
          <w:lang w:val="en-US" w:eastAsia="zh-CN" w:bidi="ar"/>
        </w:rPr>
        <w:t>供应商</w:t>
      </w:r>
      <w:r>
        <w:rPr>
          <w:rFonts w:hint="eastAsia" w:ascii="宋体" w:hAnsi="宋体" w:eastAsia="宋体" w:cs="宋体"/>
          <w:b/>
          <w:bCs/>
          <w:color w:val="000000"/>
          <w:kern w:val="0"/>
          <w:sz w:val="28"/>
          <w:szCs w:val="28"/>
          <w:highlight w:val="none"/>
          <w:lang w:val="en-US" w:eastAsia="zh-CN" w:bidi="ar"/>
        </w:rPr>
        <w:t>信用记录书面声明函（格式）</w:t>
      </w:r>
    </w:p>
    <w:p w14:paraId="312752A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343A6F6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陕西至诚项目管理集团有限公司： </w:t>
      </w:r>
    </w:p>
    <w:p w14:paraId="18E39BE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我方作为《项目名称</w:t>
      </w:r>
      <w:r>
        <w:rPr>
          <w:rFonts w:hint="eastAsia" w:hAnsi="宋体" w:cs="宋体"/>
          <w:color w:val="000000"/>
          <w:kern w:val="0"/>
          <w:sz w:val="24"/>
          <w:szCs w:val="24"/>
          <w:highlight w:val="none"/>
          <w:lang w:val="en-US" w:eastAsia="zh-CN" w:bidi="ar"/>
        </w:rPr>
        <w:t>:</w:t>
      </w:r>
      <w:r>
        <w:rPr>
          <w:rFonts w:hint="eastAsia" w:hAnsi="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》（项目编号：</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）第</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 xml:space="preserve">标段的投标人，在此郑重声明： </w:t>
      </w:r>
    </w:p>
    <w:p w14:paraId="32485C0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1、在参加本次政府采购活动前 3 年内的经营活动中____（填“没有”或“有”）重大违法记录。</w:t>
      </w:r>
      <w:r>
        <w:rPr>
          <w:rFonts w:hint="eastAsia" w:ascii="宋体" w:hAnsi="宋体" w:eastAsia="宋体" w:cs="宋体"/>
          <w:b/>
          <w:bCs/>
          <w:color w:val="000000"/>
          <w:kern w:val="0"/>
          <w:sz w:val="24"/>
          <w:szCs w:val="24"/>
          <w:highlight w:val="none"/>
          <w:lang w:val="en-US" w:eastAsia="zh-CN" w:bidi="ar"/>
        </w:rPr>
        <w:t>投标人在参加政府采购活动前 3 年内因违法经营被禁止在一定期限内参加政府采购活动，期限届满的，可以参加政府采购活动，但应提供期限届满的证明材料。</w:t>
      </w:r>
    </w:p>
    <w:p w14:paraId="30489BF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hAnsi="宋体" w:cs="宋体"/>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 xml:space="preserve">、我方______（填“未被列入”或“被列入”）失信被执行人名单。 </w:t>
      </w:r>
    </w:p>
    <w:p w14:paraId="22ED931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hAnsi="宋体"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val="en-US" w:eastAsia="zh-CN" w:bidi="ar"/>
        </w:rPr>
        <w:t xml:space="preserve">、我方______（填“未被列入”或“被列入”）重大税收违法案件当事人名单。 </w:t>
      </w:r>
    </w:p>
    <w:p w14:paraId="5F60541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4、我方______（填“未被列入”或“被列入”）政府采购严重违法失信行为记录名单。</w:t>
      </w:r>
    </w:p>
    <w:p w14:paraId="3E17984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如有不实，我方将无条件地退出本项目的采购活动，并遵照《中华人民共和国</w:t>
      </w:r>
      <w:r>
        <w:rPr>
          <w:rFonts w:hint="eastAsia" w:hAnsi="宋体" w:cs="宋体"/>
          <w:color w:val="000000"/>
          <w:kern w:val="0"/>
          <w:sz w:val="24"/>
          <w:szCs w:val="24"/>
          <w:highlight w:val="none"/>
          <w:lang w:val="en-US" w:eastAsia="zh-CN" w:bidi="ar"/>
        </w:rPr>
        <w:t>政府采购法</w:t>
      </w:r>
      <w:r>
        <w:rPr>
          <w:rFonts w:hint="eastAsia" w:ascii="宋体" w:hAnsi="宋体" w:eastAsia="宋体" w:cs="宋体"/>
          <w:color w:val="000000"/>
          <w:kern w:val="0"/>
          <w:sz w:val="24"/>
          <w:szCs w:val="24"/>
          <w:highlight w:val="none"/>
          <w:lang w:val="en-US" w:eastAsia="zh-CN" w:bidi="ar"/>
        </w:rPr>
        <w:t xml:space="preserve">》有关“提供虚假材料的规定”接受处罚。 </w:t>
      </w:r>
    </w:p>
    <w:p w14:paraId="053DC6E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特此声明。 </w:t>
      </w:r>
    </w:p>
    <w:p w14:paraId="411D529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337C45A1">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投标人名称：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（加盖公章）</w:t>
      </w:r>
    </w:p>
    <w:p w14:paraId="539F4E8C">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14:paraId="3AFBD568">
      <w:pPr>
        <w:keepNext w:val="0"/>
        <w:keepLines w:val="0"/>
        <w:widowControl/>
        <w:suppressLineNumbers w:val="0"/>
        <w:jc w:val="left"/>
        <w:rPr>
          <w:rFonts w:hint="eastAsia" w:ascii="宋体" w:hAnsi="宋体" w:eastAsia="宋体" w:cs="宋体"/>
          <w:color w:val="000000"/>
          <w:kern w:val="0"/>
          <w:sz w:val="24"/>
          <w:szCs w:val="24"/>
          <w:highlight w:val="none"/>
          <w:lang w:val="en-US" w:eastAsia="zh-CN" w:bidi="ar"/>
        </w:rPr>
      </w:pPr>
    </w:p>
    <w:p w14:paraId="350E9D15">
      <w:pPr>
        <w:keepNext w:val="0"/>
        <w:keepLines w:val="0"/>
        <w:widowControl/>
        <w:suppressLineNumbers w:val="0"/>
        <w:jc w:val="left"/>
        <w:rPr>
          <w:rFonts w:hint="eastAsia" w:ascii="宋体" w:hAnsi="宋体" w:eastAsia="宋体" w:cs="宋体"/>
          <w:color w:val="000000"/>
          <w:kern w:val="0"/>
          <w:sz w:val="24"/>
          <w:szCs w:val="24"/>
          <w:highlight w:val="none"/>
          <w:lang w:val="en-US" w:eastAsia="zh-CN" w:bidi="ar"/>
        </w:rPr>
      </w:pPr>
    </w:p>
    <w:p w14:paraId="6566BA2B">
      <w:pPr>
        <w:keepNext w:val="0"/>
        <w:keepLines w:val="0"/>
        <w:widowControl/>
        <w:suppressLineNumbers w:val="0"/>
        <w:jc w:val="left"/>
        <w:rPr>
          <w:rFonts w:hint="eastAsia" w:hAnsi="宋体" w:cs="宋体"/>
          <w:b/>
          <w:color w:val="auto"/>
          <w:sz w:val="28"/>
          <w:szCs w:val="28"/>
          <w:highlight w:val="none"/>
        </w:rPr>
      </w:pPr>
      <w:r>
        <w:rPr>
          <w:rFonts w:hint="eastAsia" w:ascii="宋体" w:hAnsi="宋体" w:eastAsia="宋体" w:cs="宋体"/>
          <w:color w:val="000000"/>
          <w:kern w:val="0"/>
          <w:sz w:val="24"/>
          <w:szCs w:val="24"/>
          <w:highlight w:val="none"/>
          <w:lang w:val="en-US" w:eastAsia="zh-CN" w:bidi="ar"/>
        </w:rPr>
        <w:t>备注：项目不分标段的，第___标段空白处填写“/”。</w:t>
      </w:r>
    </w:p>
    <w:p w14:paraId="63BF7AFB">
      <w:pPr>
        <w:rPr>
          <w:rFonts w:hint="eastAsia" w:hAnsi="宋体" w:cs="宋体"/>
          <w:b/>
          <w:color w:val="auto"/>
          <w:sz w:val="28"/>
          <w:szCs w:val="28"/>
          <w:highlight w:val="none"/>
        </w:rPr>
      </w:pPr>
      <w:r>
        <w:rPr>
          <w:rFonts w:hint="eastAsia" w:hAnsi="宋体" w:cs="宋体"/>
          <w:b/>
          <w:color w:val="auto"/>
          <w:sz w:val="28"/>
          <w:szCs w:val="28"/>
          <w:highlight w:val="none"/>
        </w:rPr>
        <w:br w:type="page"/>
      </w:r>
    </w:p>
    <w:p w14:paraId="537A90ED">
      <w:pPr>
        <w:widowControl/>
        <w:spacing w:line="360" w:lineRule="auto"/>
        <w:rPr>
          <w:rFonts w:hint="default" w:hAnsi="宋体" w:eastAsia="宋体" w:cs="宋体"/>
          <w:b/>
          <w:sz w:val="28"/>
          <w:szCs w:val="28"/>
          <w:lang w:val="en-US" w:eastAsia="zh-CN"/>
        </w:rPr>
      </w:pPr>
      <w:r>
        <w:rPr>
          <w:rFonts w:hint="eastAsia" w:hAnsi="宋体" w:cs="宋体"/>
          <w:b/>
          <w:sz w:val="28"/>
          <w:szCs w:val="28"/>
          <w:lang w:val="en-US" w:eastAsia="zh-CN"/>
        </w:rPr>
        <w:t>附件5：</w:t>
      </w:r>
    </w:p>
    <w:p w14:paraId="65C711F5">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投标人提供直接控股和管理关系清单，格式不限。</w:t>
      </w:r>
    </w:p>
    <w:p w14:paraId="030474B5">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控股管理关系（样表）</w:t>
      </w:r>
    </w:p>
    <w:p w14:paraId="44162F85">
      <w:pPr>
        <w:keepNext w:val="0"/>
        <w:keepLines w:val="0"/>
        <w:widowControl/>
        <w:suppressLineNumbers w:val="0"/>
        <w:jc w:val="left"/>
        <w:rPr>
          <w:rFonts w:hint="eastAsia" w:ascii="宋体" w:hAnsi="宋体" w:eastAsia="宋体" w:cs="宋体"/>
          <w:color w:val="000000"/>
          <w:kern w:val="0"/>
          <w:sz w:val="28"/>
          <w:szCs w:val="28"/>
          <w:highlight w:val="none"/>
          <w:lang w:val="en-US" w:eastAsia="zh-CN" w:bidi="ar"/>
        </w:rPr>
      </w:pPr>
    </w:p>
    <w:p w14:paraId="0CA0DE0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陕西至诚项目管理集团有限公司：</w:t>
      </w:r>
    </w:p>
    <w:p w14:paraId="731DCF5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我方与以下投标人存在直接控股、管理关系：</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1"/>
        <w:gridCol w:w="3977"/>
        <w:gridCol w:w="3129"/>
        <w:gridCol w:w="1387"/>
      </w:tblGrid>
      <w:tr w14:paraId="2F3E8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71" w:type="dxa"/>
            <w:gridSpan w:val="4"/>
            <w:vAlign w:val="center"/>
          </w:tcPr>
          <w:p w14:paraId="7E81987D">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存在直接控股、管理关系的相关投标人</w:t>
            </w:r>
          </w:p>
        </w:tc>
      </w:tr>
      <w:tr w14:paraId="4E321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64A1F628">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序号</w:t>
            </w:r>
          </w:p>
        </w:tc>
        <w:tc>
          <w:tcPr>
            <w:tcW w:w="4005" w:type="dxa"/>
            <w:vAlign w:val="center"/>
          </w:tcPr>
          <w:p w14:paraId="483A4F6D">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直接控股股东名称及出资比例</w:t>
            </w:r>
          </w:p>
        </w:tc>
        <w:tc>
          <w:tcPr>
            <w:tcW w:w="3150" w:type="dxa"/>
            <w:vAlign w:val="center"/>
          </w:tcPr>
          <w:p w14:paraId="4A3D9A75">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直接管理关系单位名称</w:t>
            </w:r>
          </w:p>
        </w:tc>
        <w:tc>
          <w:tcPr>
            <w:tcW w:w="1394" w:type="dxa"/>
            <w:vAlign w:val="center"/>
          </w:tcPr>
          <w:p w14:paraId="67BA113B">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备注</w:t>
            </w:r>
          </w:p>
        </w:tc>
      </w:tr>
      <w:tr w14:paraId="48296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CEA62AC">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1</w:t>
            </w:r>
          </w:p>
        </w:tc>
        <w:tc>
          <w:tcPr>
            <w:tcW w:w="4005" w:type="dxa"/>
            <w:vAlign w:val="top"/>
          </w:tcPr>
          <w:p w14:paraId="081B958D">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337378B7">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1FE4BF12">
            <w:pPr>
              <w:rPr>
                <w:rFonts w:hint="default" w:hAnsi="宋体" w:cs="宋体"/>
                <w:b/>
                <w:bCs/>
                <w:color w:val="auto"/>
                <w:sz w:val="24"/>
                <w:szCs w:val="24"/>
                <w:highlight w:val="none"/>
                <w:shd w:val="clear" w:color="auto" w:fill="FFFFFF"/>
                <w:vertAlign w:val="baseline"/>
                <w:lang w:val="en-US" w:eastAsia="zh-CN"/>
              </w:rPr>
            </w:pPr>
          </w:p>
        </w:tc>
      </w:tr>
      <w:tr w14:paraId="43FAD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51C420D">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2</w:t>
            </w:r>
          </w:p>
        </w:tc>
        <w:tc>
          <w:tcPr>
            <w:tcW w:w="4005" w:type="dxa"/>
            <w:vAlign w:val="top"/>
          </w:tcPr>
          <w:p w14:paraId="4D442343">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1827D2EB">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3A6CDA6D">
            <w:pPr>
              <w:rPr>
                <w:rFonts w:hint="default" w:hAnsi="宋体" w:cs="宋体"/>
                <w:b/>
                <w:bCs/>
                <w:color w:val="auto"/>
                <w:sz w:val="24"/>
                <w:szCs w:val="24"/>
                <w:highlight w:val="none"/>
                <w:shd w:val="clear" w:color="auto" w:fill="FFFFFF"/>
                <w:vertAlign w:val="baseline"/>
                <w:lang w:val="en-US" w:eastAsia="zh-CN"/>
              </w:rPr>
            </w:pPr>
          </w:p>
        </w:tc>
      </w:tr>
      <w:tr w14:paraId="7ED64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5309603">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3</w:t>
            </w:r>
          </w:p>
        </w:tc>
        <w:tc>
          <w:tcPr>
            <w:tcW w:w="4005" w:type="dxa"/>
            <w:vAlign w:val="top"/>
          </w:tcPr>
          <w:p w14:paraId="4330C786">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26444768">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90D3ECF">
            <w:pPr>
              <w:rPr>
                <w:rFonts w:hint="default" w:hAnsi="宋体" w:cs="宋体"/>
                <w:b/>
                <w:bCs/>
                <w:color w:val="auto"/>
                <w:sz w:val="24"/>
                <w:szCs w:val="24"/>
                <w:highlight w:val="none"/>
                <w:shd w:val="clear" w:color="auto" w:fill="FFFFFF"/>
                <w:vertAlign w:val="baseline"/>
                <w:lang w:val="en-US" w:eastAsia="zh-CN"/>
              </w:rPr>
            </w:pPr>
          </w:p>
        </w:tc>
      </w:tr>
      <w:tr w14:paraId="61ADA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0A5FC663">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w:t>
            </w:r>
          </w:p>
        </w:tc>
        <w:tc>
          <w:tcPr>
            <w:tcW w:w="4005" w:type="dxa"/>
            <w:vAlign w:val="top"/>
          </w:tcPr>
          <w:p w14:paraId="220D5E6B">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78D9337C">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2F73DBB">
            <w:pPr>
              <w:rPr>
                <w:rFonts w:hint="default" w:hAnsi="宋体" w:cs="宋体"/>
                <w:b/>
                <w:bCs/>
                <w:color w:val="auto"/>
                <w:sz w:val="24"/>
                <w:szCs w:val="24"/>
                <w:highlight w:val="none"/>
                <w:shd w:val="clear" w:color="auto" w:fill="FFFFFF"/>
                <w:vertAlign w:val="baseline"/>
                <w:lang w:val="en-US" w:eastAsia="zh-CN"/>
              </w:rPr>
            </w:pPr>
          </w:p>
        </w:tc>
      </w:tr>
    </w:tbl>
    <w:p w14:paraId="65B23FD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7A30AFC8">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投标人名称：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（加盖公章）</w:t>
      </w:r>
    </w:p>
    <w:p w14:paraId="19FBA2EF">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14:paraId="37D7A23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 xml:space="preserve">备注： </w:t>
      </w:r>
    </w:p>
    <w:p w14:paraId="5AC81D6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1354F19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2.管理关系：是指不具有出资持股关系的其他单位之间存在的管理与被管理关系，如一些上下级关系的事业单位和团体组织。</w:t>
      </w:r>
    </w:p>
    <w:p w14:paraId="34B10BD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3.本表所指的控股、管理关系仅限于直接控股、直接管理关系，不包括间接的控股或管理关系。公司实际控制人与公司之间的关系不属于本表所指的直接控股关系。</w:t>
      </w:r>
    </w:p>
    <w:p w14:paraId="2501ACC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4.投标人如不存在直接控股股东的，则在“直接控股股东名称及出资比例”处填写“无”或“/”。投标人不存在直接管理关系的，则在“直接管理关系单位名称”中填“无”或“/”。</w:t>
      </w:r>
    </w:p>
    <w:p w14:paraId="1712EA81">
      <w:pPr>
        <w:rPr>
          <w:rFonts w:hint="eastAsia" w:hAnsi="宋体" w:cs="宋体"/>
          <w:color w:val="auto"/>
          <w:spacing w:val="4"/>
          <w:szCs w:val="30"/>
          <w:highlight w:val="none"/>
        </w:rPr>
      </w:pPr>
    </w:p>
    <w:p w14:paraId="6B51D211">
      <w:pPr>
        <w:rPr>
          <w:rFonts w:hint="eastAsia" w:hAnsi="宋体" w:cs="宋体"/>
          <w:color w:val="auto"/>
          <w:spacing w:val="4"/>
          <w:szCs w:val="30"/>
          <w:highlight w:val="none"/>
        </w:rPr>
      </w:pPr>
      <w:r>
        <w:rPr>
          <w:rFonts w:hint="eastAsia" w:hAnsi="宋体" w:cs="宋体"/>
          <w:color w:val="auto"/>
          <w:spacing w:val="4"/>
          <w:szCs w:val="30"/>
          <w:highlight w:val="none"/>
        </w:rPr>
        <w:br w:type="page"/>
      </w:r>
    </w:p>
    <w:p w14:paraId="28A3CD8B">
      <w:pPr>
        <w:widowControl/>
        <w:spacing w:line="360" w:lineRule="auto"/>
        <w:rPr>
          <w:rFonts w:hint="default" w:hAnsi="宋体" w:eastAsia="宋体" w:cs="宋体"/>
          <w:b/>
          <w:sz w:val="28"/>
          <w:szCs w:val="28"/>
          <w:lang w:val="en-US" w:eastAsia="zh-CN"/>
        </w:rPr>
      </w:pPr>
      <w:r>
        <w:rPr>
          <w:rFonts w:hint="eastAsia" w:hAnsi="宋体" w:cs="宋体"/>
          <w:b/>
          <w:sz w:val="28"/>
          <w:szCs w:val="28"/>
          <w:lang w:val="en-US" w:eastAsia="zh-CN"/>
        </w:rPr>
        <w:t>附件6：</w:t>
      </w:r>
    </w:p>
    <w:p w14:paraId="494C030C">
      <w:pPr>
        <w:rPr>
          <w:rFonts w:hint="eastAsia" w:hAnsi="宋体" w:cs="宋体"/>
          <w:spacing w:val="4"/>
          <w:szCs w:val="30"/>
        </w:rPr>
      </w:pPr>
    </w:p>
    <w:p w14:paraId="4CE5DF58">
      <w:pPr>
        <w:adjustRightInd w:val="0"/>
        <w:snapToGrid w:val="0"/>
        <w:spacing w:line="360" w:lineRule="auto"/>
        <w:jc w:val="center"/>
        <w:rPr>
          <w:rFonts w:asciiTheme="minorEastAsia" w:hAnsiTheme="minorEastAsia" w:eastAsiaTheme="minorEastAsia" w:cstheme="minorEastAsia"/>
          <w:b/>
          <w:sz w:val="28"/>
          <w:szCs w:val="28"/>
          <w:highlight w:val="none"/>
        </w:rPr>
      </w:pPr>
      <w:bookmarkStart w:id="271" w:name="_Toc29482"/>
    </w:p>
    <w:p w14:paraId="5E15FD46">
      <w:pPr>
        <w:adjustRightInd w:val="0"/>
        <w:snapToGrid w:val="0"/>
        <w:spacing w:line="360" w:lineRule="auto"/>
        <w:jc w:val="center"/>
        <w:rPr>
          <w:rFonts w:hint="default" w:ascii="宋体" w:hAnsi="宋体" w:eastAsia="宋体" w:cs="宋体"/>
          <w:b/>
          <w:sz w:val="28"/>
          <w:szCs w:val="28"/>
          <w:highlight w:val="none"/>
          <w:lang w:val="en-US" w:eastAsia="zh-CN"/>
        </w:rPr>
      </w:pPr>
      <w:r>
        <w:rPr>
          <w:rFonts w:hint="eastAsia" w:ascii="宋体" w:hAnsi="宋体" w:cs="宋体"/>
          <w:b/>
          <w:sz w:val="28"/>
          <w:szCs w:val="28"/>
          <w:highlight w:val="none"/>
          <w:lang w:val="en-US" w:eastAsia="zh-CN"/>
        </w:rPr>
        <w:t>非联合体</w:t>
      </w:r>
      <w:r>
        <w:rPr>
          <w:rFonts w:hint="eastAsia" w:hAnsi="宋体" w:cs="宋体"/>
          <w:b/>
          <w:sz w:val="28"/>
          <w:szCs w:val="28"/>
          <w:highlight w:val="none"/>
          <w:lang w:val="en-US" w:eastAsia="zh-CN"/>
        </w:rPr>
        <w:t>磋商</w:t>
      </w:r>
      <w:r>
        <w:rPr>
          <w:rFonts w:hint="eastAsia" w:ascii="宋体" w:hAnsi="宋体" w:cs="宋体"/>
          <w:b/>
          <w:sz w:val="28"/>
          <w:szCs w:val="28"/>
          <w:highlight w:val="none"/>
          <w:lang w:val="en-US" w:eastAsia="zh-CN"/>
        </w:rPr>
        <w:t>承诺书</w:t>
      </w:r>
    </w:p>
    <w:p w14:paraId="1330F5EF">
      <w:pPr>
        <w:widowControl/>
        <w:spacing w:line="360" w:lineRule="auto"/>
        <w:ind w:left="1"/>
        <w:jc w:val="center"/>
        <w:rPr>
          <w:rFonts w:ascii="宋体" w:hAnsi="宋体" w:cs="宋体"/>
          <w:b/>
          <w:kern w:val="0"/>
          <w:sz w:val="28"/>
          <w:szCs w:val="28"/>
          <w:highlight w:val="none"/>
        </w:rPr>
      </w:pPr>
      <w:r>
        <w:rPr>
          <w:rFonts w:hint="eastAsia" w:ascii="宋体" w:hAnsi="宋体" w:cs="宋体"/>
          <w:b/>
          <w:kern w:val="0"/>
          <w:sz w:val="28"/>
          <w:szCs w:val="28"/>
          <w:highlight w:val="none"/>
        </w:rPr>
        <w:t>（格式）</w:t>
      </w:r>
    </w:p>
    <w:p w14:paraId="14899B70">
      <w:pPr>
        <w:rPr>
          <w:rFonts w:hint="eastAsia" w:asciiTheme="minorEastAsia" w:hAnsiTheme="minorEastAsia" w:eastAsiaTheme="minorEastAsia" w:cstheme="minorEastAsia"/>
          <w:b/>
          <w:sz w:val="28"/>
          <w:szCs w:val="28"/>
          <w:highlight w:val="none"/>
        </w:rPr>
      </w:pPr>
    </w:p>
    <w:p w14:paraId="24BE8FA7">
      <w:pPr>
        <w:bidi w:val="0"/>
        <w:rPr>
          <w:rFonts w:hint="eastAsia"/>
        </w:rPr>
      </w:pPr>
    </w:p>
    <w:p w14:paraId="5B523653">
      <w:pPr>
        <w:keepNext w:val="0"/>
        <w:keepLines w:val="0"/>
        <w:pageBreakBefore w:val="0"/>
        <w:widowControl w:val="0"/>
        <w:kinsoku/>
        <w:wordWrap/>
        <w:overflowPunct/>
        <w:topLinePunct w:val="0"/>
        <w:autoSpaceDE/>
        <w:autoSpaceDN/>
        <w:bidi w:val="0"/>
        <w:spacing w:line="720" w:lineRule="exact"/>
        <w:textAlignment w:val="auto"/>
        <w:rPr>
          <w:rFonts w:ascii="宋体" w:hAnsi="宋体" w:cs="宋体"/>
          <w:spacing w:val="4"/>
          <w:sz w:val="24"/>
          <w:highlight w:val="none"/>
          <w:u w:val="single"/>
        </w:rPr>
      </w:pPr>
      <w:r>
        <w:rPr>
          <w:rFonts w:hint="eastAsia" w:ascii="宋体" w:hAnsi="宋体" w:cs="宋体"/>
          <w:spacing w:val="4"/>
          <w:sz w:val="24"/>
          <w:highlight w:val="none"/>
          <w:u w:val="single"/>
        </w:rPr>
        <w:t xml:space="preserve">     （采购人）    ：</w:t>
      </w:r>
    </w:p>
    <w:p w14:paraId="722491E5">
      <w:pPr>
        <w:pStyle w:val="12"/>
        <w:keepNext w:val="0"/>
        <w:keepLines w:val="0"/>
        <w:pageBreakBefore w:val="0"/>
        <w:widowControl w:val="0"/>
        <w:kinsoku/>
        <w:wordWrap/>
        <w:overflowPunct/>
        <w:topLinePunct w:val="0"/>
        <w:autoSpaceDE/>
        <w:autoSpaceDN/>
        <w:bidi w:val="0"/>
        <w:adjustRightInd w:val="0"/>
        <w:snapToGrid w:val="0"/>
        <w:spacing w:line="720" w:lineRule="exact"/>
        <w:ind w:firstLine="496" w:firstLineChars="200"/>
        <w:textAlignment w:val="auto"/>
        <w:rPr>
          <w:rFonts w:hint="eastAsia" w:hAnsi="宋体"/>
          <w:spacing w:val="4"/>
          <w:sz w:val="24"/>
          <w:szCs w:val="24"/>
          <w:highlight w:val="none"/>
        </w:rPr>
      </w:pPr>
      <w:r>
        <w:rPr>
          <w:rFonts w:hint="eastAsia" w:hAnsi="宋体"/>
          <w:spacing w:val="4"/>
          <w:sz w:val="24"/>
          <w:szCs w:val="24"/>
          <w:highlight w:val="none"/>
        </w:rPr>
        <w:t>我公司郑重承诺，我公司</w:t>
      </w:r>
      <w:r>
        <w:rPr>
          <w:rFonts w:hint="eastAsia" w:hAnsi="宋体"/>
          <w:spacing w:val="4"/>
          <w:sz w:val="24"/>
          <w:szCs w:val="24"/>
          <w:highlight w:val="none"/>
          <w:lang w:val="en-US" w:eastAsia="zh-CN"/>
        </w:rPr>
        <w:t>在本项目磋商中非联合体磋商</w:t>
      </w:r>
      <w:r>
        <w:rPr>
          <w:rFonts w:hint="eastAsia" w:hAnsi="宋体"/>
          <w:spacing w:val="4"/>
          <w:sz w:val="24"/>
          <w:szCs w:val="24"/>
          <w:highlight w:val="none"/>
        </w:rPr>
        <w:t>。</w:t>
      </w:r>
    </w:p>
    <w:p w14:paraId="32E14265">
      <w:pPr>
        <w:pStyle w:val="12"/>
        <w:keepNext w:val="0"/>
        <w:keepLines w:val="0"/>
        <w:pageBreakBefore w:val="0"/>
        <w:widowControl w:val="0"/>
        <w:kinsoku/>
        <w:wordWrap/>
        <w:overflowPunct/>
        <w:topLinePunct w:val="0"/>
        <w:autoSpaceDE/>
        <w:autoSpaceDN/>
        <w:bidi w:val="0"/>
        <w:adjustRightInd w:val="0"/>
        <w:snapToGrid w:val="0"/>
        <w:spacing w:line="720" w:lineRule="exact"/>
        <w:ind w:firstLine="480" w:firstLineChars="200"/>
        <w:textAlignment w:val="auto"/>
        <w:rPr>
          <w:rFonts w:hint="eastAsia" w:hAnsi="宋体"/>
          <w:spacing w:val="4"/>
          <w:sz w:val="24"/>
          <w:szCs w:val="24"/>
          <w:highlight w:val="none"/>
        </w:rPr>
      </w:pPr>
      <w:r>
        <w:rPr>
          <w:rFonts w:hint="eastAsia" w:ascii="宋体" w:hAnsi="宋体" w:cs="宋体"/>
          <w:color w:val="auto"/>
          <w:sz w:val="24"/>
          <w:szCs w:val="24"/>
          <w:highlight w:val="none"/>
          <w:shd w:val="clear" w:color="auto" w:fill="FFFFFF"/>
        </w:rPr>
        <w:t>如有不实，我方将无条件地退出本项目的采购活动，并遵照《</w:t>
      </w:r>
      <w:r>
        <w:rPr>
          <w:rFonts w:hint="eastAsia" w:hAnsi="宋体" w:cs="宋体"/>
          <w:color w:val="auto"/>
          <w:sz w:val="24"/>
          <w:szCs w:val="24"/>
          <w:highlight w:val="none"/>
          <w:shd w:val="clear" w:color="auto" w:fill="FFFFFF"/>
          <w:lang w:val="en-US" w:eastAsia="zh-CN"/>
        </w:rPr>
        <w:t>中华人民共和国</w:t>
      </w:r>
      <w:r>
        <w:rPr>
          <w:rFonts w:hint="eastAsia" w:ascii="宋体" w:hAnsi="宋体" w:cs="宋体"/>
          <w:color w:val="auto"/>
          <w:sz w:val="24"/>
          <w:szCs w:val="24"/>
          <w:highlight w:val="none"/>
          <w:shd w:val="clear" w:color="auto" w:fill="FFFFFF"/>
        </w:rPr>
        <w:t>政府采购法》有关“提供虚假材料的规定”接受处罚。</w:t>
      </w:r>
    </w:p>
    <w:p w14:paraId="187407F6">
      <w:pPr>
        <w:pStyle w:val="12"/>
        <w:adjustRightInd w:val="0"/>
        <w:snapToGrid w:val="0"/>
        <w:spacing w:line="720" w:lineRule="exact"/>
        <w:rPr>
          <w:rFonts w:hAnsi="宋体"/>
          <w:spacing w:val="4"/>
          <w:sz w:val="24"/>
          <w:szCs w:val="24"/>
          <w:highlight w:val="none"/>
        </w:rPr>
      </w:pPr>
    </w:p>
    <w:p w14:paraId="6D8ACD61">
      <w:pPr>
        <w:pStyle w:val="12"/>
        <w:adjustRightInd w:val="0"/>
        <w:snapToGrid w:val="0"/>
        <w:spacing w:line="720" w:lineRule="exact"/>
        <w:rPr>
          <w:rFonts w:hAnsi="宋体"/>
          <w:spacing w:val="4"/>
          <w:sz w:val="24"/>
          <w:szCs w:val="24"/>
          <w:highlight w:val="none"/>
        </w:rPr>
      </w:pPr>
    </w:p>
    <w:p w14:paraId="7AF2AEE0">
      <w:pPr>
        <w:spacing w:line="480" w:lineRule="auto"/>
        <w:ind w:firstLine="3360" w:firstLineChars="1400"/>
        <w:jc w:val="right"/>
        <w:rPr>
          <w:rFonts w:ascii="宋体" w:hAnsi="宋体" w:cs="宋体"/>
          <w:sz w:val="24"/>
          <w:highlight w:val="none"/>
        </w:rPr>
      </w:pPr>
      <w:r>
        <w:rPr>
          <w:rFonts w:hint="eastAsia" w:ascii="宋体" w:hAnsi="宋体" w:cs="宋体"/>
          <w:sz w:val="24"/>
          <w:highlight w:val="none"/>
        </w:rPr>
        <w:t>供应商名称：</w:t>
      </w:r>
      <w:r>
        <w:rPr>
          <w:rFonts w:hint="eastAsia" w:ascii="宋体" w:hAnsi="宋体" w:cs="宋体"/>
          <w:sz w:val="24"/>
          <w:highlight w:val="none"/>
          <w:u w:val="single"/>
        </w:rPr>
        <w:t xml:space="preserve">               </w:t>
      </w:r>
      <w:r>
        <w:rPr>
          <w:rFonts w:hint="eastAsia" w:ascii="宋体" w:hAnsi="宋体" w:cs="宋体"/>
          <w:sz w:val="24"/>
          <w:highlight w:val="none"/>
        </w:rPr>
        <w:t>（盖章）</w:t>
      </w:r>
    </w:p>
    <w:p w14:paraId="486EBADF">
      <w:pPr>
        <w:pStyle w:val="36"/>
        <w:spacing w:beforeLines="50"/>
        <w:ind w:firstLine="3360" w:firstLineChars="1400"/>
        <w:jc w:val="right"/>
        <w:rPr>
          <w:rFonts w:ascii="宋体" w:hAnsi="宋体" w:cs="宋体"/>
          <w:sz w:val="24"/>
          <w:szCs w:val="24"/>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56796A02">
      <w:pPr>
        <w:rPr>
          <w:rFonts w:hint="eastAsia" w:hAnsi="宋体" w:cs="宋体"/>
          <w:b/>
          <w:bCs/>
          <w:spacing w:val="6"/>
          <w:sz w:val="30"/>
          <w:szCs w:val="30"/>
        </w:rPr>
      </w:pPr>
    </w:p>
    <w:p w14:paraId="2972C702">
      <w:pPr>
        <w:rPr>
          <w:rFonts w:hint="eastAsia" w:hAnsi="宋体" w:cs="宋体"/>
          <w:b/>
          <w:bCs/>
          <w:spacing w:val="6"/>
          <w:sz w:val="30"/>
          <w:szCs w:val="30"/>
        </w:rPr>
      </w:pPr>
      <w:r>
        <w:rPr>
          <w:rFonts w:hint="eastAsia" w:hAnsi="宋体" w:cs="宋体"/>
          <w:b/>
          <w:bCs/>
          <w:spacing w:val="6"/>
          <w:sz w:val="30"/>
          <w:szCs w:val="30"/>
        </w:rPr>
        <w:br w:type="page"/>
      </w:r>
    </w:p>
    <w:p w14:paraId="5BE89284">
      <w:pPr>
        <w:spacing w:before="100" w:beforeAutospacing="1" w:afterLines="50" w:line="360" w:lineRule="auto"/>
        <w:outlineLvl w:val="9"/>
        <w:rPr>
          <w:rFonts w:hAnsi="宋体" w:cs="宋体"/>
          <w:b/>
          <w:bCs/>
          <w:color w:val="auto"/>
          <w:spacing w:val="6"/>
          <w:sz w:val="30"/>
          <w:szCs w:val="30"/>
          <w:highlight w:val="none"/>
        </w:rPr>
      </w:pPr>
      <w:r>
        <w:rPr>
          <w:rFonts w:hint="eastAsia" w:hAnsi="宋体" w:cs="宋体"/>
          <w:b/>
          <w:bCs/>
          <w:spacing w:val="6"/>
          <w:sz w:val="30"/>
          <w:szCs w:val="30"/>
        </w:rPr>
        <w:t>附件</w:t>
      </w:r>
      <w:r>
        <w:rPr>
          <w:rFonts w:hint="eastAsia" w:hAnsi="宋体" w:cs="宋体"/>
          <w:b/>
          <w:bCs/>
          <w:spacing w:val="6"/>
          <w:sz w:val="30"/>
          <w:szCs w:val="30"/>
          <w:lang w:val="en-US" w:eastAsia="zh-CN"/>
        </w:rPr>
        <w:t>7</w:t>
      </w:r>
      <w:r>
        <w:rPr>
          <w:rFonts w:hint="eastAsia" w:hAnsi="宋体" w:cs="宋体"/>
          <w:b/>
          <w:bCs/>
          <w:spacing w:val="6"/>
          <w:sz w:val="30"/>
          <w:szCs w:val="30"/>
        </w:rPr>
        <w:t>：中小企业声明函</w:t>
      </w:r>
      <w:bookmarkEnd w:id="269"/>
      <w:bookmarkEnd w:id="270"/>
      <w:bookmarkEnd w:id="271"/>
      <w:r>
        <w:rPr>
          <w:rFonts w:hint="eastAsia" w:hAnsi="宋体" w:cs="宋体"/>
          <w:b/>
          <w:bCs/>
          <w:color w:val="auto"/>
          <w:spacing w:val="6"/>
          <w:sz w:val="30"/>
          <w:szCs w:val="30"/>
          <w:highlight w:val="none"/>
        </w:rPr>
        <w:t>（如有）</w:t>
      </w:r>
    </w:p>
    <w:p w14:paraId="680BBB43">
      <w:pPr>
        <w:spacing w:beforeLines="50" w:afterLines="50" w:line="360" w:lineRule="auto"/>
        <w:jc w:val="center"/>
        <w:rPr>
          <w:rFonts w:hint="eastAsia" w:hAnsi="宋体" w:cs="宋体"/>
          <w:b/>
          <w:sz w:val="28"/>
          <w:szCs w:val="28"/>
        </w:rPr>
      </w:pPr>
    </w:p>
    <w:p w14:paraId="23C42802">
      <w:pPr>
        <w:spacing w:beforeLines="50" w:afterLines="50" w:line="360" w:lineRule="auto"/>
        <w:jc w:val="center"/>
        <w:rPr>
          <w:rFonts w:hAnsi="宋体" w:cs="宋体"/>
          <w:szCs w:val="24"/>
        </w:rPr>
      </w:pPr>
      <w:r>
        <w:rPr>
          <w:rFonts w:hint="eastAsia" w:hAnsi="宋体" w:cs="宋体"/>
          <w:b/>
          <w:sz w:val="28"/>
          <w:szCs w:val="28"/>
        </w:rPr>
        <w:t>中小企业声明函</w:t>
      </w:r>
    </w:p>
    <w:p w14:paraId="4B93E66C">
      <w:pPr>
        <w:tabs>
          <w:tab w:val="left" w:pos="1620"/>
          <w:tab w:val="left" w:pos="1800"/>
        </w:tabs>
        <w:spacing w:line="500" w:lineRule="exact"/>
        <w:ind w:firstLine="480" w:firstLineChars="200"/>
        <w:rPr>
          <w:rFonts w:hAnsi="宋体" w:cs="宋体"/>
          <w:szCs w:val="24"/>
        </w:rPr>
      </w:pPr>
      <w:r>
        <w:rPr>
          <w:rFonts w:hint="eastAsia" w:hAnsi="宋体" w:cs="宋体"/>
          <w:szCs w:val="24"/>
        </w:rPr>
        <w:t>本公司郑重声明，根据《政府采购促进中小企业发展管理办法》（财库﹝2020﹞46 号）的规定，本公司参加</w:t>
      </w:r>
      <w:r>
        <w:rPr>
          <w:rFonts w:hint="eastAsia" w:hAnsi="宋体" w:cs="宋体"/>
          <w:szCs w:val="24"/>
          <w:u w:val="single"/>
        </w:rPr>
        <w:t>（单位名称）</w:t>
      </w:r>
      <w:r>
        <w:rPr>
          <w:rFonts w:hint="eastAsia" w:hAnsi="宋体" w:cs="宋体"/>
          <w:szCs w:val="24"/>
        </w:rPr>
        <w:t>的</w:t>
      </w:r>
      <w:r>
        <w:rPr>
          <w:rFonts w:hint="eastAsia" w:hAnsi="宋体" w:cs="宋体"/>
          <w:szCs w:val="24"/>
          <w:u w:val="single"/>
        </w:rPr>
        <w:t>（项目名称）</w:t>
      </w:r>
      <w:r>
        <w:rPr>
          <w:rFonts w:hint="eastAsia" w:hAnsi="宋体" w:cs="宋体"/>
          <w:szCs w:val="24"/>
        </w:rPr>
        <w:t>采购活动，工程的施工单位全部为符合政策要求的中小企业（或者：服务全部由符合政策要求的中小企业承接）。相关企业的具体情况如下：</w:t>
      </w:r>
    </w:p>
    <w:p w14:paraId="47CE6458">
      <w:pPr>
        <w:tabs>
          <w:tab w:val="left" w:pos="1620"/>
          <w:tab w:val="left" w:pos="1800"/>
        </w:tabs>
        <w:spacing w:line="500" w:lineRule="exact"/>
        <w:ind w:firstLine="480" w:firstLineChars="200"/>
        <w:rPr>
          <w:rFonts w:hAnsi="宋体" w:cs="宋体"/>
          <w:szCs w:val="24"/>
        </w:rPr>
      </w:pPr>
      <w:r>
        <w:rPr>
          <w:rFonts w:hint="eastAsia" w:hAnsi="宋体" w:cs="宋体"/>
          <w:szCs w:val="24"/>
        </w:rPr>
        <w:t>1.</w:t>
      </w:r>
      <w:r>
        <w:rPr>
          <w:rFonts w:hint="eastAsia" w:hAnsi="宋体" w:cs="宋体"/>
          <w:szCs w:val="24"/>
          <w:u w:val="single"/>
        </w:rPr>
        <w:t>（标的名称）</w:t>
      </w:r>
      <w:r>
        <w:rPr>
          <w:rFonts w:hint="eastAsia" w:hAnsi="宋体" w:cs="宋体"/>
          <w:szCs w:val="24"/>
        </w:rPr>
        <w:t>，属于</w:t>
      </w:r>
      <w:r>
        <w:rPr>
          <w:rFonts w:hint="eastAsia" w:hAnsi="宋体" w:cs="宋体"/>
          <w:szCs w:val="24"/>
          <w:u w:val="single"/>
        </w:rPr>
        <w:t>（采购文件中明确的所属行业）</w:t>
      </w:r>
      <w:r>
        <w:rPr>
          <w:rFonts w:hint="eastAsia" w:hAnsi="宋体" w:cs="宋体"/>
          <w:szCs w:val="24"/>
        </w:rPr>
        <w:t>；承建（承接）企业为</w:t>
      </w:r>
      <w:r>
        <w:rPr>
          <w:rFonts w:hint="eastAsia" w:hAnsi="宋体" w:cs="宋体"/>
          <w:szCs w:val="24"/>
          <w:u w:val="single"/>
        </w:rPr>
        <w:t>（企业名称）</w:t>
      </w:r>
      <w:r>
        <w:rPr>
          <w:rFonts w:hint="eastAsia" w:hAnsi="宋体" w:cs="宋体"/>
          <w:szCs w:val="24"/>
        </w:rPr>
        <w:t>，从业人员</w:t>
      </w:r>
      <w:r>
        <w:rPr>
          <w:rFonts w:hint="eastAsia" w:hAnsi="宋体" w:cs="宋体"/>
          <w:szCs w:val="24"/>
          <w:u w:val="single"/>
        </w:rPr>
        <w:tab/>
      </w:r>
      <w:r>
        <w:rPr>
          <w:rFonts w:hint="eastAsia" w:hAnsi="宋体" w:cs="宋体"/>
          <w:szCs w:val="24"/>
        </w:rPr>
        <w:t>人，营业收入</w:t>
      </w:r>
      <w:r>
        <w:rPr>
          <w:rFonts w:hint="eastAsia" w:hAnsi="宋体" w:cs="宋体"/>
          <w:szCs w:val="24"/>
          <w:u w:val="single"/>
        </w:rPr>
        <w:t xml:space="preserve">为 </w:t>
      </w:r>
      <w:r>
        <w:rPr>
          <w:rFonts w:hint="eastAsia" w:hAnsi="宋体" w:cs="宋体"/>
          <w:szCs w:val="24"/>
          <w:u w:val="single"/>
        </w:rPr>
        <w:tab/>
      </w:r>
      <w:r>
        <w:rPr>
          <w:rFonts w:hint="eastAsia" w:hAnsi="宋体" w:cs="宋体"/>
          <w:szCs w:val="24"/>
        </w:rPr>
        <w:t>万元，资产总额为万元，属于</w:t>
      </w:r>
      <w:r>
        <w:rPr>
          <w:rFonts w:hint="eastAsia" w:hAnsi="宋体" w:cs="宋体"/>
          <w:szCs w:val="24"/>
          <w:u w:val="single"/>
        </w:rPr>
        <w:t>（中型企业、小型企业、微型企业）</w:t>
      </w:r>
      <w:r>
        <w:rPr>
          <w:rFonts w:hint="eastAsia" w:hAnsi="宋体" w:cs="宋体"/>
          <w:szCs w:val="24"/>
        </w:rPr>
        <w:t>；</w:t>
      </w:r>
    </w:p>
    <w:p w14:paraId="7FC01528">
      <w:pPr>
        <w:tabs>
          <w:tab w:val="left" w:pos="1620"/>
          <w:tab w:val="left" w:pos="1800"/>
        </w:tabs>
        <w:spacing w:line="500" w:lineRule="exact"/>
        <w:ind w:firstLine="480" w:firstLineChars="200"/>
        <w:rPr>
          <w:rFonts w:hAnsi="宋体" w:cs="宋体"/>
          <w:szCs w:val="24"/>
        </w:rPr>
      </w:pPr>
      <w:r>
        <w:rPr>
          <w:rFonts w:hint="eastAsia" w:hAnsi="宋体" w:cs="宋体"/>
          <w:szCs w:val="24"/>
        </w:rPr>
        <w:t>2.</w:t>
      </w:r>
      <w:r>
        <w:rPr>
          <w:rFonts w:hint="eastAsia" w:hAnsi="宋体" w:cs="宋体"/>
          <w:szCs w:val="24"/>
          <w:u w:val="single"/>
        </w:rPr>
        <w:t>（标的名称）</w:t>
      </w:r>
      <w:r>
        <w:rPr>
          <w:rFonts w:hint="eastAsia" w:hAnsi="宋体" w:cs="宋体"/>
          <w:szCs w:val="24"/>
        </w:rPr>
        <w:t>，属于</w:t>
      </w:r>
      <w:r>
        <w:rPr>
          <w:rFonts w:hint="eastAsia" w:hAnsi="宋体" w:cs="宋体"/>
          <w:szCs w:val="24"/>
          <w:u w:val="single"/>
        </w:rPr>
        <w:t>（采购文件中明确的所属行业</w:t>
      </w:r>
      <w:r>
        <w:rPr>
          <w:rFonts w:hint="eastAsia" w:hAnsi="宋体" w:cs="宋体"/>
          <w:szCs w:val="24"/>
        </w:rPr>
        <w:t>）；承建（承接）企业为</w:t>
      </w:r>
      <w:r>
        <w:rPr>
          <w:rFonts w:hint="eastAsia" w:hAnsi="宋体" w:cs="宋体"/>
          <w:szCs w:val="24"/>
          <w:u w:val="single"/>
        </w:rPr>
        <w:t>（企业名称）</w:t>
      </w:r>
      <w:r>
        <w:rPr>
          <w:rFonts w:hint="eastAsia" w:hAnsi="宋体" w:cs="宋体"/>
          <w:szCs w:val="24"/>
        </w:rPr>
        <w:t>，从业人员</w:t>
      </w:r>
      <w:r>
        <w:rPr>
          <w:rFonts w:hint="eastAsia" w:hAnsi="宋体" w:cs="宋体"/>
          <w:szCs w:val="24"/>
          <w:u w:val="single"/>
        </w:rPr>
        <w:tab/>
      </w:r>
      <w:r>
        <w:rPr>
          <w:rFonts w:hint="eastAsia" w:hAnsi="宋体" w:cs="宋体"/>
          <w:szCs w:val="24"/>
        </w:rPr>
        <w:t>人，营业收入为</w:t>
      </w:r>
      <w:r>
        <w:rPr>
          <w:rFonts w:hint="eastAsia" w:hAnsi="宋体" w:cs="宋体"/>
          <w:szCs w:val="24"/>
          <w:u w:val="single"/>
        </w:rPr>
        <w:tab/>
      </w:r>
      <w:r>
        <w:rPr>
          <w:rFonts w:hint="eastAsia" w:hAnsi="宋体" w:cs="宋体"/>
          <w:szCs w:val="24"/>
        </w:rPr>
        <w:t>万元，资产总额为</w:t>
      </w:r>
      <w:r>
        <w:rPr>
          <w:rFonts w:hint="eastAsia" w:hAnsi="宋体" w:cs="宋体"/>
          <w:szCs w:val="24"/>
          <w:u w:val="single"/>
        </w:rPr>
        <w:tab/>
      </w:r>
      <w:r>
        <w:rPr>
          <w:rFonts w:hint="eastAsia" w:hAnsi="宋体" w:cs="宋体"/>
          <w:szCs w:val="24"/>
        </w:rPr>
        <w:t>万元，属于</w:t>
      </w:r>
      <w:r>
        <w:rPr>
          <w:rFonts w:hint="eastAsia" w:hAnsi="宋体" w:cs="宋体"/>
          <w:szCs w:val="24"/>
          <w:u w:val="single"/>
        </w:rPr>
        <w:t>（中型企业、小型企业、微型企业）</w:t>
      </w:r>
      <w:r>
        <w:rPr>
          <w:rFonts w:hint="eastAsia" w:hAnsi="宋体" w:cs="宋体"/>
          <w:szCs w:val="24"/>
        </w:rPr>
        <w:t>；</w:t>
      </w:r>
    </w:p>
    <w:p w14:paraId="189F7A07">
      <w:pPr>
        <w:tabs>
          <w:tab w:val="left" w:pos="1620"/>
          <w:tab w:val="left" w:pos="1800"/>
        </w:tabs>
        <w:spacing w:line="500" w:lineRule="exact"/>
        <w:rPr>
          <w:rFonts w:hAnsi="宋体" w:cs="宋体"/>
          <w:szCs w:val="24"/>
        </w:rPr>
      </w:pPr>
      <w:r>
        <w:rPr>
          <w:rFonts w:hint="eastAsia" w:hAnsi="宋体" w:cs="宋体"/>
          <w:szCs w:val="24"/>
        </w:rPr>
        <w:t>……</w:t>
      </w:r>
    </w:p>
    <w:p w14:paraId="0B42A610">
      <w:pPr>
        <w:tabs>
          <w:tab w:val="left" w:pos="1620"/>
          <w:tab w:val="left" w:pos="1800"/>
        </w:tabs>
        <w:spacing w:line="500" w:lineRule="exact"/>
        <w:ind w:firstLine="480" w:firstLineChars="200"/>
        <w:rPr>
          <w:rFonts w:hAnsi="宋体" w:cs="宋体"/>
          <w:szCs w:val="24"/>
        </w:rPr>
      </w:pPr>
      <w:r>
        <w:rPr>
          <w:rFonts w:hint="eastAsia" w:hAnsi="宋体" w:cs="宋体"/>
          <w:szCs w:val="24"/>
        </w:rPr>
        <w:t>以上企业，不属于大企业的分支机构，不存在控股股东为大企业的情形，也不存在与大企业的负责人为同一人的情形。</w:t>
      </w:r>
    </w:p>
    <w:p w14:paraId="0BE24AF2">
      <w:pPr>
        <w:tabs>
          <w:tab w:val="left" w:pos="1620"/>
          <w:tab w:val="left" w:pos="1800"/>
        </w:tabs>
        <w:spacing w:line="500" w:lineRule="exact"/>
        <w:ind w:firstLine="480" w:firstLineChars="200"/>
        <w:rPr>
          <w:rFonts w:hAnsi="宋体" w:cs="宋体"/>
          <w:szCs w:val="24"/>
        </w:rPr>
      </w:pPr>
      <w:r>
        <w:rPr>
          <w:rFonts w:hint="eastAsia" w:hAnsi="宋体" w:cs="宋体"/>
          <w:szCs w:val="24"/>
        </w:rPr>
        <w:t>本企业对上述声明内容的真实性负责。如有虚假，将依法承担相应责任。</w:t>
      </w:r>
    </w:p>
    <w:p w14:paraId="26603F9F">
      <w:pPr>
        <w:tabs>
          <w:tab w:val="left" w:pos="1620"/>
          <w:tab w:val="left" w:pos="1800"/>
        </w:tabs>
        <w:spacing w:line="500" w:lineRule="exact"/>
        <w:rPr>
          <w:rFonts w:hAnsi="宋体" w:cs="宋体"/>
          <w:szCs w:val="24"/>
        </w:rPr>
      </w:pPr>
    </w:p>
    <w:p w14:paraId="1D82805C">
      <w:pPr>
        <w:tabs>
          <w:tab w:val="left" w:pos="1620"/>
          <w:tab w:val="left" w:pos="1800"/>
        </w:tabs>
        <w:spacing w:line="500" w:lineRule="exact"/>
        <w:rPr>
          <w:rFonts w:hAnsi="宋体" w:cs="宋体"/>
          <w:szCs w:val="24"/>
        </w:rPr>
      </w:pPr>
    </w:p>
    <w:p w14:paraId="7BB23A4A">
      <w:pPr>
        <w:tabs>
          <w:tab w:val="left" w:pos="1620"/>
          <w:tab w:val="left" w:pos="1800"/>
        </w:tabs>
        <w:spacing w:line="500" w:lineRule="exact"/>
        <w:ind w:firstLine="4800" w:firstLineChars="2000"/>
        <w:rPr>
          <w:rFonts w:hAnsi="宋体" w:cs="宋体"/>
          <w:szCs w:val="24"/>
        </w:rPr>
      </w:pPr>
      <w:r>
        <w:rPr>
          <w:rFonts w:hint="eastAsia" w:hAnsi="宋体" w:cs="宋体"/>
          <w:szCs w:val="24"/>
        </w:rPr>
        <w:t>企业名称（盖章）：</w:t>
      </w:r>
    </w:p>
    <w:p w14:paraId="54E0E2D8">
      <w:pPr>
        <w:tabs>
          <w:tab w:val="left" w:pos="1620"/>
          <w:tab w:val="left" w:pos="1800"/>
        </w:tabs>
        <w:spacing w:line="500" w:lineRule="exact"/>
        <w:ind w:firstLine="4800" w:firstLineChars="2000"/>
        <w:rPr>
          <w:rFonts w:hAnsi="宋体" w:cs="宋体"/>
          <w:szCs w:val="24"/>
        </w:rPr>
      </w:pPr>
      <w:r>
        <w:rPr>
          <w:rFonts w:hint="eastAsia" w:hAnsi="宋体" w:cs="宋体"/>
          <w:szCs w:val="24"/>
        </w:rPr>
        <w:t>日期：</w:t>
      </w:r>
    </w:p>
    <w:p w14:paraId="6A6DBEA2">
      <w:pPr>
        <w:jc w:val="left"/>
        <w:rPr>
          <w:rFonts w:hAnsi="宋体" w:cs="宋体"/>
          <w:b/>
          <w:bCs/>
          <w:spacing w:val="4"/>
          <w:szCs w:val="24"/>
        </w:rPr>
      </w:pPr>
    </w:p>
    <w:p w14:paraId="6D2B1C2F">
      <w:pPr>
        <w:rPr>
          <w:rFonts w:hAnsi="宋体" w:cs="宋体"/>
          <w:b/>
          <w:color w:val="auto"/>
          <w:sz w:val="28"/>
          <w:szCs w:val="28"/>
          <w:highlight w:val="none"/>
        </w:rPr>
      </w:pPr>
    </w:p>
    <w:p w14:paraId="7FA6A44E">
      <w:pPr>
        <w:rPr>
          <w:rFonts w:hint="eastAsia" w:hAnsi="宋体" w:cs="宋体"/>
          <w:b/>
          <w:color w:val="auto"/>
          <w:sz w:val="28"/>
          <w:szCs w:val="28"/>
          <w:highlight w:val="none"/>
        </w:rPr>
      </w:pPr>
      <w:bookmarkStart w:id="272" w:name="_Toc12704"/>
      <w:bookmarkStart w:id="273" w:name="_Toc5964"/>
      <w:bookmarkStart w:id="274" w:name="_Toc8863"/>
      <w:bookmarkStart w:id="275" w:name="_Toc13530"/>
      <w:bookmarkStart w:id="276" w:name="_Toc10758"/>
      <w:r>
        <w:rPr>
          <w:rFonts w:hint="eastAsia" w:hAnsi="宋体" w:cs="宋体"/>
          <w:b/>
          <w:color w:val="auto"/>
          <w:sz w:val="28"/>
          <w:szCs w:val="28"/>
          <w:highlight w:val="none"/>
        </w:rPr>
        <w:br w:type="page"/>
      </w:r>
    </w:p>
    <w:p w14:paraId="7F6D4D06">
      <w:pPr>
        <w:spacing w:beforeLines="100" w:afterLines="50"/>
        <w:outlineLvl w:val="9"/>
        <w:rPr>
          <w:rFonts w:hAnsi="宋体" w:cs="宋体"/>
          <w:b/>
          <w:color w:val="auto"/>
          <w:sz w:val="28"/>
          <w:szCs w:val="28"/>
          <w:highlight w:val="none"/>
        </w:rPr>
      </w:pPr>
      <w:r>
        <w:rPr>
          <w:rFonts w:hint="eastAsia" w:hAnsi="宋体" w:cs="宋体"/>
          <w:b/>
          <w:color w:val="auto"/>
          <w:sz w:val="28"/>
          <w:szCs w:val="28"/>
          <w:highlight w:val="none"/>
        </w:rPr>
        <w:t>附件</w:t>
      </w:r>
      <w:r>
        <w:rPr>
          <w:rFonts w:hint="eastAsia" w:hAnsi="宋体" w:cs="宋体"/>
          <w:b/>
          <w:color w:val="auto"/>
          <w:sz w:val="28"/>
          <w:szCs w:val="28"/>
          <w:highlight w:val="none"/>
          <w:lang w:val="en-US" w:eastAsia="zh-CN"/>
        </w:rPr>
        <w:t>8</w:t>
      </w:r>
      <w:r>
        <w:rPr>
          <w:rFonts w:hint="eastAsia" w:hAnsi="宋体" w:cs="宋体"/>
          <w:b/>
          <w:color w:val="auto"/>
          <w:sz w:val="28"/>
          <w:szCs w:val="28"/>
          <w:highlight w:val="none"/>
        </w:rPr>
        <w:t>：磋商产品属节能、环境标志产品列表（如有）</w:t>
      </w:r>
      <w:bookmarkEnd w:id="272"/>
      <w:bookmarkEnd w:id="273"/>
      <w:bookmarkEnd w:id="274"/>
      <w:bookmarkEnd w:id="275"/>
      <w:bookmarkEnd w:id="276"/>
    </w:p>
    <w:p w14:paraId="6260569F">
      <w:pPr>
        <w:spacing w:beforeLines="100" w:afterLines="50"/>
        <w:jc w:val="center"/>
        <w:rPr>
          <w:rFonts w:hAnsi="宋体" w:cs="宋体"/>
          <w:b/>
          <w:color w:val="auto"/>
          <w:sz w:val="28"/>
          <w:szCs w:val="28"/>
          <w:highlight w:val="none"/>
        </w:rPr>
      </w:pPr>
      <w:r>
        <w:rPr>
          <w:rFonts w:hint="eastAsia" w:hAnsi="宋体" w:cs="宋体"/>
          <w:b/>
          <w:color w:val="auto"/>
          <w:sz w:val="28"/>
          <w:szCs w:val="28"/>
          <w:highlight w:val="none"/>
        </w:rPr>
        <w:t>磋商产品属节能、环境标志产品列表</w:t>
      </w:r>
      <w:bookmarkEnd w:id="268"/>
    </w:p>
    <w:p w14:paraId="7105BCE5">
      <w:pPr>
        <w:spacing w:line="360" w:lineRule="auto"/>
        <w:rPr>
          <w:rFonts w:hAnsi="宋体" w:cs="宋体"/>
          <w:bCs/>
          <w:color w:val="auto"/>
          <w:szCs w:val="24"/>
          <w:highlight w:val="none"/>
        </w:rPr>
      </w:pPr>
      <w:r>
        <w:rPr>
          <w:rFonts w:hint="eastAsia" w:hAnsi="宋体" w:cs="宋体"/>
          <w:bCs/>
          <w:color w:val="auto"/>
          <w:szCs w:val="24"/>
          <w:highlight w:val="none"/>
        </w:rPr>
        <w:t>项目名称：</w:t>
      </w:r>
    </w:p>
    <w:p w14:paraId="4D2D4241">
      <w:pPr>
        <w:spacing w:line="360" w:lineRule="auto"/>
        <w:rPr>
          <w:rFonts w:hAnsi="宋体" w:cs="宋体"/>
          <w:bCs/>
          <w:color w:val="auto"/>
          <w:szCs w:val="24"/>
          <w:highlight w:val="none"/>
        </w:rPr>
      </w:pPr>
      <w:r>
        <w:rPr>
          <w:rFonts w:hint="eastAsia" w:hAnsi="宋体" w:cs="宋体"/>
          <w:bCs/>
          <w:color w:val="auto"/>
          <w:szCs w:val="24"/>
          <w:highlight w:val="none"/>
        </w:rPr>
        <w:t>项目编号：</w:t>
      </w:r>
    </w:p>
    <w:tbl>
      <w:tblPr>
        <w:tblStyle w:val="22"/>
        <w:tblW w:w="0" w:type="auto"/>
        <w:tblInd w:w="0" w:type="dxa"/>
        <w:tblLayout w:type="fixed"/>
        <w:tblCellMar>
          <w:top w:w="0" w:type="dxa"/>
          <w:left w:w="28" w:type="dxa"/>
          <w:bottom w:w="0" w:type="dxa"/>
          <w:right w:w="28" w:type="dxa"/>
        </w:tblCellMar>
      </w:tblPr>
      <w:tblGrid>
        <w:gridCol w:w="886"/>
        <w:gridCol w:w="1863"/>
        <w:gridCol w:w="2250"/>
        <w:gridCol w:w="1311"/>
        <w:gridCol w:w="1307"/>
        <w:gridCol w:w="1313"/>
      </w:tblGrid>
      <w:tr w14:paraId="27ED406A">
        <w:tblPrEx>
          <w:tblCellMar>
            <w:top w:w="0" w:type="dxa"/>
            <w:left w:w="28" w:type="dxa"/>
            <w:bottom w:w="0" w:type="dxa"/>
            <w:right w:w="28" w:type="dxa"/>
          </w:tblCellMar>
        </w:tblPrEx>
        <w:trPr>
          <w:trHeight w:val="911" w:hRule="atLeast"/>
        </w:trPr>
        <w:tc>
          <w:tcPr>
            <w:tcW w:w="886" w:type="dxa"/>
            <w:tcBorders>
              <w:top w:val="single" w:color="auto" w:sz="6" w:space="0"/>
              <w:left w:val="single" w:color="auto" w:sz="4" w:space="0"/>
              <w:bottom w:val="single" w:color="auto" w:sz="6" w:space="0"/>
            </w:tcBorders>
            <w:vAlign w:val="center"/>
          </w:tcPr>
          <w:p w14:paraId="24A85622">
            <w:pPr>
              <w:spacing w:after="120"/>
              <w:jc w:val="center"/>
              <w:rPr>
                <w:rFonts w:hAnsi="宋体" w:cs="宋体"/>
                <w:color w:val="auto"/>
                <w:highlight w:val="none"/>
              </w:rPr>
            </w:pPr>
            <w:r>
              <w:rPr>
                <w:rFonts w:hint="eastAsia" w:hAnsi="宋体" w:cs="宋体"/>
                <w:color w:val="auto"/>
                <w:highlight w:val="none"/>
              </w:rPr>
              <w:t>序号</w:t>
            </w:r>
          </w:p>
        </w:tc>
        <w:tc>
          <w:tcPr>
            <w:tcW w:w="1863" w:type="dxa"/>
            <w:tcBorders>
              <w:top w:val="single" w:color="auto" w:sz="6" w:space="0"/>
              <w:left w:val="single" w:color="auto" w:sz="6" w:space="0"/>
              <w:bottom w:val="single" w:color="auto" w:sz="6" w:space="0"/>
              <w:right w:val="single" w:color="auto" w:sz="6" w:space="0"/>
            </w:tcBorders>
            <w:vAlign w:val="center"/>
          </w:tcPr>
          <w:p w14:paraId="55E1EF47">
            <w:pPr>
              <w:spacing w:after="120"/>
              <w:jc w:val="center"/>
              <w:rPr>
                <w:rFonts w:hAnsi="宋体" w:cs="宋体"/>
                <w:color w:val="auto"/>
                <w:highlight w:val="none"/>
              </w:rPr>
            </w:pPr>
            <w:r>
              <w:rPr>
                <w:rFonts w:hint="eastAsia" w:hAnsi="宋体" w:cs="宋体"/>
                <w:color w:val="auto"/>
                <w:highlight w:val="none"/>
              </w:rPr>
              <w:t>名称</w:t>
            </w:r>
          </w:p>
        </w:tc>
        <w:tc>
          <w:tcPr>
            <w:tcW w:w="2250" w:type="dxa"/>
            <w:tcBorders>
              <w:top w:val="single" w:color="auto" w:sz="6" w:space="0"/>
              <w:left w:val="single" w:color="auto" w:sz="6" w:space="0"/>
              <w:bottom w:val="single" w:color="auto" w:sz="6" w:space="0"/>
              <w:right w:val="single" w:color="auto" w:sz="6" w:space="0"/>
            </w:tcBorders>
            <w:vAlign w:val="center"/>
          </w:tcPr>
          <w:p w14:paraId="7630768B">
            <w:pPr>
              <w:spacing w:beforeLines="50" w:after="120"/>
              <w:jc w:val="center"/>
              <w:rPr>
                <w:rFonts w:hAnsi="宋体" w:cs="宋体"/>
                <w:color w:val="auto"/>
                <w:highlight w:val="none"/>
              </w:rPr>
            </w:pPr>
            <w:r>
              <w:rPr>
                <w:rFonts w:hint="eastAsia" w:hAnsi="宋体" w:cs="宋体"/>
                <w:color w:val="auto"/>
                <w:highlight w:val="none"/>
              </w:rPr>
              <w:t>型号和规格</w:t>
            </w:r>
          </w:p>
        </w:tc>
        <w:tc>
          <w:tcPr>
            <w:tcW w:w="1311" w:type="dxa"/>
            <w:tcBorders>
              <w:top w:val="single" w:color="auto" w:sz="6" w:space="0"/>
              <w:left w:val="single" w:color="auto" w:sz="6" w:space="0"/>
              <w:bottom w:val="single" w:color="auto" w:sz="6" w:space="0"/>
              <w:right w:val="single" w:color="auto" w:sz="6" w:space="0"/>
            </w:tcBorders>
            <w:vAlign w:val="center"/>
          </w:tcPr>
          <w:p w14:paraId="52BDF663">
            <w:pPr>
              <w:spacing w:after="120"/>
              <w:jc w:val="center"/>
              <w:rPr>
                <w:rFonts w:hAnsi="宋体" w:cs="宋体"/>
                <w:color w:val="auto"/>
                <w:highlight w:val="none"/>
              </w:rPr>
            </w:pPr>
            <w:r>
              <w:rPr>
                <w:rFonts w:hint="eastAsia" w:hAnsi="宋体" w:cs="宋体"/>
                <w:color w:val="auto"/>
                <w:highlight w:val="none"/>
              </w:rPr>
              <w:t>数量</w:t>
            </w:r>
          </w:p>
        </w:tc>
        <w:tc>
          <w:tcPr>
            <w:tcW w:w="1307" w:type="dxa"/>
            <w:tcBorders>
              <w:top w:val="single" w:color="auto" w:sz="6" w:space="0"/>
              <w:left w:val="single" w:color="auto" w:sz="6" w:space="0"/>
              <w:bottom w:val="single" w:color="auto" w:sz="6" w:space="0"/>
              <w:right w:val="single" w:color="auto" w:sz="6" w:space="0"/>
            </w:tcBorders>
            <w:vAlign w:val="center"/>
          </w:tcPr>
          <w:p w14:paraId="61D29164">
            <w:pPr>
              <w:spacing w:after="120"/>
              <w:jc w:val="center"/>
              <w:rPr>
                <w:rFonts w:hAnsi="宋体" w:cs="宋体"/>
                <w:color w:val="auto"/>
                <w:highlight w:val="none"/>
              </w:rPr>
            </w:pPr>
            <w:r>
              <w:rPr>
                <w:rFonts w:hint="eastAsia" w:hAnsi="宋体" w:cs="宋体"/>
                <w:color w:val="auto"/>
                <w:highlight w:val="none"/>
              </w:rPr>
              <w:t>单价</w:t>
            </w:r>
          </w:p>
          <w:p w14:paraId="04596401">
            <w:pPr>
              <w:spacing w:after="120"/>
              <w:jc w:val="center"/>
              <w:rPr>
                <w:rFonts w:hAnsi="宋体" w:cs="宋体"/>
                <w:bCs/>
                <w:color w:val="auto"/>
                <w:highlight w:val="none"/>
              </w:rPr>
            </w:pPr>
            <w:r>
              <w:rPr>
                <w:rFonts w:hint="eastAsia" w:hAnsi="宋体" w:cs="宋体"/>
                <w:color w:val="auto"/>
                <w:highlight w:val="none"/>
              </w:rPr>
              <w:t>（元）</w:t>
            </w:r>
          </w:p>
        </w:tc>
        <w:tc>
          <w:tcPr>
            <w:tcW w:w="1313" w:type="dxa"/>
            <w:tcBorders>
              <w:top w:val="single" w:color="auto" w:sz="6" w:space="0"/>
              <w:left w:val="single" w:color="auto" w:sz="6" w:space="0"/>
              <w:bottom w:val="single" w:color="auto" w:sz="6" w:space="0"/>
              <w:right w:val="single" w:color="auto" w:sz="6" w:space="0"/>
            </w:tcBorders>
            <w:vAlign w:val="center"/>
          </w:tcPr>
          <w:p w14:paraId="796FDEE5">
            <w:pPr>
              <w:spacing w:after="120"/>
              <w:jc w:val="center"/>
              <w:rPr>
                <w:rFonts w:hAnsi="宋体" w:cs="宋体"/>
                <w:bCs/>
                <w:color w:val="auto"/>
                <w:highlight w:val="none"/>
              </w:rPr>
            </w:pPr>
            <w:r>
              <w:rPr>
                <w:rFonts w:hint="eastAsia" w:hAnsi="宋体" w:cs="宋体"/>
                <w:bCs/>
                <w:color w:val="auto"/>
                <w:highlight w:val="none"/>
              </w:rPr>
              <w:t>总价</w:t>
            </w:r>
          </w:p>
          <w:p w14:paraId="05BE4AD3">
            <w:pPr>
              <w:spacing w:after="120"/>
              <w:jc w:val="center"/>
              <w:rPr>
                <w:rFonts w:hAnsi="宋体" w:cs="宋体"/>
                <w:bCs/>
                <w:color w:val="auto"/>
                <w:highlight w:val="none"/>
              </w:rPr>
            </w:pPr>
            <w:r>
              <w:rPr>
                <w:rFonts w:hint="eastAsia" w:hAnsi="宋体" w:cs="宋体"/>
                <w:bCs/>
                <w:color w:val="auto"/>
                <w:highlight w:val="none"/>
              </w:rPr>
              <w:t>（元）</w:t>
            </w:r>
          </w:p>
        </w:tc>
      </w:tr>
      <w:tr w14:paraId="51F2EEEE">
        <w:tblPrEx>
          <w:tblCellMar>
            <w:top w:w="0" w:type="dxa"/>
            <w:left w:w="28" w:type="dxa"/>
            <w:bottom w:w="0" w:type="dxa"/>
            <w:right w:w="28" w:type="dxa"/>
          </w:tblCellMar>
        </w:tblPrEx>
        <w:trPr>
          <w:trHeight w:val="808" w:hRule="atLeast"/>
        </w:trPr>
        <w:tc>
          <w:tcPr>
            <w:tcW w:w="886" w:type="dxa"/>
            <w:tcBorders>
              <w:top w:val="single" w:color="auto" w:sz="6" w:space="0"/>
              <w:left w:val="single" w:color="auto" w:sz="4" w:space="0"/>
              <w:bottom w:val="single" w:color="auto" w:sz="4" w:space="0"/>
            </w:tcBorders>
            <w:vAlign w:val="center"/>
          </w:tcPr>
          <w:p w14:paraId="758CE9AF">
            <w:pPr>
              <w:spacing w:beforeLines="100"/>
              <w:jc w:val="center"/>
              <w:rPr>
                <w:rFonts w:hAnsi="宋体" w:cs="宋体"/>
                <w:color w:val="auto"/>
                <w:highlight w:val="none"/>
              </w:rPr>
            </w:pPr>
            <w:r>
              <w:rPr>
                <w:rFonts w:hint="eastAsia" w:hAnsi="宋体" w:cs="宋体"/>
                <w:color w:val="auto"/>
                <w:highlight w:val="none"/>
              </w:rPr>
              <w:t>1</w:t>
            </w:r>
          </w:p>
        </w:tc>
        <w:tc>
          <w:tcPr>
            <w:tcW w:w="1863" w:type="dxa"/>
            <w:tcBorders>
              <w:top w:val="single" w:color="auto" w:sz="6" w:space="0"/>
              <w:left w:val="single" w:color="auto" w:sz="6" w:space="0"/>
              <w:bottom w:val="single" w:color="auto" w:sz="4" w:space="0"/>
              <w:right w:val="single" w:color="auto" w:sz="6" w:space="0"/>
            </w:tcBorders>
            <w:vAlign w:val="center"/>
          </w:tcPr>
          <w:p w14:paraId="22AAC0AC">
            <w:pPr>
              <w:spacing w:beforeLines="50"/>
              <w:jc w:val="center"/>
              <w:rPr>
                <w:rFonts w:hAnsi="宋体" w:cs="宋体"/>
                <w:color w:val="auto"/>
                <w:highlight w:val="none"/>
              </w:rPr>
            </w:pPr>
          </w:p>
        </w:tc>
        <w:tc>
          <w:tcPr>
            <w:tcW w:w="2250" w:type="dxa"/>
            <w:tcBorders>
              <w:top w:val="single" w:color="auto" w:sz="6" w:space="0"/>
              <w:left w:val="single" w:color="auto" w:sz="6" w:space="0"/>
              <w:bottom w:val="single" w:color="auto" w:sz="4" w:space="0"/>
              <w:right w:val="single" w:color="auto" w:sz="6" w:space="0"/>
            </w:tcBorders>
            <w:vAlign w:val="center"/>
          </w:tcPr>
          <w:p w14:paraId="69B675A6">
            <w:pPr>
              <w:spacing w:beforeLines="50"/>
              <w:jc w:val="center"/>
              <w:rPr>
                <w:rFonts w:hAnsi="宋体" w:cs="宋体"/>
                <w:color w:val="auto"/>
                <w:highlight w:val="none"/>
              </w:rPr>
            </w:pPr>
          </w:p>
        </w:tc>
        <w:tc>
          <w:tcPr>
            <w:tcW w:w="1311" w:type="dxa"/>
            <w:tcBorders>
              <w:top w:val="single" w:color="auto" w:sz="6" w:space="0"/>
              <w:left w:val="single" w:color="auto" w:sz="6" w:space="0"/>
              <w:bottom w:val="single" w:color="auto" w:sz="4" w:space="0"/>
              <w:right w:val="single" w:color="auto" w:sz="6" w:space="0"/>
            </w:tcBorders>
            <w:vAlign w:val="center"/>
          </w:tcPr>
          <w:p w14:paraId="3A20AAAC">
            <w:pPr>
              <w:spacing w:beforeLines="50"/>
              <w:jc w:val="center"/>
              <w:rPr>
                <w:rFonts w:hAnsi="宋体" w:cs="宋体"/>
                <w:color w:val="auto"/>
                <w:highlight w:val="none"/>
              </w:rPr>
            </w:pPr>
          </w:p>
        </w:tc>
        <w:tc>
          <w:tcPr>
            <w:tcW w:w="1307" w:type="dxa"/>
            <w:tcBorders>
              <w:top w:val="single" w:color="auto" w:sz="6" w:space="0"/>
              <w:left w:val="single" w:color="auto" w:sz="6" w:space="0"/>
              <w:bottom w:val="single" w:color="auto" w:sz="4" w:space="0"/>
              <w:right w:val="single" w:color="auto" w:sz="6" w:space="0"/>
            </w:tcBorders>
            <w:vAlign w:val="center"/>
          </w:tcPr>
          <w:p w14:paraId="73FB42EE">
            <w:pPr>
              <w:spacing w:beforeLines="50"/>
              <w:jc w:val="center"/>
              <w:rPr>
                <w:rFonts w:hAnsi="宋体" w:cs="宋体"/>
                <w:color w:val="auto"/>
                <w:highlight w:val="none"/>
              </w:rPr>
            </w:pPr>
          </w:p>
        </w:tc>
        <w:tc>
          <w:tcPr>
            <w:tcW w:w="1313" w:type="dxa"/>
            <w:tcBorders>
              <w:top w:val="single" w:color="auto" w:sz="6" w:space="0"/>
              <w:left w:val="single" w:color="auto" w:sz="6" w:space="0"/>
              <w:bottom w:val="single" w:color="auto" w:sz="4" w:space="0"/>
              <w:right w:val="single" w:color="auto" w:sz="6" w:space="0"/>
            </w:tcBorders>
            <w:vAlign w:val="center"/>
          </w:tcPr>
          <w:p w14:paraId="3772044B">
            <w:pPr>
              <w:spacing w:beforeLines="50"/>
              <w:jc w:val="center"/>
              <w:rPr>
                <w:rFonts w:hAnsi="宋体" w:cs="宋体"/>
                <w:color w:val="auto"/>
                <w:highlight w:val="none"/>
              </w:rPr>
            </w:pPr>
          </w:p>
        </w:tc>
      </w:tr>
      <w:tr w14:paraId="46860D9E">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1979F409">
            <w:pPr>
              <w:spacing w:beforeLines="100"/>
              <w:jc w:val="center"/>
              <w:rPr>
                <w:rFonts w:hAnsi="宋体" w:cs="宋体"/>
                <w:color w:val="auto"/>
                <w:highlight w:val="none"/>
              </w:rPr>
            </w:pPr>
            <w:r>
              <w:rPr>
                <w:rFonts w:hint="eastAsia" w:hAnsi="宋体" w:cs="宋体"/>
                <w:color w:val="auto"/>
                <w:highlight w:val="none"/>
              </w:rPr>
              <w:t>2</w:t>
            </w:r>
          </w:p>
        </w:tc>
        <w:tc>
          <w:tcPr>
            <w:tcW w:w="1863" w:type="dxa"/>
            <w:tcBorders>
              <w:top w:val="single" w:color="auto" w:sz="4" w:space="0"/>
              <w:left w:val="single" w:color="auto" w:sz="6" w:space="0"/>
              <w:bottom w:val="single" w:color="auto" w:sz="6" w:space="0"/>
              <w:right w:val="single" w:color="auto" w:sz="6" w:space="0"/>
            </w:tcBorders>
            <w:vAlign w:val="center"/>
          </w:tcPr>
          <w:p w14:paraId="38CB11E8">
            <w:pPr>
              <w:spacing w:beforeLines="10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1E61446A">
            <w:pPr>
              <w:spacing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74E3A369">
            <w:pPr>
              <w:spacing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464A32E6">
            <w:pPr>
              <w:spacing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188A315B">
            <w:pPr>
              <w:spacing w:beforeLines="50"/>
              <w:jc w:val="center"/>
              <w:rPr>
                <w:rFonts w:hAnsi="宋体" w:cs="宋体"/>
                <w:color w:val="auto"/>
                <w:highlight w:val="none"/>
              </w:rPr>
            </w:pPr>
          </w:p>
        </w:tc>
      </w:tr>
      <w:tr w14:paraId="7DBE65CE">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6F54ADF2">
            <w:pPr>
              <w:spacing w:beforeLines="100"/>
              <w:jc w:val="center"/>
              <w:rPr>
                <w:rFonts w:hAnsi="宋体" w:cs="宋体"/>
                <w:color w:val="auto"/>
                <w:highlight w:val="none"/>
              </w:rPr>
            </w:pPr>
            <w:r>
              <w:rPr>
                <w:rFonts w:hint="eastAsia" w:hAnsi="宋体" w:cs="宋体"/>
                <w:color w:val="auto"/>
                <w:highlight w:val="none"/>
              </w:rPr>
              <w:t>3</w:t>
            </w:r>
          </w:p>
        </w:tc>
        <w:tc>
          <w:tcPr>
            <w:tcW w:w="1863" w:type="dxa"/>
            <w:tcBorders>
              <w:top w:val="single" w:color="auto" w:sz="4" w:space="0"/>
              <w:left w:val="single" w:color="auto" w:sz="6" w:space="0"/>
              <w:bottom w:val="single" w:color="auto" w:sz="6" w:space="0"/>
              <w:right w:val="single" w:color="auto" w:sz="6" w:space="0"/>
            </w:tcBorders>
            <w:vAlign w:val="center"/>
          </w:tcPr>
          <w:p w14:paraId="61B58DE6">
            <w:pPr>
              <w:spacing w:beforeLines="10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72DA734E">
            <w:pPr>
              <w:spacing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6D0DFF9B">
            <w:pPr>
              <w:spacing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4F66DD57">
            <w:pPr>
              <w:spacing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35FBC5B1">
            <w:pPr>
              <w:spacing w:beforeLines="50"/>
              <w:jc w:val="center"/>
              <w:rPr>
                <w:rFonts w:hAnsi="宋体" w:cs="宋体"/>
                <w:color w:val="auto"/>
                <w:highlight w:val="none"/>
              </w:rPr>
            </w:pPr>
          </w:p>
        </w:tc>
      </w:tr>
      <w:tr w14:paraId="0C40AC50">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222398CF">
            <w:pPr>
              <w:spacing w:beforeLines="100"/>
              <w:jc w:val="center"/>
              <w:rPr>
                <w:rFonts w:hAnsi="宋体" w:cs="宋体"/>
                <w:color w:val="auto"/>
                <w:highlight w:val="none"/>
              </w:rPr>
            </w:pPr>
            <w:r>
              <w:rPr>
                <w:rFonts w:hint="eastAsia" w:hAnsi="宋体" w:cs="宋体"/>
                <w:color w:val="auto"/>
                <w:szCs w:val="24"/>
                <w:highlight w:val="none"/>
              </w:rPr>
              <w:t>……</w:t>
            </w:r>
          </w:p>
        </w:tc>
        <w:tc>
          <w:tcPr>
            <w:tcW w:w="1863" w:type="dxa"/>
            <w:tcBorders>
              <w:top w:val="single" w:color="auto" w:sz="4" w:space="0"/>
              <w:left w:val="single" w:color="auto" w:sz="6" w:space="0"/>
              <w:bottom w:val="single" w:color="auto" w:sz="6" w:space="0"/>
              <w:right w:val="single" w:color="auto" w:sz="6" w:space="0"/>
            </w:tcBorders>
            <w:vAlign w:val="center"/>
          </w:tcPr>
          <w:p w14:paraId="38AD0212">
            <w:pPr>
              <w:spacing w:beforeLines="5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6E3B65AD">
            <w:pPr>
              <w:spacing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7D9BCF41">
            <w:pPr>
              <w:spacing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56A7EA54">
            <w:pPr>
              <w:spacing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52410FC9">
            <w:pPr>
              <w:spacing w:beforeLines="50"/>
              <w:jc w:val="center"/>
              <w:rPr>
                <w:rFonts w:hAnsi="宋体" w:cs="宋体"/>
                <w:color w:val="auto"/>
                <w:highlight w:val="none"/>
              </w:rPr>
            </w:pPr>
          </w:p>
        </w:tc>
      </w:tr>
      <w:tr w14:paraId="6D35F9C8">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4D45638D">
            <w:pPr>
              <w:spacing w:beforeLines="100"/>
              <w:jc w:val="center"/>
              <w:rPr>
                <w:rFonts w:hAnsi="宋体" w:cs="宋体"/>
                <w:b/>
                <w:color w:val="auto"/>
                <w:highlight w:val="none"/>
              </w:rPr>
            </w:pPr>
            <w:r>
              <w:rPr>
                <w:rFonts w:hint="eastAsia" w:hAnsi="宋体" w:cs="宋体"/>
                <w:color w:val="auto"/>
                <w:szCs w:val="24"/>
                <w:highlight w:val="none"/>
              </w:rPr>
              <w:t>……</w:t>
            </w:r>
          </w:p>
        </w:tc>
        <w:tc>
          <w:tcPr>
            <w:tcW w:w="1863" w:type="dxa"/>
            <w:tcBorders>
              <w:top w:val="single" w:color="auto" w:sz="4" w:space="0"/>
              <w:left w:val="single" w:color="auto" w:sz="6" w:space="0"/>
              <w:bottom w:val="single" w:color="auto" w:sz="6" w:space="0"/>
              <w:right w:val="single" w:color="auto" w:sz="6" w:space="0"/>
            </w:tcBorders>
            <w:vAlign w:val="center"/>
          </w:tcPr>
          <w:p w14:paraId="7E870C20">
            <w:pPr>
              <w:spacing w:beforeLines="5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2A218E0C">
            <w:pPr>
              <w:spacing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2E7CF699">
            <w:pPr>
              <w:spacing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5964F8FC">
            <w:pPr>
              <w:spacing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57A776F9">
            <w:pPr>
              <w:spacing w:beforeLines="50"/>
              <w:jc w:val="center"/>
              <w:rPr>
                <w:rFonts w:hAnsi="宋体" w:cs="宋体"/>
                <w:color w:val="auto"/>
                <w:highlight w:val="none"/>
              </w:rPr>
            </w:pPr>
          </w:p>
        </w:tc>
      </w:tr>
      <w:tr w14:paraId="1FD0E077">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118F04DC">
            <w:pPr>
              <w:jc w:val="center"/>
              <w:rPr>
                <w:rFonts w:hAnsi="宋体" w:cs="宋体"/>
                <w:color w:val="auto"/>
                <w:highlight w:val="none"/>
              </w:rPr>
            </w:pPr>
            <w:r>
              <w:rPr>
                <w:rFonts w:hint="eastAsia" w:hAnsi="宋体" w:cs="宋体"/>
                <w:color w:val="auto"/>
                <w:highlight w:val="none"/>
              </w:rPr>
              <w:t>合计：</w:t>
            </w:r>
          </w:p>
        </w:tc>
        <w:tc>
          <w:tcPr>
            <w:tcW w:w="8044" w:type="dxa"/>
            <w:gridSpan w:val="5"/>
            <w:tcBorders>
              <w:top w:val="single" w:color="auto" w:sz="4" w:space="0"/>
              <w:left w:val="single" w:color="auto" w:sz="6" w:space="0"/>
              <w:bottom w:val="single" w:color="auto" w:sz="6" w:space="0"/>
              <w:right w:val="single" w:color="auto" w:sz="6" w:space="0"/>
            </w:tcBorders>
            <w:vAlign w:val="center"/>
          </w:tcPr>
          <w:p w14:paraId="0C007AC6">
            <w:pPr>
              <w:spacing w:beforeLines="50"/>
              <w:jc w:val="left"/>
              <w:rPr>
                <w:rFonts w:hAnsi="宋体" w:cs="宋体"/>
                <w:color w:val="auto"/>
                <w:highlight w:val="none"/>
              </w:rPr>
            </w:pPr>
            <w:r>
              <w:rPr>
                <w:rFonts w:hint="eastAsia" w:hAnsi="宋体" w:cs="宋体"/>
                <w:color w:val="auto"/>
                <w:highlight w:val="none"/>
              </w:rPr>
              <w:t>大写：                                小写：</w:t>
            </w:r>
          </w:p>
        </w:tc>
      </w:tr>
      <w:tr w14:paraId="143DA516">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24E16F2C">
            <w:pPr>
              <w:jc w:val="center"/>
              <w:rPr>
                <w:rFonts w:hAnsi="宋体" w:cs="宋体"/>
                <w:color w:val="auto"/>
                <w:highlight w:val="none"/>
              </w:rPr>
            </w:pPr>
            <w:r>
              <w:rPr>
                <w:rFonts w:hint="eastAsia" w:hAnsi="宋体" w:cs="宋体"/>
                <w:color w:val="auto"/>
                <w:highlight w:val="none"/>
              </w:rPr>
              <w:t>备注</w:t>
            </w:r>
          </w:p>
        </w:tc>
        <w:tc>
          <w:tcPr>
            <w:tcW w:w="8044" w:type="dxa"/>
            <w:gridSpan w:val="5"/>
            <w:tcBorders>
              <w:top w:val="single" w:color="auto" w:sz="4" w:space="0"/>
              <w:left w:val="single" w:color="auto" w:sz="6" w:space="0"/>
              <w:bottom w:val="single" w:color="auto" w:sz="6" w:space="0"/>
              <w:right w:val="single" w:color="auto" w:sz="6" w:space="0"/>
            </w:tcBorders>
            <w:vAlign w:val="center"/>
          </w:tcPr>
          <w:p w14:paraId="30B1C49B">
            <w:pPr>
              <w:spacing w:beforeLines="50"/>
              <w:jc w:val="center"/>
              <w:rPr>
                <w:rFonts w:hAnsi="宋体" w:cs="宋体"/>
                <w:color w:val="auto"/>
                <w:highlight w:val="none"/>
              </w:rPr>
            </w:pPr>
            <w:r>
              <w:rPr>
                <w:rFonts w:hint="eastAsia" w:hAnsi="宋体" w:cs="宋体"/>
                <w:color w:val="auto"/>
                <w:spacing w:val="-6"/>
                <w:highlight w:val="none"/>
              </w:rPr>
              <w:t>保留小数点后两位。</w:t>
            </w:r>
          </w:p>
        </w:tc>
      </w:tr>
    </w:tbl>
    <w:p w14:paraId="0E801050">
      <w:pPr>
        <w:adjustRightInd w:val="0"/>
        <w:snapToGrid w:val="0"/>
        <w:spacing w:line="360" w:lineRule="auto"/>
        <w:rPr>
          <w:rFonts w:hAnsi="宋体" w:cs="宋体"/>
          <w:color w:val="auto"/>
          <w:szCs w:val="21"/>
          <w:highlight w:val="none"/>
        </w:rPr>
      </w:pPr>
    </w:p>
    <w:p w14:paraId="5F7DAAD8">
      <w:pPr>
        <w:adjustRightInd w:val="0"/>
        <w:snapToGrid w:val="0"/>
        <w:spacing w:line="360" w:lineRule="auto"/>
        <w:rPr>
          <w:rFonts w:hAnsi="宋体" w:cs="宋体"/>
          <w:bCs/>
          <w:color w:val="auto"/>
          <w:szCs w:val="21"/>
          <w:highlight w:val="none"/>
        </w:rPr>
      </w:pPr>
      <w:r>
        <w:rPr>
          <w:rFonts w:hint="eastAsia" w:hAnsi="宋体" w:cs="宋体"/>
          <w:color w:val="auto"/>
          <w:szCs w:val="21"/>
          <w:highlight w:val="none"/>
        </w:rPr>
        <w:t>说明：</w:t>
      </w:r>
      <w:r>
        <w:rPr>
          <w:rFonts w:hint="eastAsia" w:hAnsi="宋体" w:cs="宋体"/>
          <w:bCs/>
          <w:color w:val="auto"/>
          <w:szCs w:val="21"/>
          <w:highlight w:val="none"/>
        </w:rPr>
        <w:t>1、</w:t>
      </w:r>
      <w:r>
        <w:rPr>
          <w:rFonts w:hint="eastAsia" w:hAnsi="宋体" w:cs="宋体"/>
          <w:color w:val="auto"/>
          <w:szCs w:val="21"/>
          <w:highlight w:val="none"/>
        </w:rPr>
        <w:t>供应商提供的属于节能、环境标志产品品目清单中优先采购的产品，须按磋商文件要求提供相关证明材料。</w:t>
      </w:r>
    </w:p>
    <w:p w14:paraId="54A0D45B">
      <w:pPr>
        <w:pStyle w:val="35"/>
        <w:spacing w:line="400" w:lineRule="exact"/>
        <w:ind w:left="480" w:leftChars="200" w:firstLine="240" w:firstLineChars="100"/>
        <w:rPr>
          <w:rFonts w:hAnsi="宋体" w:cs="宋体"/>
          <w:color w:val="auto"/>
          <w:sz w:val="28"/>
          <w:szCs w:val="28"/>
          <w:highlight w:val="none"/>
        </w:rPr>
      </w:pPr>
      <w:r>
        <w:rPr>
          <w:rFonts w:hint="eastAsia" w:hAnsi="宋体" w:cs="宋体"/>
          <w:bCs/>
          <w:color w:val="auto"/>
          <w:highlight w:val="none"/>
        </w:rPr>
        <w:t>2、未按上述要求提供、</w:t>
      </w:r>
      <w:r>
        <w:rPr>
          <w:rFonts w:hint="eastAsia" w:hAnsi="宋体" w:cs="宋体"/>
          <w:color w:val="auto"/>
          <w:highlight w:val="none"/>
        </w:rPr>
        <w:t>填写</w:t>
      </w:r>
      <w:r>
        <w:rPr>
          <w:rFonts w:hint="eastAsia" w:hAnsi="宋体" w:cs="宋体"/>
          <w:bCs/>
          <w:color w:val="auto"/>
          <w:highlight w:val="none"/>
        </w:rPr>
        <w:t>的，评审时不予以考虑。</w:t>
      </w:r>
    </w:p>
    <w:p w14:paraId="033C5B99">
      <w:pPr>
        <w:spacing w:before="100" w:beforeAutospacing="1" w:afterLines="50" w:line="360" w:lineRule="auto"/>
        <w:outlineLvl w:val="9"/>
        <w:rPr>
          <w:rFonts w:hAnsi="宋体" w:cs="宋体"/>
          <w:b/>
          <w:bCs/>
          <w:color w:val="auto"/>
          <w:spacing w:val="6"/>
          <w:sz w:val="30"/>
          <w:szCs w:val="30"/>
          <w:highlight w:val="none"/>
        </w:rPr>
      </w:pPr>
      <w:r>
        <w:rPr>
          <w:rFonts w:hint="eastAsia" w:hAnsi="宋体" w:cs="宋体"/>
          <w:color w:val="auto"/>
          <w:szCs w:val="24"/>
          <w:highlight w:val="none"/>
        </w:rPr>
        <w:br w:type="page"/>
      </w:r>
      <w:bookmarkStart w:id="277" w:name="_Toc11066"/>
      <w:bookmarkStart w:id="278" w:name="_Toc27124"/>
      <w:bookmarkStart w:id="279" w:name="_Toc11235"/>
      <w:bookmarkStart w:id="280" w:name="_Toc22425"/>
      <w:bookmarkStart w:id="281" w:name="_Toc29025"/>
      <w:r>
        <w:rPr>
          <w:rFonts w:hint="eastAsia" w:hAnsi="宋体" w:cs="宋体"/>
          <w:b/>
          <w:bCs/>
          <w:color w:val="auto"/>
          <w:spacing w:val="6"/>
          <w:sz w:val="30"/>
          <w:szCs w:val="30"/>
          <w:highlight w:val="none"/>
        </w:rPr>
        <w:t>附件</w:t>
      </w:r>
      <w:r>
        <w:rPr>
          <w:rFonts w:hint="eastAsia" w:hAnsi="宋体" w:cs="宋体"/>
          <w:b/>
          <w:bCs/>
          <w:color w:val="auto"/>
          <w:spacing w:val="6"/>
          <w:sz w:val="30"/>
          <w:szCs w:val="30"/>
          <w:highlight w:val="none"/>
          <w:lang w:val="en-US" w:eastAsia="zh-CN"/>
        </w:rPr>
        <w:t>9</w:t>
      </w:r>
      <w:r>
        <w:rPr>
          <w:rFonts w:hint="eastAsia" w:hAnsi="宋体" w:cs="宋体"/>
          <w:b/>
          <w:bCs/>
          <w:color w:val="auto"/>
          <w:spacing w:val="6"/>
          <w:sz w:val="30"/>
          <w:szCs w:val="30"/>
          <w:highlight w:val="none"/>
        </w:rPr>
        <w:t>：残疾人福利性单位声明函（如有）</w:t>
      </w:r>
      <w:bookmarkEnd w:id="277"/>
      <w:bookmarkEnd w:id="278"/>
      <w:bookmarkEnd w:id="279"/>
      <w:bookmarkEnd w:id="280"/>
      <w:bookmarkEnd w:id="281"/>
    </w:p>
    <w:p w14:paraId="334000A8">
      <w:pPr>
        <w:spacing w:line="588" w:lineRule="exact"/>
        <w:jc w:val="center"/>
        <w:rPr>
          <w:rFonts w:hAnsi="宋体" w:cs="宋体"/>
          <w:b/>
          <w:color w:val="auto"/>
          <w:spacing w:val="6"/>
          <w:sz w:val="32"/>
          <w:szCs w:val="32"/>
          <w:highlight w:val="none"/>
        </w:rPr>
      </w:pPr>
      <w:bookmarkStart w:id="282" w:name="OLE_LINK14"/>
      <w:bookmarkStart w:id="283" w:name="OLE_LINK13"/>
      <w:r>
        <w:rPr>
          <w:rFonts w:hint="eastAsia" w:hAnsi="宋体" w:cs="宋体"/>
          <w:b/>
          <w:color w:val="auto"/>
          <w:spacing w:val="6"/>
          <w:sz w:val="32"/>
          <w:szCs w:val="32"/>
          <w:highlight w:val="none"/>
        </w:rPr>
        <w:t>残疾人福利性单位声明函</w:t>
      </w:r>
    </w:p>
    <w:bookmarkEnd w:id="282"/>
    <w:bookmarkEnd w:id="283"/>
    <w:p w14:paraId="3A8F79ED">
      <w:pPr>
        <w:spacing w:line="588" w:lineRule="exact"/>
        <w:rPr>
          <w:rFonts w:hAnsi="宋体" w:cs="宋体"/>
          <w:b/>
          <w:color w:val="auto"/>
          <w:spacing w:val="6"/>
          <w:sz w:val="30"/>
          <w:szCs w:val="30"/>
          <w:highlight w:val="none"/>
        </w:rPr>
      </w:pPr>
    </w:p>
    <w:p w14:paraId="28185212">
      <w:pPr>
        <w:spacing w:line="588" w:lineRule="exact"/>
        <w:ind w:firstLine="504" w:firstLineChars="200"/>
        <w:rPr>
          <w:rFonts w:hAnsi="宋体" w:cs="宋体"/>
          <w:color w:val="auto"/>
          <w:spacing w:val="6"/>
          <w:szCs w:val="24"/>
          <w:highlight w:val="none"/>
        </w:rPr>
      </w:pPr>
      <w:r>
        <w:rPr>
          <w:rFonts w:hint="eastAsia" w:hAnsi="宋体" w:cs="宋体"/>
          <w:color w:val="auto"/>
          <w:spacing w:val="6"/>
          <w:szCs w:val="24"/>
          <w:highlight w:val="none"/>
        </w:rPr>
        <w:t>本单位郑重声明，根据《财政部 民政部 中国残疾人联合会关于促进残疾人就业政府采购政策的通知》（财库</w:t>
      </w:r>
      <w:r>
        <w:rPr>
          <w:rFonts w:hint="eastAsia" w:hAnsi="宋体" w:cs="宋体"/>
          <w:color w:val="auto"/>
          <w:szCs w:val="24"/>
          <w:highlight w:val="none"/>
        </w:rPr>
        <w:t>〔2017〕 141</w:t>
      </w:r>
      <w:r>
        <w:rPr>
          <w:rFonts w:hint="eastAsia" w:hAnsi="宋体" w:cs="宋体"/>
          <w:color w:val="auto"/>
          <w:spacing w:val="6"/>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66CEC32">
      <w:pPr>
        <w:spacing w:line="588" w:lineRule="exact"/>
        <w:ind w:firstLine="504" w:firstLineChars="200"/>
        <w:rPr>
          <w:rFonts w:hAnsi="宋体" w:cs="宋体"/>
          <w:color w:val="auto"/>
          <w:spacing w:val="6"/>
          <w:szCs w:val="24"/>
          <w:highlight w:val="none"/>
        </w:rPr>
      </w:pPr>
      <w:r>
        <w:rPr>
          <w:rFonts w:hint="eastAsia" w:hAnsi="宋体" w:cs="宋体"/>
          <w:color w:val="auto"/>
          <w:spacing w:val="6"/>
          <w:szCs w:val="24"/>
          <w:highlight w:val="none"/>
        </w:rPr>
        <w:t>本单位对上述声明的真实性负责。如有虚假，将依法承担相应责任。</w:t>
      </w:r>
    </w:p>
    <w:p w14:paraId="320C033D">
      <w:pPr>
        <w:spacing w:line="588" w:lineRule="exact"/>
        <w:ind w:firstLine="504" w:firstLineChars="200"/>
        <w:rPr>
          <w:rFonts w:hAnsi="宋体" w:cs="宋体"/>
          <w:color w:val="auto"/>
          <w:spacing w:val="6"/>
          <w:szCs w:val="24"/>
          <w:highlight w:val="none"/>
        </w:rPr>
      </w:pPr>
    </w:p>
    <w:p w14:paraId="009CA9B8">
      <w:pPr>
        <w:spacing w:line="588" w:lineRule="exact"/>
        <w:ind w:firstLine="504" w:firstLineChars="200"/>
        <w:rPr>
          <w:rFonts w:hAnsi="宋体" w:cs="宋体"/>
          <w:color w:val="auto"/>
          <w:spacing w:val="6"/>
          <w:szCs w:val="24"/>
          <w:highlight w:val="none"/>
        </w:rPr>
      </w:pPr>
    </w:p>
    <w:p w14:paraId="1D775660">
      <w:pPr>
        <w:spacing w:line="588" w:lineRule="exact"/>
        <w:ind w:firstLine="504" w:firstLineChars="200"/>
        <w:rPr>
          <w:rFonts w:hAnsi="宋体" w:cs="宋体"/>
          <w:color w:val="auto"/>
          <w:spacing w:val="6"/>
          <w:szCs w:val="24"/>
          <w:highlight w:val="none"/>
        </w:rPr>
      </w:pPr>
    </w:p>
    <w:p w14:paraId="7B915722">
      <w:pPr>
        <w:spacing w:line="588" w:lineRule="exact"/>
        <w:ind w:firstLine="504" w:firstLineChars="200"/>
        <w:rPr>
          <w:rFonts w:hAnsi="宋体" w:cs="宋体"/>
          <w:color w:val="auto"/>
          <w:spacing w:val="6"/>
          <w:szCs w:val="24"/>
          <w:highlight w:val="none"/>
        </w:rPr>
      </w:pPr>
    </w:p>
    <w:p w14:paraId="0861542D">
      <w:pPr>
        <w:tabs>
          <w:tab w:val="left" w:pos="4860"/>
        </w:tabs>
        <w:spacing w:line="588" w:lineRule="exact"/>
        <w:ind w:right="1560" w:firstLine="504" w:firstLineChars="200"/>
        <w:jc w:val="center"/>
        <w:rPr>
          <w:rFonts w:hAnsi="宋体" w:cs="宋体"/>
          <w:color w:val="auto"/>
          <w:spacing w:val="6"/>
          <w:szCs w:val="24"/>
          <w:highlight w:val="none"/>
        </w:rPr>
      </w:pPr>
      <w:r>
        <w:rPr>
          <w:rFonts w:hint="eastAsia" w:hAnsi="宋体" w:cs="宋体"/>
          <w:color w:val="auto"/>
          <w:spacing w:val="6"/>
          <w:szCs w:val="24"/>
          <w:highlight w:val="none"/>
        </w:rPr>
        <w:t xml:space="preserve">               单位名称（盖章）：</w:t>
      </w:r>
    </w:p>
    <w:p w14:paraId="4820D21F">
      <w:pPr>
        <w:tabs>
          <w:tab w:val="left" w:pos="4860"/>
        </w:tabs>
        <w:spacing w:line="588" w:lineRule="exact"/>
        <w:ind w:right="1560" w:firstLine="504" w:firstLineChars="200"/>
        <w:jc w:val="center"/>
        <w:rPr>
          <w:rFonts w:hAnsi="宋体" w:cs="宋体"/>
          <w:color w:val="auto"/>
          <w:spacing w:val="6"/>
          <w:szCs w:val="24"/>
          <w:highlight w:val="none"/>
        </w:rPr>
      </w:pPr>
      <w:r>
        <w:rPr>
          <w:rFonts w:hint="eastAsia" w:hAnsi="宋体" w:cs="宋体"/>
          <w:color w:val="auto"/>
          <w:spacing w:val="6"/>
          <w:szCs w:val="24"/>
          <w:highlight w:val="none"/>
        </w:rPr>
        <w:t xml:space="preserve">       日    期：</w:t>
      </w:r>
    </w:p>
    <w:p w14:paraId="4F024C5E">
      <w:pPr>
        <w:spacing w:line="360" w:lineRule="auto"/>
        <w:outlineLvl w:val="9"/>
        <w:rPr>
          <w:rFonts w:hAnsi="宋体" w:cs="宋体"/>
          <w:b/>
          <w:color w:val="auto"/>
          <w:sz w:val="28"/>
          <w:szCs w:val="28"/>
          <w:highlight w:val="none"/>
        </w:rPr>
      </w:pPr>
      <w:r>
        <w:rPr>
          <w:rFonts w:hint="eastAsia" w:hAnsi="宋体" w:cs="宋体"/>
          <w:color w:val="auto"/>
          <w:highlight w:val="none"/>
        </w:rPr>
        <w:br w:type="page"/>
      </w:r>
      <w:bookmarkStart w:id="284" w:name="_Toc19526"/>
      <w:bookmarkStart w:id="285" w:name="_Toc2119"/>
      <w:bookmarkStart w:id="286" w:name="_Toc2139"/>
      <w:bookmarkStart w:id="287" w:name="_Toc23160"/>
      <w:bookmarkStart w:id="288" w:name="_Toc29109"/>
      <w:r>
        <w:rPr>
          <w:rFonts w:hint="eastAsia" w:hAnsi="宋体" w:cs="宋体"/>
          <w:b/>
          <w:color w:val="auto"/>
          <w:sz w:val="28"/>
          <w:szCs w:val="28"/>
          <w:highlight w:val="none"/>
        </w:rPr>
        <w:t>附件</w:t>
      </w:r>
      <w:r>
        <w:rPr>
          <w:rFonts w:hint="eastAsia" w:hAnsi="宋体" w:cs="宋体"/>
          <w:b/>
          <w:color w:val="auto"/>
          <w:sz w:val="28"/>
          <w:szCs w:val="28"/>
          <w:highlight w:val="none"/>
          <w:lang w:val="en-US" w:eastAsia="zh-CN"/>
        </w:rPr>
        <w:t>10</w:t>
      </w:r>
      <w:r>
        <w:rPr>
          <w:rFonts w:hint="eastAsia" w:hAnsi="宋体" w:cs="宋体"/>
          <w:b/>
          <w:color w:val="auto"/>
          <w:sz w:val="28"/>
          <w:szCs w:val="28"/>
          <w:highlight w:val="none"/>
        </w:rPr>
        <w:t>：质疑函范本</w:t>
      </w:r>
      <w:bookmarkEnd w:id="284"/>
      <w:bookmarkEnd w:id="285"/>
      <w:bookmarkEnd w:id="286"/>
      <w:bookmarkEnd w:id="287"/>
      <w:bookmarkEnd w:id="288"/>
    </w:p>
    <w:p w14:paraId="036ADE0C">
      <w:pPr>
        <w:jc w:val="center"/>
        <w:rPr>
          <w:rFonts w:hAnsi="宋体" w:cs="宋体"/>
          <w:b/>
          <w:bCs/>
          <w:color w:val="auto"/>
          <w:sz w:val="44"/>
          <w:szCs w:val="44"/>
          <w:highlight w:val="none"/>
        </w:rPr>
      </w:pPr>
      <w:r>
        <w:rPr>
          <w:rFonts w:hint="eastAsia" w:hAnsi="宋体" w:cs="宋体"/>
          <w:b/>
          <w:bCs/>
          <w:color w:val="auto"/>
          <w:sz w:val="44"/>
          <w:szCs w:val="44"/>
          <w:highlight w:val="none"/>
        </w:rPr>
        <w:t>质疑函范本</w:t>
      </w:r>
    </w:p>
    <w:p w14:paraId="66B59A93">
      <w:pPr>
        <w:adjustRightInd w:val="0"/>
        <w:snapToGrid w:val="0"/>
        <w:spacing w:beforeLines="100" w:line="360" w:lineRule="auto"/>
        <w:rPr>
          <w:rFonts w:hAnsi="宋体" w:cs="宋体"/>
          <w:bCs/>
          <w:color w:val="auto"/>
          <w:szCs w:val="24"/>
          <w:highlight w:val="none"/>
        </w:rPr>
      </w:pPr>
      <w:r>
        <w:rPr>
          <w:rFonts w:hint="eastAsia" w:hAnsi="宋体" w:cs="宋体"/>
          <w:bCs/>
          <w:color w:val="auto"/>
          <w:szCs w:val="24"/>
          <w:highlight w:val="none"/>
        </w:rPr>
        <w:t>一、质疑供应商基本信息</w:t>
      </w:r>
    </w:p>
    <w:p w14:paraId="67660C5E">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质疑供应商：</w:t>
      </w:r>
      <w:r>
        <w:rPr>
          <w:rFonts w:hint="eastAsia" w:hAnsi="宋体" w:cs="宋体"/>
          <w:color w:val="auto"/>
          <w:szCs w:val="24"/>
          <w:highlight w:val="none"/>
          <w:u w:val="dotted"/>
        </w:rPr>
        <w:t xml:space="preserve">                                        </w:t>
      </w:r>
    </w:p>
    <w:p w14:paraId="7B4CD148">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地址：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03CB8E7E">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78A40371">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p>
    <w:p w14:paraId="23372BAA">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6F2C10F4">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 xml:space="preserve">地址： </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2DF025AF">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二、质疑项目基本情况</w:t>
      </w:r>
    </w:p>
    <w:p w14:paraId="60361C60">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质疑项目的名称：</w:t>
      </w:r>
      <w:r>
        <w:rPr>
          <w:rFonts w:hint="eastAsia" w:hAnsi="宋体" w:cs="宋体"/>
          <w:color w:val="auto"/>
          <w:szCs w:val="24"/>
          <w:highlight w:val="none"/>
          <w:u w:val="dotted"/>
        </w:rPr>
        <w:t xml:space="preserve">                                      </w:t>
      </w:r>
    </w:p>
    <w:p w14:paraId="17867511">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035A7891">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p>
    <w:p w14:paraId="370A5BF9">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采购文件获取日期：</w:t>
      </w:r>
      <w:r>
        <w:rPr>
          <w:rFonts w:hint="eastAsia" w:hAnsi="宋体" w:cs="宋体"/>
          <w:color w:val="auto"/>
          <w:szCs w:val="24"/>
          <w:highlight w:val="none"/>
          <w:u w:val="dotted"/>
        </w:rPr>
        <w:t xml:space="preserve">                                           </w:t>
      </w:r>
    </w:p>
    <w:p w14:paraId="56217B3A">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三、质疑事项具体内容</w:t>
      </w:r>
    </w:p>
    <w:p w14:paraId="1A9AEA9D">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质疑事项1：</w:t>
      </w:r>
      <w:r>
        <w:rPr>
          <w:rFonts w:hint="eastAsia" w:hAnsi="宋体" w:cs="宋体"/>
          <w:color w:val="auto"/>
          <w:szCs w:val="24"/>
          <w:highlight w:val="none"/>
          <w:u w:val="dotted"/>
        </w:rPr>
        <w:t xml:space="preserve">                                         </w:t>
      </w:r>
    </w:p>
    <w:p w14:paraId="0E328DDE">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1FDACDEF">
      <w:pPr>
        <w:adjustRightInd w:val="0"/>
        <w:snapToGrid w:val="0"/>
        <w:spacing w:line="360" w:lineRule="auto"/>
        <w:rPr>
          <w:rFonts w:hAnsi="宋体" w:cs="宋体"/>
          <w:color w:val="auto"/>
          <w:szCs w:val="24"/>
          <w:highlight w:val="none"/>
        </w:rPr>
      </w:pPr>
      <w:r>
        <w:rPr>
          <w:rFonts w:hint="eastAsia" w:hAnsi="宋体" w:cs="宋体"/>
          <w:color w:val="auto"/>
          <w:szCs w:val="24"/>
          <w:highlight w:val="none"/>
          <w:u w:val="dotted"/>
        </w:rPr>
        <w:t xml:space="preserve">                                                       </w:t>
      </w:r>
    </w:p>
    <w:p w14:paraId="1F1BE34C">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14AD1028">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u w:val="dotted"/>
        </w:rPr>
        <w:t xml:space="preserve">                                                     </w:t>
      </w:r>
    </w:p>
    <w:p w14:paraId="0258EBB9">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质疑事项2</w:t>
      </w:r>
    </w:p>
    <w:p w14:paraId="23386BFF">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w:t>
      </w:r>
    </w:p>
    <w:p w14:paraId="12EF3247">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四、与质疑事项相关的质疑请求</w:t>
      </w:r>
    </w:p>
    <w:p w14:paraId="74B9FBEB">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p>
    <w:p w14:paraId="211A43F0">
      <w:pPr>
        <w:rPr>
          <w:rFonts w:hAnsi="宋体" w:cs="宋体"/>
          <w:color w:val="auto"/>
          <w:szCs w:val="24"/>
          <w:highlight w:val="none"/>
        </w:rPr>
      </w:pPr>
      <w:r>
        <w:rPr>
          <w:rFonts w:hint="eastAsia" w:hAnsi="宋体" w:cs="宋体"/>
          <w:color w:val="auto"/>
          <w:szCs w:val="24"/>
          <w:highlight w:val="none"/>
        </w:rPr>
        <w:t xml:space="preserve">签字(签章)：                   公章：                      </w:t>
      </w:r>
    </w:p>
    <w:p w14:paraId="09B3CE3A">
      <w:pPr>
        <w:rPr>
          <w:rFonts w:hAnsi="宋体" w:cs="宋体"/>
          <w:color w:val="auto"/>
          <w:szCs w:val="24"/>
          <w:highlight w:val="none"/>
        </w:rPr>
      </w:pPr>
      <w:r>
        <w:rPr>
          <w:rFonts w:hint="eastAsia" w:hAnsi="宋体" w:cs="宋体"/>
          <w:color w:val="auto"/>
          <w:szCs w:val="24"/>
          <w:highlight w:val="none"/>
        </w:rPr>
        <w:t xml:space="preserve">日期：    </w:t>
      </w:r>
    </w:p>
    <w:p w14:paraId="1E39E5F4">
      <w:pPr>
        <w:jc w:val="center"/>
        <w:rPr>
          <w:rFonts w:hAnsi="宋体" w:cs="宋体"/>
          <w:b/>
          <w:color w:val="auto"/>
          <w:sz w:val="44"/>
          <w:szCs w:val="44"/>
          <w:highlight w:val="none"/>
        </w:rPr>
      </w:pPr>
    </w:p>
    <w:p w14:paraId="7A655550">
      <w:pPr>
        <w:jc w:val="center"/>
        <w:rPr>
          <w:rFonts w:hAnsi="宋体" w:cs="宋体"/>
          <w:b/>
          <w:color w:val="auto"/>
          <w:sz w:val="44"/>
          <w:szCs w:val="44"/>
          <w:highlight w:val="none"/>
        </w:rPr>
      </w:pPr>
    </w:p>
    <w:p w14:paraId="5D211B28">
      <w:pPr>
        <w:jc w:val="center"/>
        <w:rPr>
          <w:rFonts w:hAnsi="宋体" w:cs="宋体"/>
          <w:b/>
          <w:color w:val="auto"/>
          <w:sz w:val="44"/>
          <w:szCs w:val="44"/>
          <w:highlight w:val="none"/>
        </w:rPr>
      </w:pPr>
      <w:r>
        <w:rPr>
          <w:rFonts w:hint="eastAsia" w:hAnsi="宋体" w:cs="宋体"/>
          <w:b/>
          <w:color w:val="auto"/>
          <w:sz w:val="44"/>
          <w:szCs w:val="44"/>
          <w:highlight w:val="none"/>
        </w:rPr>
        <w:t>投诉书范本</w:t>
      </w:r>
    </w:p>
    <w:p w14:paraId="5D7376A2">
      <w:pPr>
        <w:rPr>
          <w:rFonts w:hAnsi="宋体" w:cs="宋体"/>
          <w:color w:val="auto"/>
          <w:szCs w:val="24"/>
          <w:highlight w:val="none"/>
        </w:rPr>
      </w:pPr>
      <w:r>
        <w:rPr>
          <w:rFonts w:hint="eastAsia" w:hAnsi="宋体" w:cs="宋体"/>
          <w:color w:val="auto"/>
          <w:szCs w:val="24"/>
          <w:highlight w:val="none"/>
        </w:rPr>
        <w:t>一、投诉相关主体基本情况</w:t>
      </w:r>
    </w:p>
    <w:p w14:paraId="2FBD82E1">
      <w:pPr>
        <w:rPr>
          <w:rFonts w:hAnsi="宋体" w:cs="宋体"/>
          <w:color w:val="auto"/>
          <w:szCs w:val="24"/>
          <w:highlight w:val="none"/>
          <w:u w:val="dotted"/>
        </w:rPr>
      </w:pPr>
      <w:r>
        <w:rPr>
          <w:rFonts w:hint="eastAsia" w:hAnsi="宋体" w:cs="宋体"/>
          <w:color w:val="auto"/>
          <w:szCs w:val="24"/>
          <w:highlight w:val="none"/>
        </w:rPr>
        <w:t>投诉人：</w:t>
      </w:r>
      <w:r>
        <w:rPr>
          <w:rFonts w:hint="eastAsia" w:hAnsi="宋体" w:cs="宋体"/>
          <w:color w:val="auto"/>
          <w:szCs w:val="24"/>
          <w:highlight w:val="none"/>
          <w:u w:val="dotted"/>
        </w:rPr>
        <w:t xml:space="preserve">                                               </w:t>
      </w:r>
    </w:p>
    <w:p w14:paraId="421225AC">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3408141C">
      <w:pPr>
        <w:tabs>
          <w:tab w:val="left" w:pos="6510"/>
        </w:tabs>
        <w:jc w:val="left"/>
        <w:rPr>
          <w:rFonts w:hAnsi="宋体" w:cs="宋体"/>
          <w:color w:val="auto"/>
          <w:szCs w:val="24"/>
          <w:highlight w:val="none"/>
        </w:rPr>
      </w:pPr>
      <w:r>
        <w:rPr>
          <w:rFonts w:hint="eastAsia" w:hAnsi="宋体" w:cs="宋体"/>
          <w:color w:val="auto"/>
          <w:szCs w:val="24"/>
          <w:highlight w:val="none"/>
        </w:rPr>
        <w:t>法定代表人/主要负责人：</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468FB6D8">
      <w:pPr>
        <w:tabs>
          <w:tab w:val="left" w:pos="6510"/>
        </w:tabs>
        <w:rPr>
          <w:rFonts w:hAnsi="宋体" w:cs="宋体"/>
          <w:color w:val="auto"/>
          <w:szCs w:val="24"/>
          <w:highlight w:val="none"/>
          <w:u w:val="dotted"/>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35A5776F">
      <w:pPr>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0E585B2A">
      <w:pPr>
        <w:rPr>
          <w:rFonts w:hAnsi="宋体" w:cs="宋体"/>
          <w:color w:val="auto"/>
          <w:szCs w:val="24"/>
          <w:highlight w:val="none"/>
          <w:u w:val="dotted"/>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r>
        <w:rPr>
          <w:rFonts w:hint="eastAsia" w:hAnsi="宋体" w:cs="宋体"/>
          <w:color w:val="auto"/>
          <w:szCs w:val="24"/>
          <w:highlight w:val="none"/>
          <w:u w:val="dotted"/>
        </w:rPr>
        <w:t xml:space="preserve">                   </w:t>
      </w:r>
    </w:p>
    <w:p w14:paraId="6B7CC229">
      <w:pPr>
        <w:rPr>
          <w:rFonts w:hAnsi="宋体" w:cs="宋体"/>
          <w:color w:val="auto"/>
          <w:szCs w:val="24"/>
          <w:highlight w:val="none"/>
          <w:u w:val="single"/>
        </w:rPr>
      </w:pPr>
      <w:r>
        <w:rPr>
          <w:rFonts w:hint="eastAsia" w:hAnsi="宋体" w:cs="宋体"/>
          <w:color w:val="auto"/>
          <w:szCs w:val="24"/>
          <w:highlight w:val="none"/>
        </w:rPr>
        <w:t>被投诉人1：</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32C97D5F">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00C02E5">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36232A5">
      <w:pPr>
        <w:rPr>
          <w:rFonts w:hAnsi="宋体" w:cs="宋体"/>
          <w:color w:val="auto"/>
          <w:szCs w:val="24"/>
          <w:highlight w:val="none"/>
        </w:rPr>
      </w:pPr>
      <w:r>
        <w:rPr>
          <w:rFonts w:hint="eastAsia" w:hAnsi="宋体" w:cs="宋体"/>
          <w:color w:val="auto"/>
          <w:szCs w:val="24"/>
          <w:highlight w:val="none"/>
        </w:rPr>
        <w:t>被投诉人2</w:t>
      </w:r>
    </w:p>
    <w:p w14:paraId="1DC3D7A3">
      <w:pPr>
        <w:rPr>
          <w:rFonts w:hAnsi="宋体" w:cs="宋体"/>
          <w:color w:val="auto"/>
          <w:szCs w:val="24"/>
          <w:highlight w:val="none"/>
          <w:u w:val="dotted"/>
        </w:rPr>
      </w:pPr>
      <w:r>
        <w:rPr>
          <w:rFonts w:hint="eastAsia" w:hAnsi="宋体" w:cs="宋体"/>
          <w:color w:val="auto"/>
          <w:szCs w:val="24"/>
          <w:highlight w:val="none"/>
        </w:rPr>
        <w:t>……</w:t>
      </w:r>
    </w:p>
    <w:p w14:paraId="3AEB0520">
      <w:pPr>
        <w:rPr>
          <w:rFonts w:hAnsi="宋体" w:cs="宋体"/>
          <w:color w:val="auto"/>
          <w:szCs w:val="24"/>
          <w:highlight w:val="none"/>
          <w:u w:val="single"/>
        </w:rPr>
      </w:pPr>
      <w:r>
        <w:rPr>
          <w:rFonts w:hint="eastAsia" w:hAnsi="宋体" w:cs="宋体"/>
          <w:color w:val="auto"/>
          <w:szCs w:val="24"/>
          <w:highlight w:val="none"/>
        </w:rPr>
        <w:t>相关供应商：</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1C288D1">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2413B3EE">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4731F2A4">
      <w:pPr>
        <w:rPr>
          <w:rFonts w:hAnsi="宋体" w:cs="宋体"/>
          <w:color w:val="auto"/>
          <w:szCs w:val="24"/>
          <w:highlight w:val="none"/>
        </w:rPr>
      </w:pPr>
      <w:r>
        <w:rPr>
          <w:rFonts w:hint="eastAsia" w:hAnsi="宋体" w:cs="宋体"/>
          <w:color w:val="auto"/>
          <w:szCs w:val="24"/>
          <w:highlight w:val="none"/>
        </w:rPr>
        <w:t>二、投诉项目基本情况</w:t>
      </w:r>
    </w:p>
    <w:p w14:paraId="08BF38E9">
      <w:pPr>
        <w:rPr>
          <w:rFonts w:hAnsi="宋体" w:cs="宋体"/>
          <w:color w:val="auto"/>
          <w:szCs w:val="24"/>
          <w:highlight w:val="none"/>
          <w:u w:val="dotted"/>
        </w:rPr>
      </w:pPr>
      <w:r>
        <w:rPr>
          <w:rFonts w:hint="eastAsia" w:hAnsi="宋体" w:cs="宋体"/>
          <w:color w:val="auto"/>
          <w:szCs w:val="24"/>
          <w:highlight w:val="none"/>
        </w:rPr>
        <w:t>采购项目名称：</w:t>
      </w:r>
      <w:r>
        <w:rPr>
          <w:rFonts w:hint="eastAsia" w:hAnsi="宋体" w:cs="宋体"/>
          <w:color w:val="auto"/>
          <w:szCs w:val="24"/>
          <w:highlight w:val="none"/>
          <w:u w:val="dotted"/>
        </w:rPr>
        <w:t xml:space="preserve">                                        </w:t>
      </w:r>
    </w:p>
    <w:p w14:paraId="35B78358">
      <w:pPr>
        <w:rPr>
          <w:rFonts w:hAnsi="宋体" w:cs="宋体"/>
          <w:color w:val="auto"/>
          <w:szCs w:val="24"/>
          <w:highlight w:val="none"/>
          <w:u w:val="single"/>
        </w:rPr>
      </w:pPr>
      <w:r>
        <w:rPr>
          <w:rFonts w:hint="eastAsia" w:hAnsi="宋体" w:cs="宋体"/>
          <w:color w:val="auto"/>
          <w:szCs w:val="24"/>
          <w:highlight w:val="none"/>
        </w:rPr>
        <w:t>采购项目编号：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0225047B">
      <w:pPr>
        <w:rPr>
          <w:rFonts w:hAnsi="宋体" w:cs="宋体"/>
          <w:color w:val="auto"/>
          <w:szCs w:val="24"/>
          <w:highlight w:val="none"/>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8D7F87D">
      <w:pPr>
        <w:rPr>
          <w:rFonts w:hAnsi="宋体" w:cs="宋体"/>
          <w:color w:val="auto"/>
          <w:szCs w:val="24"/>
          <w:highlight w:val="none"/>
          <w:u w:val="single"/>
        </w:rPr>
      </w:pPr>
      <w:r>
        <w:rPr>
          <w:rFonts w:hint="eastAsia" w:hAnsi="宋体" w:cs="宋体"/>
          <w:color w:val="auto"/>
          <w:szCs w:val="24"/>
          <w:highlight w:val="none"/>
        </w:rPr>
        <w:t>代理机构名称：</w:t>
      </w:r>
      <w:r>
        <w:rPr>
          <w:rFonts w:hint="eastAsia" w:hAnsi="宋体" w:cs="宋体"/>
          <w:color w:val="auto"/>
          <w:szCs w:val="24"/>
          <w:highlight w:val="none"/>
          <w:u w:val="dotted"/>
        </w:rPr>
        <w:t xml:space="preserve">                                         </w:t>
      </w:r>
    </w:p>
    <w:p w14:paraId="1354552A">
      <w:pPr>
        <w:rPr>
          <w:rFonts w:hAnsi="宋体" w:cs="宋体"/>
          <w:color w:val="auto"/>
          <w:szCs w:val="24"/>
          <w:highlight w:val="none"/>
          <w:u w:val="dotted"/>
        </w:rPr>
      </w:pPr>
      <w:r>
        <w:rPr>
          <w:rFonts w:hint="eastAsia" w:hAnsi="宋体" w:cs="宋体"/>
          <w:color w:val="auto"/>
          <w:szCs w:val="24"/>
          <w:highlight w:val="none"/>
        </w:rPr>
        <w:t>采购文件公告: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177B8B41">
      <w:pPr>
        <w:rPr>
          <w:rFonts w:hAnsi="宋体" w:cs="宋体"/>
          <w:color w:val="auto"/>
          <w:szCs w:val="24"/>
          <w:highlight w:val="none"/>
          <w:u w:val="single"/>
        </w:rPr>
      </w:pPr>
      <w:r>
        <w:rPr>
          <w:rFonts w:hint="eastAsia" w:hAnsi="宋体" w:cs="宋体"/>
          <w:color w:val="auto"/>
          <w:szCs w:val="24"/>
          <w:highlight w:val="none"/>
        </w:rPr>
        <w:t>采购结果公告: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555B5EF6">
      <w:pPr>
        <w:rPr>
          <w:rFonts w:hAnsi="宋体" w:cs="宋体"/>
          <w:color w:val="auto"/>
          <w:szCs w:val="24"/>
          <w:highlight w:val="none"/>
        </w:rPr>
      </w:pPr>
      <w:r>
        <w:rPr>
          <w:rFonts w:hint="eastAsia" w:hAnsi="宋体" w:cs="宋体"/>
          <w:color w:val="auto"/>
          <w:szCs w:val="24"/>
          <w:highlight w:val="none"/>
        </w:rPr>
        <w:t>三、质疑基本情况</w:t>
      </w:r>
    </w:p>
    <w:p w14:paraId="30D89DDD">
      <w:pPr>
        <w:ind w:firstLine="480" w:firstLineChars="200"/>
        <w:rPr>
          <w:rFonts w:hAnsi="宋体" w:cs="宋体"/>
          <w:color w:val="auto"/>
          <w:szCs w:val="24"/>
          <w:highlight w:val="none"/>
          <w:u w:val="dotted"/>
        </w:rPr>
      </w:pPr>
      <w:r>
        <w:rPr>
          <w:rFonts w:hint="eastAsia" w:hAnsi="宋体" w:cs="宋体"/>
          <w:color w:val="auto"/>
          <w:szCs w:val="24"/>
          <w:highlight w:val="none"/>
        </w:rPr>
        <w:t>投诉人于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日,向</w:t>
      </w:r>
      <w:r>
        <w:rPr>
          <w:rFonts w:hint="eastAsia" w:hAnsi="宋体" w:cs="宋体"/>
          <w:color w:val="auto"/>
          <w:szCs w:val="24"/>
          <w:highlight w:val="none"/>
          <w:u w:val="dotted"/>
        </w:rPr>
        <w:t xml:space="preserve">                   </w:t>
      </w:r>
      <w:r>
        <w:rPr>
          <w:rFonts w:hint="eastAsia" w:hAnsi="宋体" w:cs="宋体"/>
          <w:color w:val="auto"/>
          <w:szCs w:val="24"/>
          <w:highlight w:val="none"/>
        </w:rPr>
        <w:t>提出质疑，质疑事项为：</w:t>
      </w:r>
      <w:r>
        <w:rPr>
          <w:rFonts w:hint="eastAsia" w:hAnsi="宋体" w:cs="宋体"/>
          <w:color w:val="auto"/>
          <w:szCs w:val="24"/>
          <w:highlight w:val="none"/>
          <w:u w:val="dotted"/>
        </w:rPr>
        <w:t xml:space="preserve">                                </w:t>
      </w:r>
    </w:p>
    <w:p w14:paraId="5C56D0E9">
      <w:pPr>
        <w:rPr>
          <w:rFonts w:hAnsi="宋体" w:cs="宋体"/>
          <w:color w:val="auto"/>
          <w:szCs w:val="24"/>
          <w:highlight w:val="none"/>
          <w:u w:val="dotted"/>
        </w:rPr>
      </w:pP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36F7BA89">
      <w:pPr>
        <w:ind w:firstLine="360" w:firstLineChars="150"/>
        <w:rPr>
          <w:rFonts w:hAnsi="宋体" w:cs="宋体"/>
          <w:color w:val="auto"/>
          <w:szCs w:val="24"/>
          <w:highlight w:val="none"/>
        </w:rPr>
      </w:pPr>
      <w:r>
        <w:rPr>
          <w:rFonts w:hint="eastAsia" w:hAnsi="宋体" w:cs="宋体"/>
          <w:color w:val="auto"/>
          <w:szCs w:val="24"/>
          <w:highlight w:val="none"/>
          <w:u w:val="dotted"/>
        </w:rPr>
        <w:t>采购人/代理机构</w:t>
      </w:r>
      <w:r>
        <w:rPr>
          <w:rFonts w:hint="eastAsia" w:hAnsi="宋体" w:cs="宋体"/>
          <w:color w:val="auto"/>
          <w:szCs w:val="24"/>
          <w:highlight w:val="none"/>
        </w:rPr>
        <w:t>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日,就质疑事项作出了答复/没有在法定期限内作出答复。</w:t>
      </w:r>
    </w:p>
    <w:p w14:paraId="46876EA5">
      <w:pPr>
        <w:rPr>
          <w:rFonts w:hAnsi="宋体" w:cs="宋体"/>
          <w:color w:val="auto"/>
          <w:szCs w:val="24"/>
          <w:highlight w:val="none"/>
        </w:rPr>
      </w:pPr>
      <w:r>
        <w:rPr>
          <w:rFonts w:hint="eastAsia" w:hAnsi="宋体" w:cs="宋体"/>
          <w:color w:val="auto"/>
          <w:szCs w:val="24"/>
          <w:highlight w:val="none"/>
        </w:rPr>
        <w:t>四、投诉事项具体内容</w:t>
      </w:r>
    </w:p>
    <w:p w14:paraId="026CA37D">
      <w:pPr>
        <w:rPr>
          <w:rFonts w:hAnsi="宋体" w:cs="宋体"/>
          <w:color w:val="auto"/>
          <w:szCs w:val="24"/>
          <w:highlight w:val="none"/>
          <w:u w:val="single"/>
        </w:rPr>
      </w:pPr>
      <w:r>
        <w:rPr>
          <w:rFonts w:hint="eastAsia" w:hAnsi="宋体" w:cs="宋体"/>
          <w:color w:val="auto"/>
          <w:szCs w:val="24"/>
          <w:highlight w:val="none"/>
        </w:rPr>
        <w:t>投诉事项 1：</w:t>
      </w:r>
      <w:r>
        <w:rPr>
          <w:rFonts w:hint="eastAsia" w:hAnsi="宋体" w:cs="宋体"/>
          <w:color w:val="auto"/>
          <w:szCs w:val="24"/>
          <w:highlight w:val="none"/>
          <w:u w:val="dotted"/>
        </w:rPr>
        <w:t xml:space="preserve">                                       </w:t>
      </w:r>
    </w:p>
    <w:p w14:paraId="386F6DDB">
      <w:pPr>
        <w:rPr>
          <w:rFonts w:hAnsi="宋体" w:cs="宋体"/>
          <w:color w:val="auto"/>
          <w:szCs w:val="24"/>
          <w:highlight w:val="none"/>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3166399D">
      <w:pPr>
        <w:rPr>
          <w:rFonts w:hAnsi="宋体" w:cs="宋体"/>
          <w:color w:val="auto"/>
          <w:szCs w:val="24"/>
          <w:highlight w:val="none"/>
          <w:u w:val="dotted"/>
        </w:rPr>
      </w:pPr>
      <w:r>
        <w:rPr>
          <w:rFonts w:hint="eastAsia" w:hAnsi="宋体" w:cs="宋体"/>
          <w:color w:val="auto"/>
          <w:szCs w:val="24"/>
          <w:highlight w:val="none"/>
          <w:u w:val="dotted"/>
        </w:rPr>
        <w:t xml:space="preserve">                                                      </w:t>
      </w:r>
    </w:p>
    <w:p w14:paraId="4E531983">
      <w:pPr>
        <w:rPr>
          <w:rFonts w:hAnsi="宋体" w:cs="宋体"/>
          <w:color w:val="auto"/>
          <w:szCs w:val="24"/>
          <w:highlight w:val="none"/>
          <w:u w:val="single"/>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54A621FA">
      <w:pPr>
        <w:rPr>
          <w:rFonts w:hAnsi="宋体" w:cs="宋体"/>
          <w:color w:val="auto"/>
          <w:szCs w:val="24"/>
          <w:highlight w:val="none"/>
          <w:u w:val="dotted"/>
        </w:rPr>
      </w:pPr>
      <w:r>
        <w:rPr>
          <w:rFonts w:hint="eastAsia" w:hAnsi="宋体" w:cs="宋体"/>
          <w:color w:val="auto"/>
          <w:szCs w:val="24"/>
          <w:highlight w:val="none"/>
          <w:u w:val="dotted"/>
        </w:rPr>
        <w:t xml:space="preserve">                                                      </w:t>
      </w:r>
    </w:p>
    <w:p w14:paraId="12D4AD3B">
      <w:pPr>
        <w:rPr>
          <w:rFonts w:hAnsi="宋体" w:cs="宋体"/>
          <w:color w:val="auto"/>
          <w:szCs w:val="24"/>
          <w:highlight w:val="none"/>
        </w:rPr>
      </w:pPr>
      <w:r>
        <w:rPr>
          <w:rFonts w:hint="eastAsia" w:hAnsi="宋体" w:cs="宋体"/>
          <w:color w:val="auto"/>
          <w:szCs w:val="24"/>
          <w:highlight w:val="none"/>
        </w:rPr>
        <w:t>投诉事项2</w:t>
      </w:r>
    </w:p>
    <w:p w14:paraId="009C98EF">
      <w:pPr>
        <w:rPr>
          <w:rFonts w:hAnsi="宋体" w:cs="宋体"/>
          <w:color w:val="auto"/>
          <w:szCs w:val="24"/>
          <w:highlight w:val="none"/>
          <w:u w:val="dotted"/>
        </w:rPr>
      </w:pPr>
      <w:r>
        <w:rPr>
          <w:rFonts w:hint="eastAsia" w:hAnsi="宋体" w:cs="宋体"/>
          <w:color w:val="auto"/>
          <w:szCs w:val="24"/>
          <w:highlight w:val="none"/>
        </w:rPr>
        <w:t>……</w:t>
      </w:r>
    </w:p>
    <w:p w14:paraId="7A5D58EA">
      <w:pPr>
        <w:rPr>
          <w:rFonts w:hAnsi="宋体" w:cs="宋体"/>
          <w:color w:val="auto"/>
          <w:szCs w:val="24"/>
          <w:highlight w:val="none"/>
        </w:rPr>
      </w:pPr>
      <w:r>
        <w:rPr>
          <w:rFonts w:hint="eastAsia" w:hAnsi="宋体" w:cs="宋体"/>
          <w:color w:val="auto"/>
          <w:szCs w:val="24"/>
          <w:highlight w:val="none"/>
        </w:rPr>
        <w:t>五、与投诉事项相关的投诉请求</w:t>
      </w:r>
    </w:p>
    <w:p w14:paraId="181594CD">
      <w:pPr>
        <w:rPr>
          <w:rFonts w:hAnsi="宋体" w:cs="宋体"/>
          <w:color w:val="auto"/>
          <w:szCs w:val="24"/>
          <w:highlight w:val="none"/>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50A1EEE7">
      <w:pPr>
        <w:rPr>
          <w:rFonts w:hAnsi="宋体" w:cs="宋体"/>
          <w:color w:val="auto"/>
          <w:szCs w:val="24"/>
          <w:highlight w:val="none"/>
          <w:u w:val="single"/>
        </w:rPr>
      </w:pPr>
      <w:r>
        <w:rPr>
          <w:rFonts w:hint="eastAsia" w:hAnsi="宋体" w:cs="宋体"/>
          <w:color w:val="auto"/>
          <w:szCs w:val="24"/>
          <w:highlight w:val="none"/>
        </w:rPr>
        <w:t xml:space="preserve">                                                                                                    </w:t>
      </w:r>
    </w:p>
    <w:p w14:paraId="655D29A3">
      <w:pPr>
        <w:rPr>
          <w:rFonts w:hAnsi="宋体" w:cs="宋体"/>
          <w:color w:val="auto"/>
          <w:szCs w:val="24"/>
          <w:highlight w:val="none"/>
        </w:rPr>
      </w:pPr>
      <w:r>
        <w:rPr>
          <w:rFonts w:hint="eastAsia" w:hAnsi="宋体" w:cs="宋体"/>
          <w:color w:val="auto"/>
          <w:szCs w:val="24"/>
          <w:highlight w:val="none"/>
        </w:rPr>
        <w:t xml:space="preserve">签字(签章)：                   公章：                      </w:t>
      </w:r>
    </w:p>
    <w:p w14:paraId="07F66E6B">
      <w:pPr>
        <w:rPr>
          <w:rFonts w:hAnsi="宋体" w:cs="宋体"/>
          <w:color w:val="auto"/>
          <w:sz w:val="21"/>
          <w:szCs w:val="21"/>
          <w:highlight w:val="none"/>
        </w:rPr>
      </w:pPr>
      <w:r>
        <w:rPr>
          <w:rFonts w:hint="eastAsia" w:hAnsi="宋体" w:cs="宋体"/>
          <w:color w:val="auto"/>
          <w:szCs w:val="24"/>
          <w:highlight w:val="none"/>
        </w:rPr>
        <w:t xml:space="preserve">日期：    </w:t>
      </w:r>
      <w:r>
        <w:rPr>
          <w:rFonts w:hint="eastAsia" w:hAnsi="宋体" w:cs="宋体"/>
          <w:color w:val="auto"/>
          <w:sz w:val="21"/>
          <w:szCs w:val="21"/>
          <w:highlight w:val="none"/>
        </w:rPr>
        <w:t xml:space="preserve">                  </w:t>
      </w:r>
    </w:p>
    <w:p w14:paraId="7C74A499">
      <w:pPr>
        <w:spacing w:line="360" w:lineRule="auto"/>
        <w:rPr>
          <w:color w:val="auto"/>
          <w:highlight w:val="none"/>
        </w:rPr>
      </w:pPr>
      <w:r>
        <w:rPr>
          <w:rFonts w:hint="eastAsia" w:hAnsi="宋体" w:cs="宋体"/>
          <w:color w:val="auto"/>
          <w:szCs w:val="24"/>
          <w:highlight w:val="none"/>
        </w:rPr>
        <w:t xml:space="preserve">                                </w:t>
      </w:r>
    </w:p>
    <w:sectPr>
      <w:footerReference r:id="rId11" w:type="first"/>
      <w:footerReference r:id="rId10" w:type="default"/>
      <w:pgSz w:w="11906" w:h="16838"/>
      <w:pgMar w:top="1361" w:right="1304" w:bottom="1361" w:left="1304"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GYXIQ+Frutiger-Cn">
    <w:altName w:val="宋体"/>
    <w:panose1 w:val="00000000000000000000"/>
    <w:charset w:val="86"/>
    <w:family w:val="swiss"/>
    <w:pitch w:val="default"/>
    <w:sig w:usb0="00000000" w:usb1="00000000" w:usb2="00000010" w:usb3="00000000" w:csb0="00040000" w:csb1="00000000"/>
  </w:font>
  <w:font w:name="Helvetica Neue">
    <w:altName w:val="Times New Roman"/>
    <w:panose1 w:val="00000000000000000000"/>
    <w:charset w:val="00"/>
    <w:family w:val="auto"/>
    <w:pitch w:val="default"/>
    <w:sig w:usb0="00000000" w:usb1="00000000" w:usb2="00000010" w:usb3="00000000" w:csb0="00000000" w:csb1="00000000"/>
  </w:font>
  <w:font w:name="Arial Unicode MS">
    <w:altName w:val="Arial"/>
    <w:panose1 w:val="020B0604020202020204"/>
    <w:charset w:val="00"/>
    <w:family w:val="swiss"/>
    <w:pitch w:val="default"/>
    <w:sig w:usb0="00000000" w:usb1="00000000" w:usb2="0000003F" w:usb3="00000000" w:csb0="603F01FF" w:csb1="FFFF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1B11B">
    <w:pPr>
      <w:pStyle w:val="14"/>
    </w:pPr>
    <w:r>
      <w:rPr>
        <w:rFonts w:hint="eastAsia"/>
      </w:rPr>
      <w:t xml:space="preserve">陕西至诚项目管理集团有限公司                         </w:t>
    </w:r>
    <w:r>
      <w:rPr>
        <w:rFonts w:hint="eastAsia"/>
      </w:rPr>
      <w:tab/>
    </w:r>
    <w:r>
      <w:rPr>
        <w:rFonts w:hint="eastAsia"/>
      </w:rPr>
      <w:t>地址：西安市陕西省西安市未央区未央路171-1 银池广场道拉斯财富中心21楼03室</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ABAA7">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2B292">
    <w:pPr>
      <w:pStyle w:val="14"/>
    </w:pPr>
    <w:r>
      <w:rPr>
        <w:rFonts w:hint="eastAsia"/>
      </w:rPr>
      <w:t xml:space="preserve">陕西至诚项目管理集团有限公司                         </w:t>
    </w:r>
    <w:r>
      <w:rPr>
        <w:rFonts w:hint="eastAsia"/>
      </w:rPr>
      <w:tab/>
    </w:r>
    <w:r>
      <w:rPr>
        <w:rFonts w:hint="eastAsia"/>
      </w:rPr>
      <w:t>地址：西安市陕西省西安市未央区未央路171-1 银池广场道拉斯财富中心21楼03室</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2EF82">
    <w:pPr>
      <w:pStyle w:val="14"/>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85AC6">
    <w:pPr>
      <w:tabs>
        <w:tab w:val="left" w:pos="5646"/>
      </w:tabs>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24F214">
                          <w:pPr>
                            <w:pStyle w:val="14"/>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D24F214">
                    <w:pPr>
                      <w:pStyle w:val="14"/>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p w14:paraId="61E87750">
    <w:pPr>
      <w:pStyle w:val="14"/>
      <w:jc w:val="both"/>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CBC38">
    <w:pPr>
      <w:pStyle w:val="14"/>
    </w:pPr>
    <w: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5569F13">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PTBtM4BAACnAwAADgAAAGRycy9lMm9Eb2MueG1srVPNjtMwEL4j8Q6W&#10;7zRpV0J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3aT&#10;5Ok9VlR176kuDm9hoKWZ40jBxHpog01f4sMoT+Ker+KqITKZLq1X63VJKUm52SH84uG6DxjfKbAs&#10;GTUP9HpZVHH6gHEsnUtSNwd32pj8gsb9FSDMMaLyCky3E5Nx4mTFYT9M9PbQnIldT2tQc0dbz5l5&#10;70jltDGzEWZjPxtHH/Sho0GXeUr0b46RRsqTpg4jLDFMDr1f5jrtWlqQx36uevi/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Aj0wbTOAQAApwMAAA4AAAAAAAAAAQAgAAAAHgEAAGRycy9l&#10;Mm9Eb2MueG1sUEsFBgAAAAAGAAYAWQEAAF4FAAAAAA==&#10;">
              <v:fill on="f" focussize="0,0"/>
              <v:stroke on="f"/>
              <v:imagedata o:title=""/>
              <o:lock v:ext="edit" aspectratio="f"/>
              <v:textbox inset="0mm,0mm,0mm,0mm" style="mso-fit-shape-to-text:t;">
                <w:txbxContent>
                  <w:p w14:paraId="55569F13">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4A4F1">
    <w:pPr>
      <w:spacing w:line="500" w:lineRule="exact"/>
      <w:ind w:left="1530" w:hanging="1530" w:hangingChars="850"/>
      <w:jc w:val="left"/>
      <w:rPr>
        <w:rFonts w:hint="default" w:hAnsi="宋体" w:cs="宋体"/>
        <w:sz w:val="24"/>
        <w:szCs w:val="24"/>
        <w:lang w:val="en-US"/>
      </w:rPr>
    </w:pPr>
    <w:r>
      <w:rPr>
        <w:rFonts w:hint="eastAsia" w:hAnsi="宋体"/>
        <w:bCs/>
        <w:sz w:val="18"/>
        <w:szCs w:val="18"/>
        <w:u w:val="single"/>
        <w:lang w:val="en-US" w:eastAsia="zh-CN"/>
      </w:rPr>
      <w:t>西安温度暖益绵长互联网科技助老公益活动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A2655">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EE4EC6">
    <w:pPr>
      <w:pStyle w:val="15"/>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45DCC0"/>
    <w:multiLevelType w:val="singleLevel"/>
    <w:tmpl w:val="3345DCC0"/>
    <w:lvl w:ilvl="0" w:tentative="0">
      <w:start w:val="1"/>
      <w:numFmt w:val="decimal"/>
      <w:suff w:val="nothing"/>
      <w:lvlText w:val="%1）"/>
      <w:lvlJc w:val="left"/>
    </w:lvl>
  </w:abstractNum>
  <w:abstractNum w:abstractNumId="1">
    <w:nsid w:val="590049E8"/>
    <w:multiLevelType w:val="singleLevel"/>
    <w:tmpl w:val="590049E8"/>
    <w:lvl w:ilvl="0" w:tentative="0">
      <w:start w:val="30"/>
      <w:numFmt w:val="decimal"/>
      <w:suff w:val="nothing"/>
      <w:lvlText w:val="%1."/>
      <w:lvlJc w:val="left"/>
    </w:lvl>
  </w:abstractNum>
  <w:abstractNum w:abstractNumId="2">
    <w:nsid w:val="59B2460E"/>
    <w:multiLevelType w:val="singleLevel"/>
    <w:tmpl w:val="59B2460E"/>
    <w:lvl w:ilvl="0" w:tentative="0">
      <w:start w:val="2"/>
      <w:numFmt w:val="decimal"/>
      <w:suff w:val="nothing"/>
      <w:lvlText w:val="%1."/>
      <w:lvlJc w:val="left"/>
    </w:lvl>
  </w:abstractNum>
  <w:abstractNum w:abstractNumId="3">
    <w:nsid w:val="59CF0981"/>
    <w:multiLevelType w:val="singleLevel"/>
    <w:tmpl w:val="59CF0981"/>
    <w:lvl w:ilvl="0" w:tentative="0">
      <w:start w:val="1"/>
      <w:numFmt w:val="decimal"/>
      <w:suff w:val="nothing"/>
      <w:lvlText w:val="%1、"/>
      <w:lvlJc w:val="left"/>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MxMjYxMTc2YmNmM2ZiYzM3MzRiYzBiMTAxOWMxMDcifQ=="/>
  </w:docVars>
  <w:rsids>
    <w:rsidRoot w:val="00422DA9"/>
    <w:rsid w:val="00137253"/>
    <w:rsid w:val="001C7382"/>
    <w:rsid w:val="00284B06"/>
    <w:rsid w:val="0032060D"/>
    <w:rsid w:val="00422DA9"/>
    <w:rsid w:val="004A55FA"/>
    <w:rsid w:val="005A3987"/>
    <w:rsid w:val="006016AC"/>
    <w:rsid w:val="006256E1"/>
    <w:rsid w:val="0067163E"/>
    <w:rsid w:val="006C638F"/>
    <w:rsid w:val="00860B56"/>
    <w:rsid w:val="008C2C82"/>
    <w:rsid w:val="009444C8"/>
    <w:rsid w:val="009E22A4"/>
    <w:rsid w:val="00A646B2"/>
    <w:rsid w:val="00AB4B87"/>
    <w:rsid w:val="00C07800"/>
    <w:rsid w:val="00CA3F42"/>
    <w:rsid w:val="00F42018"/>
    <w:rsid w:val="01491172"/>
    <w:rsid w:val="026512DC"/>
    <w:rsid w:val="02B84C3A"/>
    <w:rsid w:val="02EA0A37"/>
    <w:rsid w:val="03542EE5"/>
    <w:rsid w:val="038A4972"/>
    <w:rsid w:val="043B74F6"/>
    <w:rsid w:val="051E0804"/>
    <w:rsid w:val="054F4610"/>
    <w:rsid w:val="05B80C59"/>
    <w:rsid w:val="05DA68EB"/>
    <w:rsid w:val="064767BD"/>
    <w:rsid w:val="06E72E78"/>
    <w:rsid w:val="0714287C"/>
    <w:rsid w:val="07EC2E3C"/>
    <w:rsid w:val="099E253A"/>
    <w:rsid w:val="09D21BBD"/>
    <w:rsid w:val="0A52691C"/>
    <w:rsid w:val="0A7B73F3"/>
    <w:rsid w:val="0AE0655C"/>
    <w:rsid w:val="0B2608DC"/>
    <w:rsid w:val="0B75056B"/>
    <w:rsid w:val="0BE31B98"/>
    <w:rsid w:val="0C4F1BEB"/>
    <w:rsid w:val="0C580AA0"/>
    <w:rsid w:val="0DCD7E5B"/>
    <w:rsid w:val="0EC42C1D"/>
    <w:rsid w:val="0EC96337"/>
    <w:rsid w:val="0FB71F81"/>
    <w:rsid w:val="0FCB77DB"/>
    <w:rsid w:val="0FD83CA6"/>
    <w:rsid w:val="108274B3"/>
    <w:rsid w:val="10BD35C7"/>
    <w:rsid w:val="10C03B1A"/>
    <w:rsid w:val="110A4333"/>
    <w:rsid w:val="11933EF1"/>
    <w:rsid w:val="124E6541"/>
    <w:rsid w:val="12F2507E"/>
    <w:rsid w:val="13055EFC"/>
    <w:rsid w:val="1408016B"/>
    <w:rsid w:val="14FF19C2"/>
    <w:rsid w:val="16D004E2"/>
    <w:rsid w:val="16D34E48"/>
    <w:rsid w:val="17381DE3"/>
    <w:rsid w:val="175400B6"/>
    <w:rsid w:val="17E05B11"/>
    <w:rsid w:val="17E77172"/>
    <w:rsid w:val="18243F2C"/>
    <w:rsid w:val="18624A54"/>
    <w:rsid w:val="18D213D0"/>
    <w:rsid w:val="19E219A9"/>
    <w:rsid w:val="19F1107F"/>
    <w:rsid w:val="1A6A586E"/>
    <w:rsid w:val="1A7840BB"/>
    <w:rsid w:val="1A7F74B5"/>
    <w:rsid w:val="1AB77E2C"/>
    <w:rsid w:val="1AEC0C34"/>
    <w:rsid w:val="1B917B2A"/>
    <w:rsid w:val="1BAE4D2B"/>
    <w:rsid w:val="1BF20D44"/>
    <w:rsid w:val="1BF70EFF"/>
    <w:rsid w:val="1D6C4D32"/>
    <w:rsid w:val="1D8C396C"/>
    <w:rsid w:val="1E0263B5"/>
    <w:rsid w:val="1E47352A"/>
    <w:rsid w:val="1E474499"/>
    <w:rsid w:val="1E616F4E"/>
    <w:rsid w:val="1E7D10B6"/>
    <w:rsid w:val="1E9329DA"/>
    <w:rsid w:val="1EA47FBB"/>
    <w:rsid w:val="1EA638ED"/>
    <w:rsid w:val="1F126C7C"/>
    <w:rsid w:val="1FB72D74"/>
    <w:rsid w:val="1FEB742A"/>
    <w:rsid w:val="20530343"/>
    <w:rsid w:val="20531852"/>
    <w:rsid w:val="209348EA"/>
    <w:rsid w:val="20C75D9C"/>
    <w:rsid w:val="21210A4D"/>
    <w:rsid w:val="2159096D"/>
    <w:rsid w:val="235D6E11"/>
    <w:rsid w:val="23605E63"/>
    <w:rsid w:val="237F1D35"/>
    <w:rsid w:val="23AC19CC"/>
    <w:rsid w:val="23B4085A"/>
    <w:rsid w:val="245416F5"/>
    <w:rsid w:val="24D93136"/>
    <w:rsid w:val="255B2E26"/>
    <w:rsid w:val="258C4C14"/>
    <w:rsid w:val="25E76599"/>
    <w:rsid w:val="25F413E1"/>
    <w:rsid w:val="26195E27"/>
    <w:rsid w:val="26450D58"/>
    <w:rsid w:val="2683064A"/>
    <w:rsid w:val="272C1927"/>
    <w:rsid w:val="281E2746"/>
    <w:rsid w:val="289A5B44"/>
    <w:rsid w:val="28C0686E"/>
    <w:rsid w:val="29E01C20"/>
    <w:rsid w:val="29E55A22"/>
    <w:rsid w:val="2A6A14C8"/>
    <w:rsid w:val="2AF552B4"/>
    <w:rsid w:val="2B372839"/>
    <w:rsid w:val="2B934FAD"/>
    <w:rsid w:val="2BB60EE7"/>
    <w:rsid w:val="2BCA6741"/>
    <w:rsid w:val="2BE608F9"/>
    <w:rsid w:val="2BF043F9"/>
    <w:rsid w:val="2C0E0D23"/>
    <w:rsid w:val="2CE837DD"/>
    <w:rsid w:val="2CFC5020"/>
    <w:rsid w:val="2DA83DCF"/>
    <w:rsid w:val="2E1D6FFC"/>
    <w:rsid w:val="2EBB4D79"/>
    <w:rsid w:val="2F02634B"/>
    <w:rsid w:val="2F0B779C"/>
    <w:rsid w:val="2FA84FEB"/>
    <w:rsid w:val="2FFD0E93"/>
    <w:rsid w:val="301001E1"/>
    <w:rsid w:val="3045283A"/>
    <w:rsid w:val="304E0F98"/>
    <w:rsid w:val="30537962"/>
    <w:rsid w:val="305F38FB"/>
    <w:rsid w:val="30B3406E"/>
    <w:rsid w:val="30BD4AC6"/>
    <w:rsid w:val="30E43FCF"/>
    <w:rsid w:val="319C2164"/>
    <w:rsid w:val="31C81974"/>
    <w:rsid w:val="31CF685F"/>
    <w:rsid w:val="3231334B"/>
    <w:rsid w:val="331040BE"/>
    <w:rsid w:val="333E1EEE"/>
    <w:rsid w:val="355C5974"/>
    <w:rsid w:val="358723B5"/>
    <w:rsid w:val="359C6A8A"/>
    <w:rsid w:val="361433DA"/>
    <w:rsid w:val="36745C27"/>
    <w:rsid w:val="3741151D"/>
    <w:rsid w:val="37662F7D"/>
    <w:rsid w:val="38325D99"/>
    <w:rsid w:val="39D553AA"/>
    <w:rsid w:val="3A064C79"/>
    <w:rsid w:val="3A8C2B51"/>
    <w:rsid w:val="3AD061AD"/>
    <w:rsid w:val="3AF06488"/>
    <w:rsid w:val="3B4F0A10"/>
    <w:rsid w:val="3B50782C"/>
    <w:rsid w:val="3B663A4F"/>
    <w:rsid w:val="3BB014AF"/>
    <w:rsid w:val="3BE21884"/>
    <w:rsid w:val="3C7B1945"/>
    <w:rsid w:val="3C7D53DE"/>
    <w:rsid w:val="3D4E699A"/>
    <w:rsid w:val="3DBB5CCD"/>
    <w:rsid w:val="3DBC7D3F"/>
    <w:rsid w:val="3E4F1453"/>
    <w:rsid w:val="3E7C700F"/>
    <w:rsid w:val="3F5B3E28"/>
    <w:rsid w:val="3F790A1F"/>
    <w:rsid w:val="406B590C"/>
    <w:rsid w:val="42377DAE"/>
    <w:rsid w:val="429D651C"/>
    <w:rsid w:val="42B37C55"/>
    <w:rsid w:val="42F00D2B"/>
    <w:rsid w:val="42FA4716"/>
    <w:rsid w:val="430B7CC0"/>
    <w:rsid w:val="43305EF3"/>
    <w:rsid w:val="45A81449"/>
    <w:rsid w:val="45D148E1"/>
    <w:rsid w:val="46431172"/>
    <w:rsid w:val="477E6905"/>
    <w:rsid w:val="47BA5602"/>
    <w:rsid w:val="47CB7BCD"/>
    <w:rsid w:val="48723E9C"/>
    <w:rsid w:val="48A948A9"/>
    <w:rsid w:val="48F344FE"/>
    <w:rsid w:val="496B79EC"/>
    <w:rsid w:val="49BD79B3"/>
    <w:rsid w:val="49C82C57"/>
    <w:rsid w:val="4A02381D"/>
    <w:rsid w:val="4A1C0EB1"/>
    <w:rsid w:val="4A5E47CC"/>
    <w:rsid w:val="4AAC2C6F"/>
    <w:rsid w:val="4B9C1A50"/>
    <w:rsid w:val="4BAD77B9"/>
    <w:rsid w:val="4C966BC0"/>
    <w:rsid w:val="4D1E03A6"/>
    <w:rsid w:val="4D3038E5"/>
    <w:rsid w:val="4D477799"/>
    <w:rsid w:val="4D596375"/>
    <w:rsid w:val="4DD010E4"/>
    <w:rsid w:val="4DEB6377"/>
    <w:rsid w:val="4DED6593"/>
    <w:rsid w:val="4E7E7EDA"/>
    <w:rsid w:val="4EA053B3"/>
    <w:rsid w:val="4F0B353D"/>
    <w:rsid w:val="4F0D5377"/>
    <w:rsid w:val="50121437"/>
    <w:rsid w:val="50132763"/>
    <w:rsid w:val="50620EE9"/>
    <w:rsid w:val="509203B3"/>
    <w:rsid w:val="5093313D"/>
    <w:rsid w:val="50DF5A3C"/>
    <w:rsid w:val="521F0CE5"/>
    <w:rsid w:val="522D23CF"/>
    <w:rsid w:val="52326C6A"/>
    <w:rsid w:val="526037D7"/>
    <w:rsid w:val="527A183A"/>
    <w:rsid w:val="528D20F2"/>
    <w:rsid w:val="52927B75"/>
    <w:rsid w:val="52A6120D"/>
    <w:rsid w:val="52C11C7B"/>
    <w:rsid w:val="535661BA"/>
    <w:rsid w:val="5391176E"/>
    <w:rsid w:val="54201323"/>
    <w:rsid w:val="54414F42"/>
    <w:rsid w:val="5498635F"/>
    <w:rsid w:val="54AB3C5D"/>
    <w:rsid w:val="54C03FAD"/>
    <w:rsid w:val="5527328A"/>
    <w:rsid w:val="5562118F"/>
    <w:rsid w:val="55801A9A"/>
    <w:rsid w:val="56E23696"/>
    <w:rsid w:val="572052E3"/>
    <w:rsid w:val="57D82FDB"/>
    <w:rsid w:val="582F6BEF"/>
    <w:rsid w:val="58415BC6"/>
    <w:rsid w:val="585F62DF"/>
    <w:rsid w:val="590A2C81"/>
    <w:rsid w:val="59361347"/>
    <w:rsid w:val="593908DE"/>
    <w:rsid w:val="59875AED"/>
    <w:rsid w:val="598A113A"/>
    <w:rsid w:val="59A66EED"/>
    <w:rsid w:val="5A4E220C"/>
    <w:rsid w:val="5AF150AF"/>
    <w:rsid w:val="5C06474A"/>
    <w:rsid w:val="5D500F29"/>
    <w:rsid w:val="5D5905FD"/>
    <w:rsid w:val="5D822C5A"/>
    <w:rsid w:val="5D93740B"/>
    <w:rsid w:val="5D940CCE"/>
    <w:rsid w:val="5DD46E27"/>
    <w:rsid w:val="5DDE789D"/>
    <w:rsid w:val="5E421FD0"/>
    <w:rsid w:val="5E7A79CF"/>
    <w:rsid w:val="5EAA2796"/>
    <w:rsid w:val="5ED0632D"/>
    <w:rsid w:val="5ED51AA0"/>
    <w:rsid w:val="5EF6071B"/>
    <w:rsid w:val="5F1C7961"/>
    <w:rsid w:val="5F864151"/>
    <w:rsid w:val="5FC65787"/>
    <w:rsid w:val="60032A91"/>
    <w:rsid w:val="60637039"/>
    <w:rsid w:val="60C74A21"/>
    <w:rsid w:val="61195669"/>
    <w:rsid w:val="61275E3B"/>
    <w:rsid w:val="61397DAE"/>
    <w:rsid w:val="61B50D1E"/>
    <w:rsid w:val="62AE5E99"/>
    <w:rsid w:val="633F11E7"/>
    <w:rsid w:val="638A1AF5"/>
    <w:rsid w:val="64A936CA"/>
    <w:rsid w:val="64CA4AE0"/>
    <w:rsid w:val="665B3698"/>
    <w:rsid w:val="665D1ED0"/>
    <w:rsid w:val="66DC6D4D"/>
    <w:rsid w:val="679B47E6"/>
    <w:rsid w:val="67B04461"/>
    <w:rsid w:val="682C6065"/>
    <w:rsid w:val="684D7F02"/>
    <w:rsid w:val="68776D2D"/>
    <w:rsid w:val="68A6624A"/>
    <w:rsid w:val="68E646F7"/>
    <w:rsid w:val="690D798C"/>
    <w:rsid w:val="69D4240D"/>
    <w:rsid w:val="69DE533E"/>
    <w:rsid w:val="69E9326E"/>
    <w:rsid w:val="6AC02E25"/>
    <w:rsid w:val="6AEA6BBE"/>
    <w:rsid w:val="6B005D17"/>
    <w:rsid w:val="6B7F174D"/>
    <w:rsid w:val="6C9F6852"/>
    <w:rsid w:val="6CCF5389"/>
    <w:rsid w:val="6CD52274"/>
    <w:rsid w:val="6E237E7E"/>
    <w:rsid w:val="6E3F0F78"/>
    <w:rsid w:val="6E960558"/>
    <w:rsid w:val="6F386134"/>
    <w:rsid w:val="6F944668"/>
    <w:rsid w:val="6F995F63"/>
    <w:rsid w:val="70291091"/>
    <w:rsid w:val="70406237"/>
    <w:rsid w:val="70C5413D"/>
    <w:rsid w:val="70FE3161"/>
    <w:rsid w:val="71BC1928"/>
    <w:rsid w:val="723E1DBC"/>
    <w:rsid w:val="73C72DDD"/>
    <w:rsid w:val="7436299A"/>
    <w:rsid w:val="74393A30"/>
    <w:rsid w:val="74C552BF"/>
    <w:rsid w:val="74F97939"/>
    <w:rsid w:val="75102D70"/>
    <w:rsid w:val="75536EBD"/>
    <w:rsid w:val="76047015"/>
    <w:rsid w:val="76214E9E"/>
    <w:rsid w:val="76E06023"/>
    <w:rsid w:val="773B2F52"/>
    <w:rsid w:val="77D649A3"/>
    <w:rsid w:val="783C3AEF"/>
    <w:rsid w:val="784B5870"/>
    <w:rsid w:val="786E1F76"/>
    <w:rsid w:val="790068CB"/>
    <w:rsid w:val="790A0471"/>
    <w:rsid w:val="79B7342D"/>
    <w:rsid w:val="79E26DE7"/>
    <w:rsid w:val="7A5B0EAD"/>
    <w:rsid w:val="7B5D576D"/>
    <w:rsid w:val="7C08295D"/>
    <w:rsid w:val="7C853459"/>
    <w:rsid w:val="7CDC740A"/>
    <w:rsid w:val="7D7D229E"/>
    <w:rsid w:val="7D7F7E70"/>
    <w:rsid w:val="7DE537E2"/>
    <w:rsid w:val="7E0724A9"/>
    <w:rsid w:val="7E2D16FC"/>
    <w:rsid w:val="7EF02F3D"/>
    <w:rsid w:val="7F0B6033"/>
    <w:rsid w:val="7F425B38"/>
    <w:rsid w:val="7FD8234F"/>
    <w:rsid w:val="7FFD67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link w:val="29"/>
    <w:qFormat/>
    <w:uiPriority w:val="0"/>
    <w:pPr>
      <w:keepNext/>
      <w:outlineLvl w:val="0"/>
    </w:pPr>
    <w:rPr>
      <w:rFonts w:ascii="仿宋_GB2312" w:hAnsi="宋体" w:eastAsia="仿宋_GB2312"/>
      <w:b/>
      <w:kern w:val="2"/>
      <w:sz w:val="32"/>
    </w:rPr>
  </w:style>
  <w:style w:type="paragraph" w:styleId="3">
    <w:name w:val="heading 2"/>
    <w:basedOn w:val="1"/>
    <w:next w:val="1"/>
    <w:qFormat/>
    <w:uiPriority w:val="9"/>
    <w:pPr>
      <w:keepNext/>
      <w:keepLines/>
      <w:widowControl/>
      <w:spacing w:before="260" w:after="260"/>
      <w:ind w:left="284"/>
      <w:jc w:val="left"/>
      <w:outlineLvl w:val="1"/>
    </w:pPr>
    <w:rPr>
      <w:rFonts w:ascii="Arial" w:hAnsi="Arial"/>
      <w:b/>
      <w:bCs/>
      <w:sz w:val="28"/>
      <w:szCs w:val="32"/>
    </w:rPr>
  </w:style>
  <w:style w:type="paragraph" w:styleId="4">
    <w:name w:val="heading 3"/>
    <w:next w:val="1"/>
    <w:unhideWhenUsed/>
    <w:qFormat/>
    <w:uiPriority w:val="9"/>
    <w:pPr>
      <w:keepNext/>
      <w:keepLines/>
      <w:spacing w:line="415" w:lineRule="auto"/>
      <w:outlineLvl w:val="2"/>
    </w:pPr>
    <w:rPr>
      <w:rFonts w:ascii="Times New Roman" w:hAnsi="Times New Roman" w:eastAsia="宋体" w:cstheme="minorBidi"/>
      <w:b/>
      <w:bCs/>
      <w:kern w:val="2"/>
      <w:sz w:val="28"/>
      <w:szCs w:val="32"/>
      <w:lang w:val="en-US" w:eastAsia="zh-CN" w:bidi="ar-SA"/>
    </w:rPr>
  </w:style>
  <w:style w:type="paragraph" w:styleId="5">
    <w:name w:val="heading 4"/>
    <w:basedOn w:val="1"/>
    <w:next w:val="1"/>
    <w:autoRedefine/>
    <w:semiHidden/>
    <w:unhideWhenUsed/>
    <w:qFormat/>
    <w:uiPriority w:val="0"/>
    <w:pPr>
      <w:spacing w:beforeAutospacing="1" w:afterAutospacing="1"/>
      <w:jc w:val="left"/>
      <w:outlineLvl w:val="3"/>
    </w:pPr>
    <w:rPr>
      <w:rFonts w:hint="eastAsia" w:hAnsi="宋体"/>
      <w:b/>
      <w:bCs/>
      <w:szCs w:val="24"/>
    </w:rPr>
  </w:style>
  <w:style w:type="paragraph" w:styleId="6">
    <w:name w:val="heading 6"/>
    <w:basedOn w:val="1"/>
    <w:next w:val="1"/>
    <w:autoRedefine/>
    <w:semiHidden/>
    <w:unhideWhenUsed/>
    <w:qFormat/>
    <w:uiPriority w:val="0"/>
    <w:pPr>
      <w:spacing w:beforeAutospacing="1" w:afterAutospacing="1"/>
      <w:jc w:val="left"/>
      <w:outlineLvl w:val="5"/>
    </w:pPr>
    <w:rPr>
      <w:rFonts w:hint="eastAsia" w:hAnsi="宋体"/>
      <w:b/>
      <w:bCs/>
      <w:sz w:val="15"/>
      <w:szCs w:val="15"/>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1"/>
    <w:autoRedefine/>
    <w:qFormat/>
    <w:uiPriority w:val="0"/>
    <w:pPr>
      <w:spacing w:line="300" w:lineRule="auto"/>
      <w:ind w:firstLine="420" w:firstLineChars="200"/>
    </w:pPr>
    <w:rPr>
      <w:rFonts w:ascii="Calibri"/>
      <w:kern w:val="2"/>
      <w:sz w:val="21"/>
      <w:szCs w:val="24"/>
    </w:rPr>
  </w:style>
  <w:style w:type="paragraph" w:styleId="8">
    <w:name w:val="Body Text 3"/>
    <w:basedOn w:val="1"/>
    <w:autoRedefine/>
    <w:qFormat/>
    <w:uiPriority w:val="0"/>
    <w:pPr>
      <w:jc w:val="center"/>
    </w:pPr>
    <w:rPr>
      <w:rFonts w:ascii="Times New Roman"/>
      <w:b/>
      <w:spacing w:val="-20"/>
      <w:w w:val="110"/>
      <w:kern w:val="2"/>
      <w:sz w:val="52"/>
    </w:rPr>
  </w:style>
  <w:style w:type="paragraph" w:styleId="9">
    <w:name w:val="Body Text"/>
    <w:basedOn w:val="1"/>
    <w:autoRedefine/>
    <w:qFormat/>
    <w:uiPriority w:val="0"/>
    <w:pPr>
      <w:spacing w:line="520" w:lineRule="exact"/>
      <w:ind w:firstLine="480" w:firstLineChars="200"/>
    </w:pPr>
    <w:rPr>
      <w:rFonts w:hAnsi="宋体" w:cs="宋体"/>
      <w:kern w:val="2"/>
      <w:szCs w:val="24"/>
    </w:rPr>
  </w:style>
  <w:style w:type="paragraph" w:styleId="10">
    <w:name w:val="Body Text Indent"/>
    <w:basedOn w:val="1"/>
    <w:next w:val="9"/>
    <w:autoRedefine/>
    <w:qFormat/>
    <w:uiPriority w:val="99"/>
    <w:pPr>
      <w:spacing w:afterLines="50" w:line="360" w:lineRule="exact"/>
      <w:ind w:firstLine="480" w:firstLineChars="200"/>
    </w:pPr>
    <w:rPr>
      <w:rFonts w:hAnsi="宋体"/>
      <w:szCs w:val="24"/>
    </w:rPr>
  </w:style>
  <w:style w:type="paragraph" w:styleId="11">
    <w:name w:val="toc 3"/>
    <w:basedOn w:val="1"/>
    <w:next w:val="1"/>
    <w:autoRedefine/>
    <w:qFormat/>
    <w:uiPriority w:val="0"/>
    <w:pPr>
      <w:ind w:left="840" w:leftChars="400"/>
    </w:pPr>
  </w:style>
  <w:style w:type="paragraph" w:styleId="12">
    <w:name w:val="Plain Text"/>
    <w:basedOn w:val="1"/>
    <w:autoRedefine/>
    <w:qFormat/>
    <w:uiPriority w:val="0"/>
    <w:rPr>
      <w:rFonts w:hAnsi="Courier New"/>
      <w:kern w:val="2"/>
      <w:sz w:val="21"/>
    </w:rPr>
  </w:style>
  <w:style w:type="paragraph" w:styleId="13">
    <w:name w:val="Balloon Text"/>
    <w:basedOn w:val="1"/>
    <w:link w:val="39"/>
    <w:qFormat/>
    <w:uiPriority w:val="0"/>
    <w:rPr>
      <w:sz w:val="18"/>
      <w:szCs w:val="18"/>
    </w:rPr>
  </w:style>
  <w:style w:type="paragraph" w:styleId="14">
    <w:name w:val="footer"/>
    <w:basedOn w:val="1"/>
    <w:autoRedefine/>
    <w:qFormat/>
    <w:uiPriority w:val="99"/>
    <w:pPr>
      <w:tabs>
        <w:tab w:val="center" w:pos="4153"/>
        <w:tab w:val="right" w:pos="8306"/>
      </w:tabs>
      <w:snapToGrid w:val="0"/>
      <w:jc w:val="left"/>
    </w:pPr>
    <w:rPr>
      <w:rFonts w:ascii="Calibri"/>
      <w:kern w:val="2"/>
      <w:sz w:val="18"/>
      <w:szCs w:val="18"/>
    </w:rPr>
  </w:style>
  <w:style w:type="paragraph" w:styleId="15">
    <w:name w:val="header"/>
    <w:basedOn w:val="1"/>
    <w:autoRedefine/>
    <w:qFormat/>
    <w:uiPriority w:val="99"/>
    <w:pPr>
      <w:pBdr>
        <w:bottom w:val="single" w:color="auto" w:sz="6" w:space="1"/>
      </w:pBdr>
      <w:tabs>
        <w:tab w:val="center" w:pos="4153"/>
        <w:tab w:val="right" w:pos="8306"/>
      </w:tabs>
      <w:snapToGrid w:val="0"/>
      <w:jc w:val="center"/>
    </w:pPr>
    <w:rPr>
      <w:rFonts w:ascii="Calibri"/>
      <w:kern w:val="2"/>
      <w:sz w:val="18"/>
      <w:szCs w:val="18"/>
    </w:rPr>
  </w:style>
  <w:style w:type="paragraph" w:styleId="16">
    <w:name w:val="toc 1"/>
    <w:basedOn w:val="1"/>
    <w:next w:val="1"/>
    <w:autoRedefine/>
    <w:unhideWhenUsed/>
    <w:qFormat/>
    <w:uiPriority w:val="39"/>
  </w:style>
  <w:style w:type="paragraph" w:styleId="17">
    <w:name w:val="Body Text Indent 3"/>
    <w:basedOn w:val="1"/>
    <w:autoRedefine/>
    <w:qFormat/>
    <w:uiPriority w:val="0"/>
    <w:pPr>
      <w:spacing w:line="410" w:lineRule="exact"/>
      <w:ind w:left="619" w:leftChars="295" w:firstLine="390" w:firstLineChars="179"/>
    </w:pPr>
    <w:rPr>
      <w:rFonts w:hAnsi="宋体"/>
      <w:spacing w:val="4"/>
      <w:kern w:val="2"/>
      <w:sz w:val="21"/>
    </w:rPr>
  </w:style>
  <w:style w:type="paragraph" w:styleId="18">
    <w:name w:val="toc 2"/>
    <w:basedOn w:val="1"/>
    <w:next w:val="1"/>
    <w:autoRedefine/>
    <w:unhideWhenUsed/>
    <w:qFormat/>
    <w:uiPriority w:val="39"/>
    <w:pPr>
      <w:ind w:left="420" w:leftChars="200"/>
    </w:pPr>
  </w:style>
  <w:style w:type="paragraph" w:styleId="19">
    <w:name w:val="Normal (Web)"/>
    <w:basedOn w:val="1"/>
    <w:autoRedefine/>
    <w:qFormat/>
    <w:uiPriority w:val="0"/>
    <w:pPr>
      <w:widowControl/>
      <w:spacing w:before="100" w:beforeAutospacing="1" w:after="100" w:afterAutospacing="1"/>
      <w:jc w:val="left"/>
    </w:pPr>
    <w:rPr>
      <w:rFonts w:hAnsi="宋体"/>
      <w:szCs w:val="24"/>
    </w:rPr>
  </w:style>
  <w:style w:type="paragraph" w:styleId="20">
    <w:name w:val="Body Text First Indent"/>
    <w:basedOn w:val="9"/>
    <w:unhideWhenUsed/>
    <w:qFormat/>
    <w:uiPriority w:val="99"/>
    <w:pPr>
      <w:ind w:firstLine="420" w:firstLineChars="100"/>
    </w:pPr>
  </w:style>
  <w:style w:type="paragraph" w:styleId="21">
    <w:name w:val="Body Text First Indent 2"/>
    <w:basedOn w:val="10"/>
    <w:next w:val="1"/>
    <w:autoRedefine/>
    <w:qFormat/>
    <w:uiPriority w:val="0"/>
    <w:pPr>
      <w:ind w:firstLine="420"/>
    </w:pPr>
  </w:style>
  <w:style w:type="table" w:styleId="23">
    <w:name w:val="Table Grid"/>
    <w:basedOn w:val="2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basedOn w:val="24"/>
    <w:autoRedefine/>
    <w:qFormat/>
    <w:uiPriority w:val="22"/>
    <w:rPr>
      <w:b/>
      <w:bCs/>
    </w:rPr>
  </w:style>
  <w:style w:type="character" w:styleId="26">
    <w:name w:val="Hyperlink"/>
    <w:basedOn w:val="24"/>
    <w:autoRedefine/>
    <w:qFormat/>
    <w:uiPriority w:val="0"/>
    <w:rPr>
      <w:color w:val="0000FF"/>
      <w:u w:val="single"/>
    </w:rPr>
  </w:style>
  <w:style w:type="paragraph" w:customStyle="1" w:styleId="27">
    <w:name w:val="样式 10 磅"/>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28">
    <w:name w:val="正文1"/>
    <w:autoRedefine/>
    <w:qFormat/>
    <w:uiPriority w:val="0"/>
    <w:pPr>
      <w:widowControl w:val="0"/>
      <w:adjustRightInd w:val="0"/>
      <w:spacing w:line="315" w:lineRule="atLeast"/>
      <w:textAlignment w:val="baseline"/>
    </w:pPr>
    <w:rPr>
      <w:rFonts w:ascii="宋体" w:hAnsi="Calibri" w:eastAsia="宋体" w:cs="Times New Roman"/>
      <w:color w:val="FF0000"/>
      <w:sz w:val="24"/>
      <w:lang w:val="en-US" w:eastAsia="zh-CN" w:bidi="ar-SA"/>
    </w:rPr>
  </w:style>
  <w:style w:type="character" w:customStyle="1" w:styleId="29">
    <w:name w:val="标题 1 Char"/>
    <w:link w:val="2"/>
    <w:autoRedefine/>
    <w:qFormat/>
    <w:uiPriority w:val="0"/>
    <w:rPr>
      <w:rFonts w:ascii="仿宋_GB2312" w:hAnsi="宋体" w:eastAsia="仿宋_GB2312"/>
      <w:b/>
      <w:kern w:val="2"/>
      <w:sz w:val="32"/>
    </w:rPr>
  </w:style>
  <w:style w:type="paragraph" w:customStyle="1" w:styleId="30">
    <w:name w:val="MessageHeader"/>
    <w:basedOn w:val="1"/>
    <w:next w:val="31"/>
    <w:autoRedefine/>
    <w:qFormat/>
    <w:uiPriority w:val="0"/>
    <w:pPr>
      <w:pBdr>
        <w:top w:val="none" w:color="000000" w:sz="0" w:space="1"/>
        <w:left w:val="none" w:color="000000" w:sz="0" w:space="1"/>
        <w:bottom w:val="none" w:color="000000" w:sz="0" w:space="1"/>
        <w:right w:val="none" w:color="000000" w:sz="0" w:space="1"/>
      </w:pBdr>
      <w:snapToGrid w:val="0"/>
      <w:spacing w:line="360" w:lineRule="auto"/>
      <w:textAlignment w:val="baseline"/>
    </w:pPr>
    <w:rPr>
      <w:rFonts w:ascii="Arial" w:hAnsi="Arial"/>
      <w:kern w:val="2"/>
      <w:sz w:val="28"/>
    </w:rPr>
  </w:style>
  <w:style w:type="paragraph" w:customStyle="1" w:styleId="31">
    <w:name w:val="BodyText"/>
    <w:basedOn w:val="1"/>
    <w:next w:val="1"/>
    <w:autoRedefine/>
    <w:qFormat/>
    <w:uiPriority w:val="0"/>
    <w:pPr>
      <w:jc w:val="center"/>
      <w:textAlignment w:val="baseline"/>
    </w:pPr>
  </w:style>
  <w:style w:type="paragraph" w:customStyle="1" w:styleId="32">
    <w:name w:val="列出段落1"/>
    <w:basedOn w:val="1"/>
    <w:autoRedefine/>
    <w:qFormat/>
    <w:uiPriority w:val="34"/>
    <w:pPr>
      <w:ind w:firstLine="420" w:firstLineChars="200"/>
    </w:pPr>
  </w:style>
  <w:style w:type="paragraph" w:customStyle="1" w:styleId="33">
    <w:name w:val="Default"/>
    <w:autoRedefine/>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paragraph" w:customStyle="1" w:styleId="34">
    <w:name w:val="表格文字中"/>
    <w:basedOn w:val="1"/>
    <w:autoRedefine/>
    <w:qFormat/>
    <w:uiPriority w:val="0"/>
    <w:pPr>
      <w:adjustRightInd w:val="0"/>
      <w:snapToGrid w:val="0"/>
      <w:ind w:left="22" w:leftChars="8"/>
      <w:jc w:val="center"/>
    </w:pPr>
    <w:rPr>
      <w:szCs w:val="24"/>
    </w:rPr>
  </w:style>
  <w:style w:type="paragraph" w:customStyle="1" w:styleId="35">
    <w:name w:val="Char1"/>
    <w:basedOn w:val="1"/>
    <w:autoRedefine/>
    <w:qFormat/>
    <w:uiPriority w:val="0"/>
    <w:pPr>
      <w:tabs>
        <w:tab w:val="left" w:pos="360"/>
      </w:tabs>
      <w:ind w:left="360" w:hanging="360" w:hangingChars="200"/>
    </w:pPr>
    <w:rPr>
      <w:szCs w:val="24"/>
    </w:rPr>
  </w:style>
  <w:style w:type="paragraph" w:customStyle="1" w:styleId="36">
    <w:name w:val="列出段落11"/>
    <w:basedOn w:val="1"/>
    <w:autoRedefine/>
    <w:qFormat/>
    <w:uiPriority w:val="34"/>
    <w:pPr>
      <w:ind w:firstLine="420" w:firstLineChars="200"/>
    </w:pPr>
    <w:rPr>
      <w:rFonts w:ascii="Calibri" w:hAnsi="Calibri"/>
      <w:szCs w:val="22"/>
    </w:rPr>
  </w:style>
  <w:style w:type="paragraph" w:customStyle="1" w:styleId="37">
    <w:name w:val="列表段落1"/>
    <w:basedOn w:val="1"/>
    <w:autoRedefine/>
    <w:qFormat/>
    <w:uiPriority w:val="99"/>
    <w:pPr>
      <w:ind w:firstLine="420" w:firstLineChars="200"/>
    </w:pPr>
  </w:style>
  <w:style w:type="paragraph" w:customStyle="1" w:styleId="38">
    <w:name w:val="Table Paragraph"/>
    <w:basedOn w:val="1"/>
    <w:autoRedefine/>
    <w:qFormat/>
    <w:uiPriority w:val="1"/>
    <w:pPr>
      <w:autoSpaceDE w:val="0"/>
      <w:autoSpaceDN w:val="0"/>
      <w:jc w:val="left"/>
    </w:pPr>
    <w:rPr>
      <w:rFonts w:hAnsi="宋体" w:cs="宋体"/>
      <w:sz w:val="22"/>
      <w:szCs w:val="22"/>
      <w:lang w:val="zh-CN"/>
    </w:rPr>
  </w:style>
  <w:style w:type="character" w:customStyle="1" w:styleId="39">
    <w:name w:val="批注框文本 Char"/>
    <w:basedOn w:val="24"/>
    <w:link w:val="13"/>
    <w:qFormat/>
    <w:uiPriority w:val="0"/>
    <w:rPr>
      <w:rFonts w:ascii="宋体"/>
      <w:sz w:val="18"/>
      <w:szCs w:val="18"/>
    </w:rPr>
  </w:style>
  <w:style w:type="paragraph" w:customStyle="1" w:styleId="40">
    <w:name w:val="样式1"/>
    <w:basedOn w:val="1"/>
    <w:qFormat/>
    <w:uiPriority w:val="0"/>
    <w:pPr>
      <w:spacing w:line="560" w:lineRule="exact"/>
      <w:ind w:firstLine="560" w:firstLineChars="200"/>
    </w:pPr>
    <w:rPr>
      <w:rFonts w:ascii="仿宋_GB2312" w:hAnsi="宋体" w:eastAsia="仿宋_GB2312"/>
      <w:color w:val="000000"/>
      <w:sz w:val="28"/>
      <w:szCs w:val="28"/>
    </w:rPr>
  </w:style>
  <w:style w:type="paragraph" w:customStyle="1" w:styleId="41">
    <w:name w:val="表"/>
    <w:basedOn w:val="1"/>
    <w:next w:val="1"/>
    <w:qFormat/>
    <w:uiPriority w:val="0"/>
    <w:pPr>
      <w:spacing w:line="240" w:lineRule="auto"/>
      <w:ind w:firstLine="0" w:firstLineChars="0"/>
      <w:jc w:val="center"/>
    </w:pPr>
    <w:rPr>
      <w:rFonts w:ascii="Times New Roman" w:hAnsi="Times New Roman"/>
      <w:b/>
      <w:sz w:val="24"/>
    </w:rPr>
  </w:style>
  <w:style w:type="paragraph" w:customStyle="1" w:styleId="42">
    <w:name w:val="null3"/>
    <w:hidden/>
    <w:qFormat/>
    <w:uiPriority w:val="0"/>
    <w:rPr>
      <w:rFonts w:hint="eastAsia" w:asciiTheme="minorHAnsi" w:hAnsiTheme="minorHAnsi" w:eastAsiaTheme="minorEastAsia" w:cstheme="minorBidi"/>
      <w:lang w:val="en-US" w:eastAsia="zh-Hans"/>
    </w:rPr>
  </w:style>
  <w:style w:type="paragraph" w:customStyle="1" w:styleId="43">
    <w:name w:val="默认"/>
    <w:qFormat/>
    <w:uiPriority w:val="0"/>
    <w:rPr>
      <w:rFonts w:ascii="Helvetica Neue" w:hAnsi="Arial Unicode MS" w:eastAsia="Helvetica Neue" w:cs="Times New Roman"/>
      <w:color w:val="000000"/>
      <w:sz w:val="22"/>
      <w:lang w:val="zh-CN"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63</Pages>
  <Words>19999</Words>
  <Characters>21540</Characters>
  <Lines>245</Lines>
  <Paragraphs>69</Paragraphs>
  <TotalTime>3</TotalTime>
  <ScaleCrop>false</ScaleCrop>
  <LinksUpToDate>false</LinksUpToDate>
  <CharactersWithSpaces>21689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lllllll</cp:lastModifiedBy>
  <cp:lastPrinted>2026-07-01T01:47:00Z</cp:lastPrinted>
  <dcterms:modified xsi:type="dcterms:W3CDTF">2026-07-01T07:08:52Z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3ED1282A83CF48F5A33AD3B0FD657733_13</vt:lpwstr>
  </property>
  <property fmtid="{D5CDD505-2E9C-101B-9397-08002B2CF9AE}" pid="4" name="KSOTemplateDocerSaveRecord">
    <vt:lpwstr>eyJoZGlkIjoiMDc2YjExZDk4YmRkMTFlODc4NDZiMTVkOTg4ODNhMmEiLCJ1c2VySWQiOiI2NTg5NjM4NzgifQ==</vt:lpwstr>
  </property>
</Properties>
</file>