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版本号：HXGJXM2026-ZC-GK101720260513001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医用辅料、床上用品和医护工作服等</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HXGJXM2026-ZC-GK1017</w:t>
      </w:r>
      <w:r>
        <w:br/>
      </w:r>
      <w:r>
        <w:br/>
      </w:r>
      <w:r>
        <w:br/>
      </w:r>
    </w:p>
    <w:p>
      <w:pPr>
        <w:pStyle w:val="null3"/>
        <w:jc w:val="center"/>
        <w:outlineLvl w:val="2"/>
      </w:pPr>
      <w:r>
        <w:rPr>
          <w:rFonts w:ascii="仿宋_GB2312" w:hAnsi="仿宋_GB2312" w:cs="仿宋_GB2312" w:eastAsia="仿宋_GB2312"/>
          <w:sz w:val="28"/>
          <w:b/>
        </w:rPr>
        <w:t>西北妇女儿童医院</w:t>
      </w:r>
    </w:p>
    <w:p>
      <w:pPr>
        <w:pStyle w:val="null3"/>
        <w:jc w:val="center"/>
        <w:outlineLvl w:val="2"/>
      </w:pPr>
      <w:r>
        <w:rPr>
          <w:rFonts w:ascii="仿宋_GB2312" w:hAnsi="仿宋_GB2312" w:cs="仿宋_GB2312" w:eastAsia="仿宋_GB2312"/>
          <w:sz w:val="28"/>
          <w:b/>
        </w:rPr>
        <w:t>华夏国际项目管理（西安）有限公司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2026年05月13日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华夏国际项目管理（西安）有限公司</w:t>
      </w:r>
      <w:r>
        <w:rPr>
          <w:rFonts w:ascii="仿宋_GB2312" w:hAnsi="仿宋_GB2312" w:cs="仿宋_GB2312" w:eastAsia="仿宋_GB2312"/>
        </w:rPr>
        <w:t>（以下简称“代理机构”）受</w:t>
      </w:r>
      <w:r>
        <w:rPr>
          <w:rFonts w:ascii="仿宋_GB2312" w:hAnsi="仿宋_GB2312" w:cs="仿宋_GB2312" w:eastAsia="仿宋_GB2312"/>
        </w:rPr>
        <w:t>西北妇女儿童医院</w:t>
      </w:r>
      <w:r>
        <w:rPr>
          <w:rFonts w:ascii="仿宋_GB2312" w:hAnsi="仿宋_GB2312" w:cs="仿宋_GB2312" w:eastAsia="仿宋_GB2312"/>
        </w:rPr>
        <w:t>委托，拟对</w:t>
      </w:r>
      <w:r>
        <w:rPr>
          <w:rFonts w:ascii="仿宋_GB2312" w:hAnsi="仿宋_GB2312" w:cs="仿宋_GB2312" w:eastAsia="仿宋_GB2312"/>
        </w:rPr>
        <w:t>医用辅料、床上用品和医护工作服等</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HXGJXM2026-ZC-GK1017</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医用辅料、床上用品和医护工作服等</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本项目为医用辅料、床上用品和医护工作服等，采购西北妇女儿童医院常用的医用辅料、手术衣、床上用品、病员服和医护工作服等纺织物。 本次采购分为3个包： 采购包1：医用辅料及手术衣，预算200万元； 采购包2：床上用品及病员服，预算200万元； 采购包3：医护工作服，预算60万元。</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法定代表人授权书/法定代表人身份证明：法定代表人授权书（附法定代表人、被授权人身份证复印件及及被授权人投标截止日前一年内在本单位已缴存的至少一个月的社会保障资金凭证）；法定代表人直接参加投标，须提供法定代表人身份证明。</w:t>
      </w:r>
    </w:p>
    <w:p>
      <w:pPr>
        <w:pStyle w:val="null3"/>
      </w:pPr>
      <w:r>
        <w:rPr>
          <w:rFonts w:ascii="仿宋_GB2312" w:hAnsi="仿宋_GB2312" w:cs="仿宋_GB2312" w:eastAsia="仿宋_GB2312"/>
        </w:rPr>
        <w:t>2、信用记录：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p>
      <w:pPr>
        <w:pStyle w:val="null3"/>
      </w:pPr>
      <w:r>
        <w:rPr>
          <w:rFonts w:ascii="仿宋_GB2312" w:hAnsi="仿宋_GB2312" w:cs="仿宋_GB2312" w:eastAsia="仿宋_GB2312"/>
        </w:rPr>
        <w:t>3、投标保证金：投标保证金缴纳凭证或担保机构出具的保函。</w:t>
      </w:r>
    </w:p>
    <w:p>
      <w:pPr>
        <w:pStyle w:val="null3"/>
      </w:pPr>
      <w:r>
        <w:rPr>
          <w:rFonts w:ascii="仿宋_GB2312" w:hAnsi="仿宋_GB2312" w:cs="仿宋_GB2312" w:eastAsia="仿宋_GB2312"/>
        </w:rPr>
        <w:t>4、非联合体：本项目不接受联合体投标。</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法定代表人授权书/法定代表人身份证明：法定代表人授权书（附法定代表人、被授权人身份证复印件及及被授权人投标截止日前一年内在本单位已缴存的至少一个月的社会保障资金凭证）；法定代表人直接参加投标，须提供法定代表人身份证明。</w:t>
      </w:r>
    </w:p>
    <w:p>
      <w:pPr>
        <w:pStyle w:val="null3"/>
      </w:pPr>
      <w:r>
        <w:rPr>
          <w:rFonts w:ascii="仿宋_GB2312" w:hAnsi="仿宋_GB2312" w:cs="仿宋_GB2312" w:eastAsia="仿宋_GB2312"/>
        </w:rPr>
        <w:t>2、信用记录：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p>
      <w:pPr>
        <w:pStyle w:val="null3"/>
      </w:pPr>
      <w:r>
        <w:rPr>
          <w:rFonts w:ascii="仿宋_GB2312" w:hAnsi="仿宋_GB2312" w:cs="仿宋_GB2312" w:eastAsia="仿宋_GB2312"/>
        </w:rPr>
        <w:t>3、投标保证金：投标保证金缴纳凭证或担保机构出具的保函。</w:t>
      </w:r>
    </w:p>
    <w:p>
      <w:pPr>
        <w:pStyle w:val="null3"/>
      </w:pPr>
      <w:r>
        <w:rPr>
          <w:rFonts w:ascii="仿宋_GB2312" w:hAnsi="仿宋_GB2312" w:cs="仿宋_GB2312" w:eastAsia="仿宋_GB2312"/>
        </w:rPr>
        <w:t>4、非联合体：本项目不接受联合体投标。</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法定代表人授权书/法定代表人身份证明：法定代表人授权书（附法定代表人、被授权人身份证复印件及及被授权人投标截止日前一年内在本单位已缴存的至少一个月的社会保障资金凭证）；法定代表人直接参加投标，须提供法定代表人身份证明。</w:t>
      </w:r>
    </w:p>
    <w:p>
      <w:pPr>
        <w:pStyle w:val="null3"/>
      </w:pPr>
      <w:r>
        <w:rPr>
          <w:rFonts w:ascii="仿宋_GB2312" w:hAnsi="仿宋_GB2312" w:cs="仿宋_GB2312" w:eastAsia="仿宋_GB2312"/>
        </w:rPr>
        <w:t>2、信用记录：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p>
      <w:pPr>
        <w:pStyle w:val="null3"/>
      </w:pPr>
      <w:r>
        <w:rPr>
          <w:rFonts w:ascii="仿宋_GB2312" w:hAnsi="仿宋_GB2312" w:cs="仿宋_GB2312" w:eastAsia="仿宋_GB2312"/>
        </w:rPr>
        <w:t>3、投标保证金：投标保证金缴纳凭证或担保机构出具的保函。</w:t>
      </w:r>
    </w:p>
    <w:p>
      <w:pPr>
        <w:pStyle w:val="null3"/>
      </w:pPr>
      <w:r>
        <w:rPr>
          <w:rFonts w:ascii="仿宋_GB2312" w:hAnsi="仿宋_GB2312" w:cs="仿宋_GB2312" w:eastAsia="仿宋_GB2312"/>
        </w:rPr>
        <w:t>4、非联合体：本项目不接受联合体投标。</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西北妇女儿童医院</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西安市雁翔路1616号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710061</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贺老师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029-89550065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华夏国际项目管理（西安）有限公司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西安市莲湖区二环南路西段202号九座花园16层1605室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陆文科、康敏茹</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029-88899970-808</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采购包1：2,000,000.00元</w:t>
            </w:r>
          </w:p>
          <w:p>
            <w:pPr>
              <w:pStyle w:val="null3"/>
            </w:pPr>
            <w:r>
              <w:rPr>
                <w:rFonts w:ascii="仿宋_GB2312" w:hAnsi="仿宋_GB2312" w:cs="仿宋_GB2312" w:eastAsia="仿宋_GB2312"/>
              </w:rPr>
              <w:t>采购包2：2,000,000.00元</w:t>
            </w:r>
          </w:p>
          <w:p>
            <w:pPr>
              <w:pStyle w:val="null3"/>
            </w:pPr>
            <w:r>
              <w:rPr>
                <w:rFonts w:ascii="仿宋_GB2312" w:hAnsi="仿宋_GB2312" w:cs="仿宋_GB2312" w:eastAsia="仿宋_GB2312"/>
              </w:rPr>
              <w:t>采购包3：600,000.00元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p>
          <w:p>
            <w:pPr>
              <w:pStyle w:val="null3"/>
            </w:pPr>
            <w:r>
              <w:rPr>
                <w:rFonts w:ascii="仿宋_GB2312" w:hAnsi="仿宋_GB2312" w:cs="仿宋_GB2312" w:eastAsia="仿宋_GB2312"/>
              </w:rPr>
              <w:t>采购包3：不接受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如有</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如有</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如有</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采购包1保证金金额：20,000.00元</w:t>
            </w:r>
          </w:p>
          <w:p>
            <w:pPr>
              <w:pStyle w:val="null3"/>
            </w:pPr>
            <w:r>
              <w:rPr>
                <w:rFonts w:ascii="仿宋_GB2312" w:hAnsi="仿宋_GB2312" w:cs="仿宋_GB2312" w:eastAsia="仿宋_GB2312"/>
              </w:rPr>
              <w:t>采购包2保证金金额：20,000.00元</w:t>
            </w:r>
          </w:p>
          <w:p>
            <w:pPr>
              <w:pStyle w:val="null3"/>
            </w:pPr>
            <w:r>
              <w:rPr>
                <w:rFonts w:ascii="仿宋_GB2312" w:hAnsi="仿宋_GB2312" w:cs="仿宋_GB2312" w:eastAsia="仿宋_GB2312"/>
              </w:rPr>
              <w:t>采购包3保证金金额：10,000.00元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开户名称：华夏国际项目管理（西安）有限公司</w:t>
            </w:r>
          </w:p>
          <w:p>
            <w:pPr>
              <w:pStyle w:val="null3"/>
            </w:pPr>
            <w:r>
              <w:rPr>
                <w:rFonts w:ascii="仿宋_GB2312" w:hAnsi="仿宋_GB2312" w:cs="仿宋_GB2312" w:eastAsia="仿宋_GB2312"/>
              </w:rPr>
              <w:t>开户银行：中国工商银行股份有限公司西安城南科技支行</w:t>
            </w:r>
          </w:p>
          <w:p>
            <w:pPr>
              <w:pStyle w:val="null3"/>
            </w:pPr>
            <w:r>
              <w:rPr>
                <w:rFonts w:ascii="仿宋_GB2312" w:hAnsi="仿宋_GB2312" w:cs="仿宋_GB2312" w:eastAsia="仿宋_GB2312"/>
              </w:rPr>
              <w:t>银行账号：3700024819200130193</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p>
            <w:pPr>
              <w:pStyle w:val="null3"/>
            </w:pPr>
            <w:r>
              <w:rPr>
                <w:rFonts w:ascii="仿宋_GB2312" w:hAnsi="仿宋_GB2312" w:cs="仿宋_GB2312" w:eastAsia="仿宋_GB2312"/>
              </w:rPr>
              <w:t>采购包3：不缴纳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关于印发《招标代理服务收费管理暂行办法》（计价格[2002]1980号）的通知和国家发展和改革委员会办公厅颁发的《关于招标代理服务收费有关问题的通知》（发改办价格[2003]857号）的有关规定下浮20%执行。 户名：华夏国际项目管理（西安）有限公司第一分公司 开户行：中国光大银行股份有限公司西安科技六路支行 账号：78620188000199459</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p>
            <w:pPr>
              <w:pStyle w:val="null3"/>
            </w:pPr>
            <w:r>
              <w:rPr>
                <w:rFonts w:ascii="仿宋_GB2312" w:hAnsi="仿宋_GB2312" w:cs="仿宋_GB2312" w:eastAsia="仿宋_GB2312"/>
              </w:rPr>
              <w:t>采购包3：组织现场踏勘：否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西北妇女儿童医院</w:t>
      </w:r>
      <w:r>
        <w:rPr>
          <w:rFonts w:ascii="仿宋_GB2312" w:hAnsi="仿宋_GB2312" w:cs="仿宋_GB2312" w:eastAsia="仿宋_GB2312"/>
        </w:rPr>
        <w:t>和</w:t>
      </w:r>
      <w:r>
        <w:rPr>
          <w:rFonts w:ascii="仿宋_GB2312" w:hAnsi="仿宋_GB2312" w:cs="仿宋_GB2312" w:eastAsia="仿宋_GB2312"/>
        </w:rPr>
        <w:t>华夏国际项目管理（西安）有限公司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西北妇女儿童医院</w:t>
      </w:r>
      <w:r>
        <w:rPr>
          <w:rFonts w:ascii="仿宋_GB2312" w:hAnsi="仿宋_GB2312" w:cs="仿宋_GB2312" w:eastAsia="仿宋_GB2312"/>
        </w:rPr>
        <w:t>负责解释。除上述招标文件内容，其他内容由</w:t>
      </w:r>
      <w:r>
        <w:rPr>
          <w:rFonts w:ascii="仿宋_GB2312" w:hAnsi="仿宋_GB2312" w:cs="仿宋_GB2312" w:eastAsia="仿宋_GB2312"/>
        </w:rPr>
        <w:t>华夏国际项目管理（西安）有限公司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西北妇女儿童医院</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华夏国际项目管理（西安）有限公司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pPr>
      <w:r>
        <w:rPr>
          <w:rFonts w:ascii="仿宋_GB2312" w:hAnsi="仿宋_GB2312" w:cs="仿宋_GB2312" w:eastAsia="仿宋_GB2312"/>
        </w:rPr>
        <w:t>采购包3：不允许合同分包。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华夏国际项目管理（西安）有限公司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华夏国际项目管理（西安）有限公司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华夏国际项目管理（西安）有限公司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联系人：陆文科、康敏茹</w:t>
      </w:r>
    </w:p>
    <w:p>
      <w:pPr>
        <w:pStyle w:val="null3"/>
      </w:pPr>
      <w:r>
        <w:rPr>
          <w:rFonts w:ascii="仿宋_GB2312" w:hAnsi="仿宋_GB2312" w:cs="仿宋_GB2312" w:eastAsia="仿宋_GB2312"/>
        </w:rPr>
        <w:t>联系电话：029-88899970-808</w:t>
      </w:r>
    </w:p>
    <w:p>
      <w:pPr>
        <w:pStyle w:val="null3"/>
      </w:pPr>
      <w:r>
        <w:rPr>
          <w:rFonts w:ascii="仿宋_GB2312" w:hAnsi="仿宋_GB2312" w:cs="仿宋_GB2312" w:eastAsia="仿宋_GB2312"/>
        </w:rPr>
        <w:t>地址：西安市莲湖区二环南路西段202号九座花园16层1605室</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本项目为医用辅料、床上用品和医护工作服等，采购西北妇女儿童医院常用的医用辅料、手术衣、床上用品、病员服和医护工作服等纺织物。 本次采购分为3个包： 采购包1：医用辅料及手术衣，预算200万元； 采购包2：床上用品及病员服，预算200万元； 采购包3：医护工作服，预算60万元。</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2,000,000.00</w:t>
      </w:r>
    </w:p>
    <w:p>
      <w:pPr>
        <w:pStyle w:val="null3"/>
      </w:pPr>
      <w:r>
        <w:rPr>
          <w:rFonts w:ascii="仿宋_GB2312" w:hAnsi="仿宋_GB2312" w:cs="仿宋_GB2312" w:eastAsia="仿宋_GB2312"/>
        </w:rPr>
        <w:t>采购包最高限价（元）: 2,000,000.00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医用辅料及手术衣</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2,000,000.00</w:t>
            </w:r>
          </w:p>
        </w:tc>
        <w:tc>
          <w:tcPr>
            <w:tcW w:type="dxa" w:w="831"/>
          </w:tcPr>
          <w:p>
            <w:pPr>
              <w:pStyle w:val="null3"/>
            </w:pPr>
            <w:r>
              <w:rPr>
                <w:rFonts w:ascii="仿宋_GB2312" w:hAnsi="仿宋_GB2312" w:cs="仿宋_GB2312" w:eastAsia="仿宋_GB2312"/>
              </w:rPr>
              <w:t>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2,000,000.00</w:t>
      </w:r>
    </w:p>
    <w:p>
      <w:pPr>
        <w:pStyle w:val="null3"/>
      </w:pPr>
      <w:r>
        <w:rPr>
          <w:rFonts w:ascii="仿宋_GB2312" w:hAnsi="仿宋_GB2312" w:cs="仿宋_GB2312" w:eastAsia="仿宋_GB2312"/>
        </w:rPr>
        <w:t>采购包最高限价（元）: 2,000,000.00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床上用品及病员服</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2,000,000.00</w:t>
            </w:r>
          </w:p>
        </w:tc>
        <w:tc>
          <w:tcPr>
            <w:tcW w:type="dxa" w:w="831"/>
          </w:tcPr>
          <w:p>
            <w:pPr>
              <w:pStyle w:val="null3"/>
            </w:pPr>
            <w:r>
              <w:rPr>
                <w:rFonts w:ascii="仿宋_GB2312" w:hAnsi="仿宋_GB2312" w:cs="仿宋_GB2312" w:eastAsia="仿宋_GB2312"/>
              </w:rPr>
              <w:t>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采购包预算金额（元）: 600,000.00</w:t>
      </w:r>
    </w:p>
    <w:p>
      <w:pPr>
        <w:pStyle w:val="null3"/>
      </w:pPr>
      <w:r>
        <w:rPr>
          <w:rFonts w:ascii="仿宋_GB2312" w:hAnsi="仿宋_GB2312" w:cs="仿宋_GB2312" w:eastAsia="仿宋_GB2312"/>
        </w:rPr>
        <w:t>采购包最高限价（元）: 600,000.00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医护工作服</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600,000.00</w:t>
            </w:r>
          </w:p>
        </w:tc>
        <w:tc>
          <w:tcPr>
            <w:tcW w:type="dxa" w:w="831"/>
          </w:tcPr>
          <w:p>
            <w:pPr>
              <w:pStyle w:val="null3"/>
            </w:pPr>
            <w:r>
              <w:rPr>
                <w:rFonts w:ascii="仿宋_GB2312" w:hAnsi="仿宋_GB2312" w:cs="仿宋_GB2312" w:eastAsia="仿宋_GB2312"/>
              </w:rPr>
              <w:t>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标的名称：医用辅料及手术衣</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147"/>
              <w:gridCol w:w="279"/>
              <w:gridCol w:w="263"/>
              <w:gridCol w:w="137"/>
              <w:gridCol w:w="232"/>
              <w:gridCol w:w="659"/>
              <w:gridCol w:w="817"/>
            </w:tblGrid>
            <w:tr>
              <w:tc>
                <w:tcPr>
                  <w:tcW w:type="dxa" w:w="2534"/>
                  <w:gridSpan w:val="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8"/>
                      <w:b/>
                      <w:color w:val="000000"/>
                    </w:rPr>
                    <w:t>医用辅料及手术衣</w:t>
                  </w:r>
                  <w:r>
                    <w:rPr>
                      <w:rFonts w:ascii="仿宋_GB2312" w:hAnsi="仿宋_GB2312" w:cs="仿宋_GB2312" w:eastAsia="仿宋_GB2312"/>
                      <w:sz w:val="28"/>
                      <w:b/>
                      <w:color w:val="000000"/>
                    </w:rPr>
                    <w:t>技术参数及最高限价</w:t>
                  </w: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序号</w:t>
                  </w:r>
                </w:p>
              </w:tc>
              <w:tc>
                <w:tcPr>
                  <w:tcW w:type="dxa" w:w="27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产品名称</w:t>
                  </w:r>
                </w:p>
              </w:tc>
              <w:tc>
                <w:tcPr>
                  <w:tcW w:type="dxa" w:w="26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规格型号（</w:t>
                  </w:r>
                  <w:r>
                    <w:rPr>
                      <w:rFonts w:ascii="仿宋_GB2312" w:hAnsi="仿宋_GB2312" w:cs="仿宋_GB2312" w:eastAsia="仿宋_GB2312"/>
                      <w:sz w:val="20"/>
                      <w:b/>
                      <w:color w:val="000000"/>
                    </w:rPr>
                    <w:t>CM）</w:t>
                  </w:r>
                </w:p>
              </w:tc>
              <w:tc>
                <w:tcPr>
                  <w:tcW w:type="dxa" w:w="13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单位</w:t>
                  </w:r>
                </w:p>
              </w:tc>
              <w:tc>
                <w:tcPr>
                  <w:tcW w:type="dxa" w:w="23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最高限价</w:t>
                  </w:r>
                  <w:r>
                    <w:rPr>
                      <w:rFonts w:ascii="仿宋_GB2312" w:hAnsi="仿宋_GB2312" w:cs="仿宋_GB2312" w:eastAsia="仿宋_GB2312"/>
                      <w:sz w:val="20"/>
                      <w:b/>
                      <w:color w:val="000000"/>
                    </w:rPr>
                    <w:t>(元）</w:t>
                  </w:r>
                </w:p>
              </w:tc>
              <w:tc>
                <w:tcPr>
                  <w:tcW w:type="dxa" w:w="65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参考颜色</w:t>
                  </w:r>
                  <w:r>
                    <w:rPr>
                      <w:rFonts w:ascii="仿宋_GB2312" w:hAnsi="仿宋_GB2312" w:cs="仿宋_GB2312" w:eastAsia="仿宋_GB2312"/>
                      <w:sz w:val="20"/>
                      <w:b/>
                      <w:color w:val="000000"/>
                    </w:rPr>
                    <w:t>/图案</w:t>
                  </w:r>
                </w:p>
              </w:tc>
              <w:tc>
                <w:tcPr>
                  <w:tcW w:type="dxa" w:w="81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材质技术参数</w:t>
                  </w: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双层大包布</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130*130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70</w:t>
                  </w:r>
                </w:p>
              </w:tc>
              <w:tc>
                <w:tcPr>
                  <w:tcW w:type="dxa" w:w="65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199898"/>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281305" cy="199898"/>
                                </a:xfrm>
                                <a:prstGeom prst="rect">
                                  <a:avLst/>
                                </a:prstGeom>
                              </pic:spPr>
                            </pic:pic>
                          </a:graphicData>
                        </a:graphic>
                      </wp:inline>
                    </w:drawing>
                  </w:r>
                </w:p>
              </w:tc>
              <w:tc>
                <w:tcPr>
                  <w:tcW w:type="dxa" w:w="817"/>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▲1、纤维含量：100%棉</w:t>
                  </w:r>
                  <w:r>
                    <w:br/>
                  </w:r>
                  <w:r>
                    <w:rPr>
                      <w:rFonts w:ascii="仿宋_GB2312" w:hAnsi="仿宋_GB2312" w:cs="仿宋_GB2312" w:eastAsia="仿宋_GB2312"/>
                      <w:sz w:val="18"/>
                      <w:color w:val="000000"/>
                    </w:rPr>
                    <w:t>▲2、线密度：经向：20±1S，纬向：20±1S，</w:t>
                  </w:r>
                  <w:r>
                    <w:br/>
                  </w:r>
                  <w:r>
                    <w:rPr>
                      <w:rFonts w:ascii="仿宋_GB2312" w:hAnsi="仿宋_GB2312" w:cs="仿宋_GB2312" w:eastAsia="仿宋_GB2312"/>
                      <w:sz w:val="18"/>
                      <w:color w:val="000000"/>
                    </w:rPr>
                    <w:t>▲3、密度：经向：120±5根/英寸，纬向：60±5根/英寸</w:t>
                  </w:r>
                  <w:r>
                    <w:br/>
                  </w:r>
                  <w:r>
                    <w:rPr>
                      <w:rFonts w:ascii="仿宋_GB2312" w:hAnsi="仿宋_GB2312" w:cs="仿宋_GB2312" w:eastAsia="仿宋_GB2312"/>
                      <w:sz w:val="18"/>
                      <w:color w:val="000000"/>
                    </w:rPr>
                    <w:t>4、耐次氯酸盐漂白色牢度：≥4级</w:t>
                  </w:r>
                  <w:r>
                    <w:br/>
                  </w:r>
                  <w:r>
                    <w:rPr>
                      <w:rFonts w:ascii="仿宋_GB2312" w:hAnsi="仿宋_GB2312" w:cs="仿宋_GB2312" w:eastAsia="仿宋_GB2312"/>
                      <w:sz w:val="18"/>
                      <w:color w:val="000000"/>
                    </w:rPr>
                    <w:t>5、水洗尺寸变化率：≥-5%</w:t>
                  </w:r>
                  <w:r>
                    <w:br/>
                  </w:r>
                  <w:r>
                    <w:rPr>
                      <w:rFonts w:ascii="仿宋_GB2312" w:hAnsi="仿宋_GB2312" w:cs="仿宋_GB2312" w:eastAsia="仿宋_GB2312"/>
                      <w:sz w:val="18"/>
                      <w:color w:val="000000"/>
                    </w:rPr>
                    <w:t>6、甲醛：≤75mg/kg</w:t>
                  </w:r>
                  <w:r>
                    <w:br/>
                  </w:r>
                  <w:r>
                    <w:rPr>
                      <w:rFonts w:ascii="仿宋_GB2312" w:hAnsi="仿宋_GB2312" w:cs="仿宋_GB2312" w:eastAsia="仿宋_GB2312"/>
                      <w:sz w:val="18"/>
                      <w:color w:val="000000"/>
                    </w:rPr>
                    <w:t>7、PH值：4.0-8.5之间</w:t>
                  </w:r>
                  <w:r>
                    <w:br/>
                  </w:r>
                  <w:r>
                    <w:rPr>
                      <w:rFonts w:ascii="仿宋_GB2312" w:hAnsi="仿宋_GB2312" w:cs="仿宋_GB2312" w:eastAsia="仿宋_GB2312"/>
                      <w:sz w:val="18"/>
                      <w:color w:val="000000"/>
                    </w:rPr>
                    <w:t>8、耐水色牢度：≥4级</w:t>
                  </w:r>
                  <w:r>
                    <w:br/>
                  </w:r>
                  <w:r>
                    <w:rPr>
                      <w:rFonts w:ascii="仿宋_GB2312" w:hAnsi="仿宋_GB2312" w:cs="仿宋_GB2312" w:eastAsia="仿宋_GB2312"/>
                      <w:sz w:val="18"/>
                      <w:color w:val="000000"/>
                    </w:rPr>
                    <w:t>9、耐酸汗渍色牢度：≥4级</w:t>
                  </w:r>
                  <w:r>
                    <w:br/>
                  </w:r>
                  <w:r>
                    <w:rPr>
                      <w:rFonts w:ascii="仿宋_GB2312" w:hAnsi="仿宋_GB2312" w:cs="仿宋_GB2312" w:eastAsia="仿宋_GB2312"/>
                      <w:sz w:val="18"/>
                      <w:color w:val="000000"/>
                    </w:rPr>
                    <w:t>10、耐碱汗渍色牢度：≥4级</w:t>
                  </w:r>
                  <w:r>
                    <w:br/>
                  </w:r>
                  <w:r>
                    <w:rPr>
                      <w:rFonts w:ascii="仿宋_GB2312" w:hAnsi="仿宋_GB2312" w:cs="仿宋_GB2312" w:eastAsia="仿宋_GB2312"/>
                      <w:sz w:val="18"/>
                      <w:color w:val="000000"/>
                    </w:rPr>
                    <w:t>11、耐干摩擦色牢度：≥4级</w:t>
                  </w:r>
                  <w:r>
                    <w:br/>
                  </w:r>
                  <w:r>
                    <w:rPr>
                      <w:rFonts w:ascii="仿宋_GB2312" w:hAnsi="仿宋_GB2312" w:cs="仿宋_GB2312" w:eastAsia="仿宋_GB2312"/>
                      <w:sz w:val="18"/>
                      <w:color w:val="000000"/>
                    </w:rPr>
                    <w:t>12、异味：无</w:t>
                  </w:r>
                  <w:r>
                    <w:br/>
                  </w:r>
                  <w:r>
                    <w:rPr>
                      <w:rFonts w:ascii="仿宋_GB2312" w:hAnsi="仿宋_GB2312" w:cs="仿宋_GB2312" w:eastAsia="仿宋_GB2312"/>
                      <w:sz w:val="18"/>
                      <w:color w:val="000000"/>
                    </w:rPr>
                    <w:t>13、可分解致癌芳香胺染料：禁用</w:t>
                  </w:r>
                  <w:r>
                    <w:br/>
                  </w:r>
                  <w:r>
                    <w:rPr>
                      <w:rFonts w:ascii="仿宋_GB2312" w:hAnsi="仿宋_GB2312" w:cs="仿宋_GB2312" w:eastAsia="仿宋_GB2312"/>
                      <w:sz w:val="18"/>
                      <w:color w:val="000000"/>
                    </w:rPr>
                    <w:t>▲14、提供经国家认监委认证认可的第三方检测机构（具有CMA或CNAS认证）出具面料或成品检测报告复印件或扫描件。</w:t>
                  </w:r>
                  <w:r>
                    <w:br/>
                  </w:r>
                  <w:r>
                    <w:rPr>
                      <w:rFonts w:ascii="仿宋_GB2312" w:hAnsi="仿宋_GB2312" w:cs="仿宋_GB2312" w:eastAsia="仿宋_GB2312"/>
                      <w:sz w:val="18"/>
                      <w:color w:val="000000"/>
                    </w:rPr>
                    <w:t>▲15、此面料属于无尘、无落絮面料，供应商需承诺：在供货中使用普通面料充当无尘、无落絮面料，以次充好，造成使用科室落絮质量问题的，承担违约责任，并全部重新生产。</w:t>
                  </w: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双层中包布</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90*90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48</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3</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双层小包布</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70*70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38</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单层小巾</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80*70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26</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5</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双层小巾</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120*100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50</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6</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双层中单</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190*110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86</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7</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单中单</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130*180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8</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双层台布</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150*200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118</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单层小燕尾单</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180*240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105</w:t>
                  </w:r>
                </w:p>
              </w:tc>
              <w:tc>
                <w:tcPr>
                  <w:tcW w:type="dxa" w:w="659"/>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253611"/>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281305" cy="253611"/>
                                </a:xfrm>
                                <a:prstGeom prst="rect">
                                  <a:avLst/>
                                </a:prstGeom>
                              </pic:spPr>
                            </pic:pic>
                          </a:graphicData>
                        </a:graphic>
                      </wp:inline>
                    </w:drawing>
                  </w: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10</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腿套</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90*70*25</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38</w:t>
                  </w:r>
                </w:p>
              </w:tc>
              <w:tc>
                <w:tcPr>
                  <w:tcW w:type="dxa" w:w="65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26408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281305" cy="264082"/>
                                </a:xfrm>
                                <a:prstGeom prst="rect">
                                  <a:avLst/>
                                </a:prstGeom>
                              </pic:spPr>
                            </pic:pic>
                          </a:graphicData>
                        </a:graphic>
                      </wp:inline>
                    </w:drawing>
                  </w: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11</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单层骨科洞巾</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130*180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62</w:t>
                  </w:r>
                </w:p>
              </w:tc>
              <w:tc>
                <w:tcPr>
                  <w:tcW w:type="dxa" w:w="65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172970"/>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281305" cy="172970"/>
                                </a:xfrm>
                                <a:prstGeom prst="rect">
                                  <a:avLst/>
                                </a:prstGeom>
                              </pic:spPr>
                            </pic:pic>
                          </a:graphicData>
                        </a:graphic>
                      </wp:inline>
                    </w:drawing>
                  </w: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12</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单层长口洞巾</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100*70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30</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13</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双层洞巾</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150*110</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70</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14</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刷手衣（</w:t>
                  </w:r>
                  <w:r>
                    <w:rPr>
                      <w:rFonts w:ascii="仿宋_GB2312" w:hAnsi="仿宋_GB2312" w:cs="仿宋_GB2312" w:eastAsia="仿宋_GB2312"/>
                      <w:sz w:val="18"/>
                      <w:color w:val="000000"/>
                    </w:rPr>
                    <w:t>1）</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304011"/>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281305" cy="304011"/>
                                </a:xfrm>
                                <a:prstGeom prst="rect">
                                  <a:avLst/>
                                </a:prstGeom>
                              </pic:spPr>
                            </pic:pic>
                          </a:graphicData>
                        </a:graphic>
                      </wp:inline>
                    </w:drawing>
                  </w: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刷手裤（</w:t>
                  </w:r>
                  <w:r>
                    <w:rPr>
                      <w:rFonts w:ascii="仿宋_GB2312" w:hAnsi="仿宋_GB2312" w:cs="仿宋_GB2312" w:eastAsia="仿宋_GB2312"/>
                      <w:sz w:val="18"/>
                      <w:color w:val="000000"/>
                    </w:rPr>
                    <w:t>1）</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45</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手术衣</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均码，胸前为双层，衣长</w:t>
                  </w:r>
                  <w:r>
                    <w:rPr>
                      <w:rFonts w:ascii="仿宋_GB2312" w:hAnsi="仿宋_GB2312" w:cs="仿宋_GB2312" w:eastAsia="仿宋_GB2312"/>
                      <w:sz w:val="18"/>
                      <w:color w:val="000000"/>
                    </w:rPr>
                    <w:t>120厘米</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105</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288907"/>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281305" cy="288907"/>
                                </a:xfrm>
                                <a:prstGeom prst="rect">
                                  <a:avLst/>
                                </a:prstGeom>
                              </pic:spPr>
                            </pic:pic>
                          </a:graphicData>
                        </a:graphic>
                      </wp:inline>
                    </w:drawing>
                  </w:r>
                </w:p>
              </w:tc>
              <w:tc>
                <w:tcPr>
                  <w:tcW w:type="dxa" w:w="817"/>
                  <w:vMerge/>
                  <w:tcBorders>
                    <w:top w:val="none" w:color="000000" w:sz="4"/>
                    <w:left w:val="none" w:color="000000" w:sz="4"/>
                    <w:bottom w:val="none" w:color="000000" w:sz="4"/>
                    <w:right w:val="single" w:color="000000" w:sz="4"/>
                  </w:tcBorders>
                </w:tcP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17</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刷手衣（</w:t>
                  </w:r>
                  <w:r>
                    <w:rPr>
                      <w:rFonts w:ascii="仿宋_GB2312" w:hAnsi="仿宋_GB2312" w:cs="仿宋_GB2312" w:eastAsia="仿宋_GB2312"/>
                      <w:sz w:val="18"/>
                      <w:color w:val="000000"/>
                    </w:rPr>
                    <w:t>2）</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50</w:t>
                  </w:r>
                </w:p>
              </w:tc>
              <w:tc>
                <w:tcPr>
                  <w:tcW w:type="dxa" w:w="659"/>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81305" cy="304011"/>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0"/>
                                <a:stretch>
                                  <a:fillRect/>
                                </a:stretch>
                              </pic:blipFill>
                              <pic:spPr>
                                <a:xfrm>
                                  <a:off x="0" y="0"/>
                                  <a:ext cx="281305" cy="304011"/>
                                </a:xfrm>
                                <a:prstGeom prst="rect">
                                  <a:avLst/>
                                </a:prstGeom>
                              </pic:spPr>
                            </pic:pic>
                          </a:graphicData>
                        </a:graphic>
                      </wp:inline>
                    </w:drawing>
                  </w:r>
                </w:p>
              </w:tc>
              <w:tc>
                <w:tcPr>
                  <w:tcW w:type="dxa" w:w="817"/>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1、纤维含量：65%聚酯纤维35%棉</w:t>
                  </w:r>
                  <w:r>
                    <w:br/>
                  </w:r>
                  <w:r>
                    <w:rPr>
                      <w:rFonts w:ascii="仿宋_GB2312" w:hAnsi="仿宋_GB2312" w:cs="仿宋_GB2312" w:eastAsia="仿宋_GB2312"/>
                      <w:sz w:val="18"/>
                      <w:color w:val="000000"/>
                    </w:rPr>
                    <w:t>2、线密度：32*32S（±1）</w:t>
                  </w:r>
                  <w:r>
                    <w:br/>
                  </w:r>
                  <w:r>
                    <w:rPr>
                      <w:rFonts w:ascii="仿宋_GB2312" w:hAnsi="仿宋_GB2312" w:cs="仿宋_GB2312" w:eastAsia="仿宋_GB2312"/>
                      <w:sz w:val="18"/>
                      <w:color w:val="000000"/>
                    </w:rPr>
                    <w:t>3、密度：130*70根/英寸（±5）</w:t>
                  </w:r>
                  <w:r>
                    <w:br/>
                  </w:r>
                  <w:r>
                    <w:rPr>
                      <w:rFonts w:ascii="仿宋_GB2312" w:hAnsi="仿宋_GB2312" w:cs="仿宋_GB2312" w:eastAsia="仿宋_GB2312"/>
                      <w:sz w:val="18"/>
                      <w:color w:val="000000"/>
                    </w:rPr>
                    <w:t>4、耐次氯酸盐漂白色牢度：≥3-4 级</w:t>
                  </w:r>
                  <w:r>
                    <w:br/>
                  </w:r>
                  <w:r>
                    <w:rPr>
                      <w:rFonts w:ascii="仿宋_GB2312" w:hAnsi="仿宋_GB2312" w:cs="仿宋_GB2312" w:eastAsia="仿宋_GB2312"/>
                      <w:sz w:val="18"/>
                      <w:color w:val="000000"/>
                    </w:rPr>
                    <w:t>5、水洗尺寸变化率：≥-5%</w:t>
                  </w:r>
                  <w:r>
                    <w:br/>
                  </w:r>
                  <w:r>
                    <w:rPr>
                      <w:rFonts w:ascii="仿宋_GB2312" w:hAnsi="仿宋_GB2312" w:cs="仿宋_GB2312" w:eastAsia="仿宋_GB2312"/>
                      <w:sz w:val="18"/>
                      <w:color w:val="000000"/>
                    </w:rPr>
                    <w:t>6、甲醛含量：不得检出</w:t>
                  </w:r>
                  <w:r>
                    <w:br/>
                  </w:r>
                  <w:r>
                    <w:rPr>
                      <w:rFonts w:ascii="仿宋_GB2312" w:hAnsi="仿宋_GB2312" w:cs="仿宋_GB2312" w:eastAsia="仿宋_GB2312"/>
                      <w:sz w:val="18"/>
                      <w:color w:val="000000"/>
                    </w:rPr>
                    <w:t>7、PH值：4.0-7.5</w:t>
                  </w:r>
                  <w:r>
                    <w:br/>
                  </w:r>
                  <w:r>
                    <w:rPr>
                      <w:rFonts w:ascii="仿宋_GB2312" w:hAnsi="仿宋_GB2312" w:cs="仿宋_GB2312" w:eastAsia="仿宋_GB2312"/>
                      <w:sz w:val="18"/>
                      <w:color w:val="000000"/>
                    </w:rPr>
                    <w:t>8、耐水色牢度：≥4 级</w:t>
                  </w:r>
                  <w:r>
                    <w:br/>
                  </w:r>
                  <w:r>
                    <w:rPr>
                      <w:rFonts w:ascii="仿宋_GB2312" w:hAnsi="仿宋_GB2312" w:cs="仿宋_GB2312" w:eastAsia="仿宋_GB2312"/>
                      <w:sz w:val="18"/>
                      <w:color w:val="000000"/>
                    </w:rPr>
                    <w:t>9、耐酸汗渍色牢度：≥4 级</w:t>
                  </w:r>
                  <w:r>
                    <w:br/>
                  </w:r>
                  <w:r>
                    <w:rPr>
                      <w:rFonts w:ascii="仿宋_GB2312" w:hAnsi="仿宋_GB2312" w:cs="仿宋_GB2312" w:eastAsia="仿宋_GB2312"/>
                      <w:sz w:val="18"/>
                      <w:color w:val="000000"/>
                    </w:rPr>
                    <w:t>10、耐碱汗渍色牢度：≥4 级</w:t>
                  </w:r>
                  <w:r>
                    <w:br/>
                  </w:r>
                  <w:r>
                    <w:rPr>
                      <w:rFonts w:ascii="仿宋_GB2312" w:hAnsi="仿宋_GB2312" w:cs="仿宋_GB2312" w:eastAsia="仿宋_GB2312"/>
                      <w:sz w:val="18"/>
                      <w:color w:val="000000"/>
                    </w:rPr>
                    <w:t>11、耐干摩擦色牢度：≥4 级</w:t>
                  </w:r>
                  <w:r>
                    <w:br/>
                  </w:r>
                  <w:r>
                    <w:rPr>
                      <w:rFonts w:ascii="仿宋_GB2312" w:hAnsi="仿宋_GB2312" w:cs="仿宋_GB2312" w:eastAsia="仿宋_GB2312"/>
                      <w:sz w:val="18"/>
                      <w:color w:val="000000"/>
                    </w:rPr>
                    <w:t>12、耐唾液色牢度：≥4 级</w:t>
                  </w:r>
                  <w:r>
                    <w:br/>
                  </w:r>
                  <w:r>
                    <w:rPr>
                      <w:rFonts w:ascii="仿宋_GB2312" w:hAnsi="仿宋_GB2312" w:cs="仿宋_GB2312" w:eastAsia="仿宋_GB2312"/>
                      <w:sz w:val="18"/>
                      <w:color w:val="000000"/>
                    </w:rPr>
                    <w:t>13、异味：无</w:t>
                  </w:r>
                  <w:r>
                    <w:br/>
                  </w:r>
                  <w:r>
                    <w:rPr>
                      <w:rFonts w:ascii="仿宋_GB2312" w:hAnsi="仿宋_GB2312" w:cs="仿宋_GB2312" w:eastAsia="仿宋_GB2312"/>
                      <w:sz w:val="18"/>
                      <w:color w:val="000000"/>
                    </w:rPr>
                    <w:t>14、可分解致癌芳香胺染料：不得检出</w:t>
                  </w:r>
                  <w:r>
                    <w:br/>
                  </w:r>
                  <w:r>
                    <w:rPr>
                      <w:rFonts w:ascii="仿宋_GB2312" w:hAnsi="仿宋_GB2312" w:cs="仿宋_GB2312" w:eastAsia="仿宋_GB2312"/>
                      <w:sz w:val="18"/>
                      <w:color w:val="000000"/>
                    </w:rPr>
                    <w:t>▲15、提供经国家认监委认证认可的第三方检测机构(具有CMA或 CNAS 认证)出具面料或成品检测报告复印件或扫描件。</w:t>
                  </w:r>
                </w:p>
              </w:tc>
            </w:tr>
            <w:tr>
              <w:tc>
                <w:tcPr>
                  <w:tcW w:type="dxa" w:w="1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18</w:t>
                  </w:r>
                </w:p>
              </w:tc>
              <w:tc>
                <w:tcPr>
                  <w:tcW w:type="dxa" w:w="2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刷手裤（</w:t>
                  </w:r>
                  <w:r>
                    <w:rPr>
                      <w:rFonts w:ascii="仿宋_GB2312" w:hAnsi="仿宋_GB2312" w:cs="仿宋_GB2312" w:eastAsia="仿宋_GB2312"/>
                      <w:sz w:val="18"/>
                      <w:color w:val="000000"/>
                    </w:rPr>
                    <w:t>2）</w:t>
                  </w:r>
                </w:p>
              </w:tc>
              <w:tc>
                <w:tcPr>
                  <w:tcW w:type="dxa" w:w="2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3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35</w:t>
                  </w:r>
                </w:p>
              </w:tc>
              <w:tc>
                <w:tcPr>
                  <w:tcW w:type="dxa" w:w="659"/>
                  <w:vMerge/>
                  <w:tcBorders>
                    <w:top w:val="none" w:color="000000" w:sz="4"/>
                    <w:left w:val="none" w:color="000000" w:sz="4"/>
                    <w:bottom w:val="single" w:color="000000" w:sz="4"/>
                    <w:right w:val="single" w:color="000000" w:sz="4"/>
                  </w:tcBorders>
                </w:tcPr>
                <w:p/>
              </w:tc>
              <w:tc>
                <w:tcPr>
                  <w:tcW w:type="dxa" w:w="817"/>
                  <w:vMerge/>
                  <w:tcBorders>
                    <w:top w:val="none" w:color="000000" w:sz="4"/>
                    <w:left w:val="none" w:color="000000" w:sz="4"/>
                    <w:bottom w:val="single" w:color="000000" w:sz="4"/>
                    <w:right w:val="single" w:color="000000" w:sz="4"/>
                  </w:tcBorders>
                </w:tcPr>
                <w:p/>
              </w:tc>
            </w:tr>
            <w:tr>
              <w:tc>
                <w:tcPr>
                  <w:tcW w:type="dxa" w:w="2534"/>
                  <w:gridSpan w:val="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备注：</w:t>
                  </w:r>
                  <w:r>
                    <w:br/>
                  </w:r>
                  <w:r>
                    <w:rPr>
                      <w:rFonts w:ascii="仿宋_GB2312" w:hAnsi="仿宋_GB2312" w:cs="仿宋_GB2312" w:eastAsia="仿宋_GB2312"/>
                      <w:sz w:val="20"/>
                      <w:color w:val="000000"/>
                    </w:rPr>
                    <w:t>1、以上尺寸均为缩水后的尺寸；</w:t>
                  </w:r>
                  <w:r>
                    <w:br/>
                  </w:r>
                  <w:r>
                    <w:rPr>
                      <w:rFonts w:ascii="仿宋_GB2312" w:hAnsi="仿宋_GB2312" w:cs="仿宋_GB2312" w:eastAsia="仿宋_GB2312"/>
                      <w:sz w:val="20"/>
                      <w:color w:val="000000"/>
                    </w:rPr>
                    <w:t>2、产品颜色、款式、图片仅供参考；</w:t>
                  </w:r>
                  <w:r>
                    <w:br/>
                  </w:r>
                  <w:r>
                    <w:rPr>
                      <w:rFonts w:ascii="仿宋_GB2312" w:hAnsi="仿宋_GB2312" w:cs="仿宋_GB2312" w:eastAsia="仿宋_GB2312"/>
                      <w:sz w:val="20"/>
                      <w:color w:val="000000"/>
                    </w:rPr>
                    <w:t>3、供应商提供的样品的花色及款式不做强制要求，但最终成交产品花色及款式由医院选择决定；</w:t>
                  </w:r>
                  <w:r>
                    <w:br/>
                  </w:r>
                  <w:r>
                    <w:rPr>
                      <w:rFonts w:ascii="仿宋_GB2312" w:hAnsi="仿宋_GB2312" w:cs="仿宋_GB2312" w:eastAsia="仿宋_GB2312"/>
                      <w:sz w:val="20"/>
                      <w:color w:val="000000"/>
                    </w:rPr>
                    <w:t>4、所有产品可定制医院LOGO；</w:t>
                  </w:r>
                </w:p>
                <w:p>
                  <w:pPr>
                    <w:pStyle w:val="null3"/>
                    <w:jc w:val="left"/>
                  </w:pPr>
                  <w:r>
                    <w:rPr>
                      <w:rFonts w:ascii="仿宋_GB2312" w:hAnsi="仿宋_GB2312" w:cs="仿宋_GB2312" w:eastAsia="仿宋_GB2312"/>
                      <w:sz w:val="20"/>
                      <w:color w:val="000000"/>
                    </w:rPr>
                    <w:t>5、样品序号：1、8、13、15、16、17、18；核心产品序号：17。</w:t>
                  </w:r>
                </w:p>
              </w:tc>
            </w:tr>
          </w:tbl>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标的名称：床上用品及病员服</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146"/>
              <w:gridCol w:w="277"/>
              <w:gridCol w:w="240"/>
              <w:gridCol w:w="146"/>
              <w:gridCol w:w="230"/>
              <w:gridCol w:w="650"/>
              <w:gridCol w:w="847"/>
            </w:tblGrid>
            <w:tr>
              <w:tc>
                <w:tcPr>
                  <w:tcW w:type="dxa" w:w="2536"/>
                  <w:gridSpan w:val="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 xml:space="preserve"> </w:t>
                  </w:r>
                  <w:r>
                    <w:rPr>
                      <w:rFonts w:ascii="仿宋_GB2312" w:hAnsi="仿宋_GB2312" w:cs="仿宋_GB2312" w:eastAsia="仿宋_GB2312"/>
                      <w:sz w:val="28"/>
                      <w:b/>
                      <w:color w:val="000000"/>
                    </w:rPr>
                    <w:t>床上用品及病员服</w:t>
                  </w:r>
                  <w:r>
                    <w:rPr>
                      <w:rFonts w:ascii="仿宋_GB2312" w:hAnsi="仿宋_GB2312" w:cs="仿宋_GB2312" w:eastAsia="仿宋_GB2312"/>
                      <w:sz w:val="28"/>
                      <w:b/>
                      <w:color w:val="000000"/>
                    </w:rPr>
                    <w:t>技术参数及最高限价</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序号</w:t>
                  </w:r>
                </w:p>
              </w:tc>
              <w:tc>
                <w:tcPr>
                  <w:tcW w:type="dxa" w:w="27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产品名称</w:t>
                  </w:r>
                </w:p>
              </w:tc>
              <w:tc>
                <w:tcPr>
                  <w:tcW w:type="dxa" w:w="24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规格型号（</w:t>
                  </w:r>
                  <w:r>
                    <w:rPr>
                      <w:rFonts w:ascii="仿宋_GB2312" w:hAnsi="仿宋_GB2312" w:cs="仿宋_GB2312" w:eastAsia="仿宋_GB2312"/>
                      <w:sz w:val="20"/>
                      <w:b/>
                      <w:color w:val="000000"/>
                    </w:rPr>
                    <w:t>CM）</w:t>
                  </w:r>
                </w:p>
              </w:tc>
              <w:tc>
                <w:tcPr>
                  <w:tcW w:type="dxa" w:w="14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单位</w:t>
                  </w:r>
                </w:p>
              </w:tc>
              <w:tc>
                <w:tcPr>
                  <w:tcW w:type="dxa" w:w="23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最高限价</w:t>
                  </w:r>
                  <w:r>
                    <w:rPr>
                      <w:rFonts w:ascii="仿宋_GB2312" w:hAnsi="仿宋_GB2312" w:cs="仿宋_GB2312" w:eastAsia="仿宋_GB2312"/>
                      <w:sz w:val="20"/>
                      <w:b/>
                      <w:color w:val="000000"/>
                    </w:rPr>
                    <w:t>(元）</w:t>
                  </w:r>
                  <w:r>
                    <w:rPr>
                      <w:rFonts w:ascii="仿宋_GB2312" w:hAnsi="仿宋_GB2312" w:cs="仿宋_GB2312" w:eastAsia="仿宋_GB2312"/>
                      <w:sz w:val="20"/>
                      <w:b/>
                      <w:color w:val="000000"/>
                      <w:vertAlign w:val="subscript"/>
                    </w:rPr>
                    <w:t>元</w:t>
                  </w:r>
                </w:p>
              </w:tc>
              <w:tc>
                <w:tcPr>
                  <w:tcW w:type="dxa" w:w="6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参考颜色</w:t>
                  </w:r>
                  <w:r>
                    <w:rPr>
                      <w:rFonts w:ascii="仿宋_GB2312" w:hAnsi="仿宋_GB2312" w:cs="仿宋_GB2312" w:eastAsia="仿宋_GB2312"/>
                      <w:sz w:val="20"/>
                      <w:b/>
                      <w:color w:val="000000"/>
                    </w:rPr>
                    <w:t>/图案</w:t>
                  </w:r>
                </w:p>
              </w:tc>
              <w:tc>
                <w:tcPr>
                  <w:tcW w:type="dxa" w:w="84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材质技术参数</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产科床单</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64724"/>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275590" cy="264724"/>
                                </a:xfrm>
                                <a:prstGeom prst="rect">
                                  <a:avLst/>
                                </a:prstGeom>
                              </pic:spPr>
                            </pic:pic>
                          </a:graphicData>
                        </a:graphic>
                      </wp:inline>
                    </w:drawing>
                  </w:r>
                </w:p>
              </w:tc>
              <w:tc>
                <w:tcPr>
                  <w:tcW w:type="dxa" w:w="847"/>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1、纤维含量：65%聚酯纤维35%棉</w:t>
                  </w:r>
                  <w:r>
                    <w:br/>
                  </w:r>
                  <w:r>
                    <w:rPr>
                      <w:rFonts w:ascii="仿宋_GB2312" w:hAnsi="仿宋_GB2312" w:cs="仿宋_GB2312" w:eastAsia="仿宋_GB2312"/>
                      <w:sz w:val="18"/>
                      <w:color w:val="000000"/>
                    </w:rPr>
                    <w:t>2、线密度：32*32S（±1）</w:t>
                  </w:r>
                  <w:r>
                    <w:br/>
                  </w:r>
                  <w:r>
                    <w:rPr>
                      <w:rFonts w:ascii="仿宋_GB2312" w:hAnsi="仿宋_GB2312" w:cs="仿宋_GB2312" w:eastAsia="仿宋_GB2312"/>
                      <w:sz w:val="18"/>
                      <w:color w:val="000000"/>
                    </w:rPr>
                    <w:t>3、密度：130*70根/英寸（±5）</w:t>
                  </w:r>
                  <w:r>
                    <w:br/>
                  </w:r>
                  <w:r>
                    <w:rPr>
                      <w:rFonts w:ascii="仿宋_GB2312" w:hAnsi="仿宋_GB2312" w:cs="仿宋_GB2312" w:eastAsia="仿宋_GB2312"/>
                      <w:sz w:val="18"/>
                      <w:color w:val="000000"/>
                    </w:rPr>
                    <w:t>4、耐次氯酸盐漂白色牢度：≥3-4 级</w:t>
                  </w:r>
                  <w:r>
                    <w:br/>
                  </w:r>
                  <w:r>
                    <w:rPr>
                      <w:rFonts w:ascii="仿宋_GB2312" w:hAnsi="仿宋_GB2312" w:cs="仿宋_GB2312" w:eastAsia="仿宋_GB2312"/>
                      <w:sz w:val="18"/>
                      <w:color w:val="000000"/>
                    </w:rPr>
                    <w:t>5、水洗尺寸变化率：≥-5%</w:t>
                  </w:r>
                  <w:r>
                    <w:br/>
                  </w:r>
                  <w:r>
                    <w:rPr>
                      <w:rFonts w:ascii="仿宋_GB2312" w:hAnsi="仿宋_GB2312" w:cs="仿宋_GB2312" w:eastAsia="仿宋_GB2312"/>
                      <w:sz w:val="18"/>
                      <w:color w:val="000000"/>
                    </w:rPr>
                    <w:t>6、甲醛含量：不得检出</w:t>
                  </w:r>
                  <w:r>
                    <w:br/>
                  </w:r>
                  <w:r>
                    <w:rPr>
                      <w:rFonts w:ascii="仿宋_GB2312" w:hAnsi="仿宋_GB2312" w:cs="仿宋_GB2312" w:eastAsia="仿宋_GB2312"/>
                      <w:sz w:val="18"/>
                      <w:color w:val="000000"/>
                    </w:rPr>
                    <w:t>7、PH值：4.0-7.5</w:t>
                  </w:r>
                  <w:r>
                    <w:br/>
                  </w:r>
                  <w:r>
                    <w:rPr>
                      <w:rFonts w:ascii="仿宋_GB2312" w:hAnsi="仿宋_GB2312" w:cs="仿宋_GB2312" w:eastAsia="仿宋_GB2312"/>
                      <w:sz w:val="18"/>
                      <w:color w:val="000000"/>
                    </w:rPr>
                    <w:t>8、耐水色牢度：≥4 级</w:t>
                  </w:r>
                  <w:r>
                    <w:br/>
                  </w:r>
                  <w:r>
                    <w:rPr>
                      <w:rFonts w:ascii="仿宋_GB2312" w:hAnsi="仿宋_GB2312" w:cs="仿宋_GB2312" w:eastAsia="仿宋_GB2312"/>
                      <w:sz w:val="18"/>
                      <w:color w:val="000000"/>
                    </w:rPr>
                    <w:t>9、耐酸汗渍色牢度：≥4 级</w:t>
                  </w:r>
                  <w:r>
                    <w:br/>
                  </w:r>
                  <w:r>
                    <w:rPr>
                      <w:rFonts w:ascii="仿宋_GB2312" w:hAnsi="仿宋_GB2312" w:cs="仿宋_GB2312" w:eastAsia="仿宋_GB2312"/>
                      <w:sz w:val="18"/>
                      <w:color w:val="000000"/>
                    </w:rPr>
                    <w:t>10、耐碱汗渍色牢度：≥4 级</w:t>
                  </w:r>
                  <w:r>
                    <w:br/>
                  </w:r>
                  <w:r>
                    <w:rPr>
                      <w:rFonts w:ascii="仿宋_GB2312" w:hAnsi="仿宋_GB2312" w:cs="仿宋_GB2312" w:eastAsia="仿宋_GB2312"/>
                      <w:sz w:val="18"/>
                      <w:color w:val="000000"/>
                    </w:rPr>
                    <w:t>11、耐干摩擦色牢度：≥4 级</w:t>
                  </w:r>
                  <w:r>
                    <w:br/>
                  </w:r>
                  <w:r>
                    <w:rPr>
                      <w:rFonts w:ascii="仿宋_GB2312" w:hAnsi="仿宋_GB2312" w:cs="仿宋_GB2312" w:eastAsia="仿宋_GB2312"/>
                      <w:sz w:val="18"/>
                      <w:color w:val="000000"/>
                    </w:rPr>
                    <w:t>12、耐唾液色牢度：≥4 级</w:t>
                  </w:r>
                  <w:r>
                    <w:br/>
                  </w:r>
                  <w:r>
                    <w:rPr>
                      <w:rFonts w:ascii="仿宋_GB2312" w:hAnsi="仿宋_GB2312" w:cs="仿宋_GB2312" w:eastAsia="仿宋_GB2312"/>
                      <w:sz w:val="18"/>
                      <w:color w:val="000000"/>
                    </w:rPr>
                    <w:t>13、异味：无</w:t>
                  </w:r>
                  <w:r>
                    <w:br/>
                  </w:r>
                  <w:r>
                    <w:rPr>
                      <w:rFonts w:ascii="仿宋_GB2312" w:hAnsi="仿宋_GB2312" w:cs="仿宋_GB2312" w:eastAsia="仿宋_GB2312"/>
                      <w:sz w:val="18"/>
                      <w:color w:val="000000"/>
                    </w:rPr>
                    <w:t>14、可分解致癌芳香胺染料：不得检出</w:t>
                  </w:r>
                  <w:r>
                    <w:br/>
                  </w:r>
                  <w:r>
                    <w:rPr>
                      <w:rFonts w:ascii="仿宋_GB2312" w:hAnsi="仿宋_GB2312" w:cs="仿宋_GB2312" w:eastAsia="仿宋_GB2312"/>
                      <w:sz w:val="18"/>
                      <w:color w:val="000000"/>
                    </w:rPr>
                    <w:t>▲15、提供经国家认监委认证认可的第三方检测机构(具有CMA或 CNAS 认证)出具面料或成品检测报告复印件或扫描件。</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产科被套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160*230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90</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3</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产科枕套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47*70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15</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儿科床单</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306098"/>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275590" cy="306098"/>
                                </a:xfrm>
                                <a:prstGeom prst="rect">
                                  <a:avLst/>
                                </a:prstGeom>
                              </pic:spPr>
                            </pic:pic>
                          </a:graphicData>
                        </a:graphic>
                      </wp:inline>
                    </w:drawing>
                  </w: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5</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儿科被套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160*230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80</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6</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儿科枕套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47*70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14</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7</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值班室床单</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88523"/>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275590" cy="288523"/>
                                </a:xfrm>
                                <a:prstGeom prst="rect">
                                  <a:avLst/>
                                </a:prstGeom>
                              </pic:spPr>
                            </pic:pic>
                          </a:graphicData>
                        </a:graphic>
                      </wp:inline>
                    </w:drawing>
                  </w: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8</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值班室被套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160*230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80</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值班室枕套</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47*70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14</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10</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被芯</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150*210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85</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04604"/>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275590" cy="204604"/>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1、面料纤维含量：100%棉，</w:t>
                  </w:r>
                  <w:r>
                    <w:br/>
                  </w:r>
                  <w:r>
                    <w:rPr>
                      <w:rFonts w:ascii="仿宋_GB2312" w:hAnsi="仿宋_GB2312" w:cs="仿宋_GB2312" w:eastAsia="仿宋_GB2312"/>
                      <w:sz w:val="18"/>
                      <w:color w:val="000000"/>
                    </w:rPr>
                    <w:t>2、面料线密度：经向：40±1S，纬向：40±1S，</w:t>
                  </w:r>
                  <w:r>
                    <w:br/>
                  </w:r>
                  <w:r>
                    <w:rPr>
                      <w:rFonts w:ascii="仿宋_GB2312" w:hAnsi="仿宋_GB2312" w:cs="仿宋_GB2312" w:eastAsia="仿宋_GB2312"/>
                      <w:sz w:val="18"/>
                      <w:color w:val="000000"/>
                    </w:rPr>
                    <w:t>3、面料密度：经向：133±5根/英寸，纬向：95±5根/英寸</w:t>
                  </w:r>
                  <w:r>
                    <w:br/>
                  </w:r>
                  <w:r>
                    <w:rPr>
                      <w:rFonts w:ascii="仿宋_GB2312" w:hAnsi="仿宋_GB2312" w:cs="仿宋_GB2312" w:eastAsia="仿宋_GB2312"/>
                      <w:sz w:val="18"/>
                      <w:color w:val="000000"/>
                    </w:rPr>
                    <w:t>4、填充物纤维含量：聚酯纤维絮片</w:t>
                  </w:r>
                  <w:r>
                    <w:br/>
                  </w:r>
                  <w:r>
                    <w:rPr>
                      <w:rFonts w:ascii="仿宋_GB2312" w:hAnsi="仿宋_GB2312" w:cs="仿宋_GB2312" w:eastAsia="仿宋_GB2312"/>
                      <w:sz w:val="18"/>
                      <w:color w:val="000000"/>
                    </w:rPr>
                    <w:t>5、填充物克重：≥350g/㎡</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11</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褥子</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90*200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72</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22282"/>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275590" cy="222282"/>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1、面料纤维含量：100%棉，</w:t>
                  </w:r>
                  <w:r>
                    <w:br/>
                  </w:r>
                  <w:r>
                    <w:rPr>
                      <w:rFonts w:ascii="仿宋_GB2312" w:hAnsi="仿宋_GB2312" w:cs="仿宋_GB2312" w:eastAsia="仿宋_GB2312"/>
                      <w:sz w:val="18"/>
                      <w:color w:val="000000"/>
                    </w:rPr>
                    <w:t>2、面料线密度：经向：40±1S，纬向：40±1S，</w:t>
                  </w:r>
                  <w:r>
                    <w:br/>
                  </w:r>
                  <w:r>
                    <w:rPr>
                      <w:rFonts w:ascii="仿宋_GB2312" w:hAnsi="仿宋_GB2312" w:cs="仿宋_GB2312" w:eastAsia="仿宋_GB2312"/>
                      <w:sz w:val="18"/>
                      <w:color w:val="000000"/>
                    </w:rPr>
                    <w:t>3、面料密度：经向：133±5根/英寸，纬向：95±5根/英寸</w:t>
                  </w:r>
                  <w:r>
                    <w:br/>
                  </w:r>
                  <w:r>
                    <w:rPr>
                      <w:rFonts w:ascii="仿宋_GB2312" w:hAnsi="仿宋_GB2312" w:cs="仿宋_GB2312" w:eastAsia="仿宋_GB2312"/>
                      <w:sz w:val="18"/>
                      <w:color w:val="000000"/>
                    </w:rPr>
                    <w:t>4、填充物纤维含量：聚酯纤维100%</w:t>
                  </w:r>
                  <w:r>
                    <w:br/>
                  </w:r>
                  <w:r>
                    <w:rPr>
                      <w:rFonts w:ascii="仿宋_GB2312" w:hAnsi="仿宋_GB2312" w:cs="仿宋_GB2312" w:eastAsia="仿宋_GB2312"/>
                      <w:sz w:val="18"/>
                      <w:color w:val="000000"/>
                    </w:rPr>
                    <w:t>5、填充物克重：≥600g/㎡</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12</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枕芯</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40*65</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个</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24</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37111"/>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7"/>
                                <a:stretch>
                                  <a:fillRect/>
                                </a:stretch>
                              </pic:blipFill>
                              <pic:spPr>
                                <a:xfrm>
                                  <a:off x="0" y="0"/>
                                  <a:ext cx="275590" cy="237111"/>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1、面料纤维含量：100%棉，</w:t>
                  </w:r>
                  <w:r>
                    <w:br/>
                  </w:r>
                  <w:r>
                    <w:rPr>
                      <w:rFonts w:ascii="仿宋_GB2312" w:hAnsi="仿宋_GB2312" w:cs="仿宋_GB2312" w:eastAsia="仿宋_GB2312"/>
                      <w:sz w:val="18"/>
                      <w:color w:val="000000"/>
                    </w:rPr>
                    <w:t>2、面料线密度：经向：40±1S，纬向：40±1S，</w:t>
                  </w:r>
                  <w:r>
                    <w:br/>
                  </w:r>
                  <w:r>
                    <w:rPr>
                      <w:rFonts w:ascii="仿宋_GB2312" w:hAnsi="仿宋_GB2312" w:cs="仿宋_GB2312" w:eastAsia="仿宋_GB2312"/>
                      <w:sz w:val="18"/>
                      <w:color w:val="000000"/>
                    </w:rPr>
                    <w:t>3、面料密度：经向：133±5根/英寸，纬向：95±5根/英寸</w:t>
                  </w:r>
                  <w:r>
                    <w:br/>
                  </w:r>
                  <w:r>
                    <w:rPr>
                      <w:rFonts w:ascii="仿宋_GB2312" w:hAnsi="仿宋_GB2312" w:cs="仿宋_GB2312" w:eastAsia="仿宋_GB2312"/>
                      <w:sz w:val="18"/>
                      <w:color w:val="000000"/>
                    </w:rPr>
                    <w:t>4、填充物：聚酯纤维和荞麦壳</w:t>
                  </w:r>
                  <w:r>
                    <w:br/>
                  </w:r>
                  <w:r>
                    <w:rPr>
                      <w:rFonts w:ascii="仿宋_GB2312" w:hAnsi="仿宋_GB2312" w:cs="仿宋_GB2312" w:eastAsia="仿宋_GB2312"/>
                      <w:sz w:val="18"/>
                      <w:color w:val="000000"/>
                    </w:rPr>
                    <w:t>5、重量：≥700g</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13</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新生儿被芯</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95*100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38</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57639"/>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8"/>
                                <a:stretch>
                                  <a:fillRect/>
                                </a:stretch>
                              </pic:blipFill>
                              <pic:spPr>
                                <a:xfrm>
                                  <a:off x="0" y="0"/>
                                  <a:ext cx="275590" cy="257639"/>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1、面料纤维含量：聚酯纤维100%</w:t>
                  </w:r>
                  <w:r>
                    <w:br/>
                  </w:r>
                  <w:r>
                    <w:rPr>
                      <w:rFonts w:ascii="仿宋_GB2312" w:hAnsi="仿宋_GB2312" w:cs="仿宋_GB2312" w:eastAsia="仿宋_GB2312"/>
                      <w:sz w:val="18"/>
                      <w:color w:val="000000"/>
                    </w:rPr>
                    <w:t>2、填充物：聚酯纤维100%</w:t>
                  </w:r>
                  <w:r>
                    <w:br/>
                  </w:r>
                  <w:r>
                    <w:rPr>
                      <w:rFonts w:ascii="仿宋_GB2312" w:hAnsi="仿宋_GB2312" w:cs="仿宋_GB2312" w:eastAsia="仿宋_GB2312"/>
                      <w:sz w:val="18"/>
                      <w:color w:val="000000"/>
                    </w:rPr>
                    <w:t>3、填充物克重：≥150g/m</w:t>
                  </w:r>
                  <w:r>
                    <w:rPr>
                      <w:rFonts w:ascii="仿宋_GB2312" w:hAnsi="仿宋_GB2312" w:cs="仿宋_GB2312" w:eastAsia="仿宋_GB2312"/>
                      <w:sz w:val="18"/>
                      <w:color w:val="000000"/>
                      <w:vertAlign w:val="superscript"/>
                    </w:rPr>
                    <w:t>2</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14</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小花巾</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90*80</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22</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27282"/>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19"/>
                                <a:stretch>
                                  <a:fillRect/>
                                </a:stretch>
                              </pic:blipFill>
                              <pic:spPr>
                                <a:xfrm>
                                  <a:off x="0" y="0"/>
                                  <a:ext cx="275590" cy="227282"/>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1、纤维含量：100%棉，</w:t>
                  </w:r>
                  <w:r>
                    <w:br/>
                  </w:r>
                  <w:r>
                    <w:rPr>
                      <w:rFonts w:ascii="仿宋_GB2312" w:hAnsi="仿宋_GB2312" w:cs="仿宋_GB2312" w:eastAsia="仿宋_GB2312"/>
                      <w:sz w:val="18"/>
                      <w:color w:val="000000"/>
                    </w:rPr>
                    <w:t>2、线密度：横向：40±1S，纵向：40±1S，</w:t>
                  </w:r>
                  <w:r>
                    <w:br/>
                  </w:r>
                  <w:r>
                    <w:rPr>
                      <w:rFonts w:ascii="仿宋_GB2312" w:hAnsi="仿宋_GB2312" w:cs="仿宋_GB2312" w:eastAsia="仿宋_GB2312"/>
                      <w:sz w:val="18"/>
                      <w:color w:val="000000"/>
                    </w:rPr>
                    <w:t>3、克重：190±10g/m2</w:t>
                  </w:r>
                  <w:r>
                    <w:br/>
                  </w:r>
                  <w:r>
                    <w:rPr>
                      <w:rFonts w:ascii="仿宋_GB2312" w:hAnsi="仿宋_GB2312" w:cs="仿宋_GB2312" w:eastAsia="仿宋_GB2312"/>
                      <w:sz w:val="18"/>
                      <w:color w:val="000000"/>
                    </w:rPr>
                    <w:t>4、重金属：铅≤90mg/kg，镉≤100mg/kg</w:t>
                  </w:r>
                  <w:r>
                    <w:br/>
                  </w:r>
                  <w:r>
                    <w:rPr>
                      <w:rFonts w:ascii="仿宋_GB2312" w:hAnsi="仿宋_GB2312" w:cs="仿宋_GB2312" w:eastAsia="仿宋_GB2312"/>
                      <w:sz w:val="18"/>
                      <w:color w:val="000000"/>
                    </w:rPr>
                    <w:t>5、邻苯二甲酸酯≤0.1%</w:t>
                  </w:r>
                  <w:r>
                    <w:br/>
                  </w:r>
                  <w:r>
                    <w:rPr>
                      <w:rFonts w:ascii="仿宋_GB2312" w:hAnsi="仿宋_GB2312" w:cs="仿宋_GB2312" w:eastAsia="仿宋_GB2312"/>
                      <w:sz w:val="18"/>
                      <w:color w:val="000000"/>
                    </w:rPr>
                    <w:t>6、甲醛：≤20mg/kg</w:t>
                  </w:r>
                  <w:r>
                    <w:br/>
                  </w:r>
                  <w:r>
                    <w:rPr>
                      <w:rFonts w:ascii="仿宋_GB2312" w:hAnsi="仿宋_GB2312" w:cs="仿宋_GB2312" w:eastAsia="仿宋_GB2312"/>
                      <w:sz w:val="18"/>
                      <w:color w:val="000000"/>
                    </w:rPr>
                    <w:t>7、PH值：4.0-7.5之间</w:t>
                  </w:r>
                  <w:r>
                    <w:br/>
                  </w:r>
                  <w:r>
                    <w:rPr>
                      <w:rFonts w:ascii="仿宋_GB2312" w:hAnsi="仿宋_GB2312" w:cs="仿宋_GB2312" w:eastAsia="仿宋_GB2312"/>
                      <w:sz w:val="18"/>
                      <w:color w:val="000000"/>
                    </w:rPr>
                    <w:t>8、耐水色牢度：≥4级</w:t>
                  </w:r>
                  <w:r>
                    <w:br/>
                  </w:r>
                  <w:r>
                    <w:rPr>
                      <w:rFonts w:ascii="仿宋_GB2312" w:hAnsi="仿宋_GB2312" w:cs="仿宋_GB2312" w:eastAsia="仿宋_GB2312"/>
                      <w:sz w:val="18"/>
                      <w:color w:val="000000"/>
                    </w:rPr>
                    <w:t>9、耐酸汗渍色牢度：≥4级</w:t>
                  </w:r>
                  <w:r>
                    <w:br/>
                  </w:r>
                  <w:r>
                    <w:rPr>
                      <w:rFonts w:ascii="仿宋_GB2312" w:hAnsi="仿宋_GB2312" w:cs="仿宋_GB2312" w:eastAsia="仿宋_GB2312"/>
                      <w:sz w:val="18"/>
                      <w:color w:val="000000"/>
                    </w:rPr>
                    <w:t>10、耐碱汗渍色牢度：≥4级</w:t>
                  </w:r>
                  <w:r>
                    <w:br/>
                  </w:r>
                  <w:r>
                    <w:rPr>
                      <w:rFonts w:ascii="仿宋_GB2312" w:hAnsi="仿宋_GB2312" w:cs="仿宋_GB2312" w:eastAsia="仿宋_GB2312"/>
                      <w:sz w:val="18"/>
                      <w:color w:val="000000"/>
                    </w:rPr>
                    <w:t>11、耐干摩擦色牢度：≥4级</w:t>
                  </w:r>
                  <w:r>
                    <w:br/>
                  </w:r>
                  <w:r>
                    <w:rPr>
                      <w:rFonts w:ascii="仿宋_GB2312" w:hAnsi="仿宋_GB2312" w:cs="仿宋_GB2312" w:eastAsia="仿宋_GB2312"/>
                      <w:sz w:val="18"/>
                      <w:color w:val="000000"/>
                    </w:rPr>
                    <w:t>12、耐唾液色牢度：≥4级</w:t>
                  </w:r>
                  <w:r>
                    <w:br/>
                  </w:r>
                  <w:r>
                    <w:rPr>
                      <w:rFonts w:ascii="仿宋_GB2312" w:hAnsi="仿宋_GB2312" w:cs="仿宋_GB2312" w:eastAsia="仿宋_GB2312"/>
                      <w:sz w:val="18"/>
                      <w:color w:val="000000"/>
                    </w:rPr>
                    <w:t>13、异味：无</w:t>
                  </w:r>
                  <w:r>
                    <w:br/>
                  </w:r>
                  <w:r>
                    <w:rPr>
                      <w:rFonts w:ascii="仿宋_GB2312" w:hAnsi="仿宋_GB2312" w:cs="仿宋_GB2312" w:eastAsia="仿宋_GB2312"/>
                      <w:sz w:val="18"/>
                      <w:color w:val="000000"/>
                    </w:rPr>
                    <w:t>14、可分解致癌芳香胺染料：禁用</w:t>
                  </w:r>
                  <w:r>
                    <w:br/>
                  </w:r>
                  <w:r>
                    <w:rPr>
                      <w:rFonts w:ascii="仿宋_GB2312" w:hAnsi="仿宋_GB2312" w:cs="仿宋_GB2312" w:eastAsia="仿宋_GB2312"/>
                      <w:sz w:val="18"/>
                      <w:color w:val="000000"/>
                    </w:rPr>
                    <w:t>▲15、提供经国家认监委认证认可的第三方检测机构（具有CMA或CNAS认证）出具面料或成品检测报告复印件或扫描件。</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儿童病员服</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38</w:t>
                  </w:r>
                </w:p>
              </w:tc>
              <w:tc>
                <w:tcPr>
                  <w:tcW w:type="dxa" w:w="65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19458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0"/>
                                <a:stretch>
                                  <a:fillRect/>
                                </a:stretch>
                              </pic:blipFill>
                              <pic:spPr>
                                <a:xfrm>
                                  <a:off x="0" y="0"/>
                                  <a:ext cx="275590" cy="194580"/>
                                </a:xfrm>
                                <a:prstGeom prst="rect">
                                  <a:avLst/>
                                </a:prstGeom>
                              </pic:spPr>
                            </pic:pic>
                          </a:graphicData>
                        </a:graphic>
                      </wp:inline>
                    </w:drawing>
                  </w:r>
                </w:p>
              </w:tc>
              <w:tc>
                <w:tcPr>
                  <w:tcW w:type="dxa" w:w="847"/>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1、纤维含量：50%聚酯纤维50%棉</w:t>
                  </w:r>
                  <w:r>
                    <w:br/>
                  </w:r>
                  <w:r>
                    <w:rPr>
                      <w:rFonts w:ascii="仿宋_GB2312" w:hAnsi="仿宋_GB2312" w:cs="仿宋_GB2312" w:eastAsia="仿宋_GB2312"/>
                      <w:sz w:val="18"/>
                      <w:color w:val="000000"/>
                    </w:rPr>
                    <w:t>2、线密度：32*32S（±1）</w:t>
                  </w:r>
                  <w:r>
                    <w:br/>
                  </w:r>
                  <w:r>
                    <w:rPr>
                      <w:rFonts w:ascii="仿宋_GB2312" w:hAnsi="仿宋_GB2312" w:cs="仿宋_GB2312" w:eastAsia="仿宋_GB2312"/>
                      <w:sz w:val="18"/>
                      <w:color w:val="000000"/>
                    </w:rPr>
                    <w:t>3、密度：130*70根/英寸（±5）</w:t>
                  </w:r>
                  <w:r>
                    <w:br/>
                  </w:r>
                  <w:r>
                    <w:rPr>
                      <w:rFonts w:ascii="仿宋_GB2312" w:hAnsi="仿宋_GB2312" w:cs="仿宋_GB2312" w:eastAsia="仿宋_GB2312"/>
                      <w:sz w:val="18"/>
                      <w:color w:val="000000"/>
                    </w:rPr>
                    <w:t>4、耐次氯酸盐漂白色牢度：≥3-4 级</w:t>
                  </w:r>
                  <w:r>
                    <w:br/>
                  </w:r>
                  <w:r>
                    <w:rPr>
                      <w:rFonts w:ascii="仿宋_GB2312" w:hAnsi="仿宋_GB2312" w:cs="仿宋_GB2312" w:eastAsia="仿宋_GB2312"/>
                      <w:sz w:val="18"/>
                      <w:color w:val="000000"/>
                    </w:rPr>
                    <w:t>5、水洗尺寸变化率：≥-5%</w:t>
                  </w:r>
                  <w:r>
                    <w:br/>
                  </w:r>
                  <w:r>
                    <w:rPr>
                      <w:rFonts w:ascii="仿宋_GB2312" w:hAnsi="仿宋_GB2312" w:cs="仿宋_GB2312" w:eastAsia="仿宋_GB2312"/>
                      <w:sz w:val="18"/>
                      <w:color w:val="000000"/>
                    </w:rPr>
                    <w:t>6、甲醛含量：不得检出</w:t>
                  </w:r>
                  <w:r>
                    <w:br/>
                  </w:r>
                  <w:r>
                    <w:rPr>
                      <w:rFonts w:ascii="仿宋_GB2312" w:hAnsi="仿宋_GB2312" w:cs="仿宋_GB2312" w:eastAsia="仿宋_GB2312"/>
                      <w:sz w:val="18"/>
                      <w:color w:val="000000"/>
                    </w:rPr>
                    <w:t>7、PH值：4.0-7.5</w:t>
                  </w:r>
                  <w:r>
                    <w:br/>
                  </w:r>
                  <w:r>
                    <w:rPr>
                      <w:rFonts w:ascii="仿宋_GB2312" w:hAnsi="仿宋_GB2312" w:cs="仿宋_GB2312" w:eastAsia="仿宋_GB2312"/>
                      <w:sz w:val="18"/>
                      <w:color w:val="000000"/>
                    </w:rPr>
                    <w:t>8、耐水色牢度：≥4 级</w:t>
                  </w:r>
                  <w:r>
                    <w:br/>
                  </w:r>
                  <w:r>
                    <w:rPr>
                      <w:rFonts w:ascii="仿宋_GB2312" w:hAnsi="仿宋_GB2312" w:cs="仿宋_GB2312" w:eastAsia="仿宋_GB2312"/>
                      <w:sz w:val="18"/>
                      <w:color w:val="000000"/>
                    </w:rPr>
                    <w:t>9、耐酸汗渍色牢度：≥4 级</w:t>
                  </w:r>
                  <w:r>
                    <w:br/>
                  </w:r>
                  <w:r>
                    <w:rPr>
                      <w:rFonts w:ascii="仿宋_GB2312" w:hAnsi="仿宋_GB2312" w:cs="仿宋_GB2312" w:eastAsia="仿宋_GB2312"/>
                      <w:sz w:val="18"/>
                      <w:color w:val="000000"/>
                    </w:rPr>
                    <w:t>10、耐碱汗渍色牢度：≥4 级</w:t>
                  </w:r>
                  <w:r>
                    <w:br/>
                  </w:r>
                  <w:r>
                    <w:rPr>
                      <w:rFonts w:ascii="仿宋_GB2312" w:hAnsi="仿宋_GB2312" w:cs="仿宋_GB2312" w:eastAsia="仿宋_GB2312"/>
                      <w:sz w:val="18"/>
                      <w:color w:val="000000"/>
                    </w:rPr>
                    <w:t>11、耐干摩擦色牢度：≥4 级</w:t>
                  </w:r>
                  <w:r>
                    <w:br/>
                  </w:r>
                  <w:r>
                    <w:rPr>
                      <w:rFonts w:ascii="仿宋_GB2312" w:hAnsi="仿宋_GB2312" w:cs="仿宋_GB2312" w:eastAsia="仿宋_GB2312"/>
                      <w:sz w:val="18"/>
                      <w:color w:val="000000"/>
                    </w:rPr>
                    <w:t>12、耐唾液色牢度：≥4 级</w:t>
                  </w:r>
                  <w:r>
                    <w:br/>
                  </w:r>
                  <w:r>
                    <w:rPr>
                      <w:rFonts w:ascii="仿宋_GB2312" w:hAnsi="仿宋_GB2312" w:cs="仿宋_GB2312" w:eastAsia="仿宋_GB2312"/>
                      <w:sz w:val="18"/>
                      <w:color w:val="000000"/>
                    </w:rPr>
                    <w:t>13、异味：无</w:t>
                  </w:r>
                  <w:r>
                    <w:br/>
                  </w:r>
                  <w:r>
                    <w:rPr>
                      <w:rFonts w:ascii="仿宋_GB2312" w:hAnsi="仿宋_GB2312" w:cs="仿宋_GB2312" w:eastAsia="仿宋_GB2312"/>
                      <w:sz w:val="18"/>
                      <w:color w:val="000000"/>
                    </w:rPr>
                    <w:t>14、可分解致癌芳香胺染料：不得检出</w:t>
                  </w:r>
                  <w:r>
                    <w:br/>
                  </w:r>
                  <w:r>
                    <w:rPr>
                      <w:rFonts w:ascii="仿宋_GB2312" w:hAnsi="仿宋_GB2312" w:cs="仿宋_GB2312" w:eastAsia="仿宋_GB2312"/>
                      <w:sz w:val="18"/>
                      <w:color w:val="000000"/>
                    </w:rPr>
                    <w:t>▲15、提供经国家认监委认证认可的第三方检测机构(具有CMA或 CNAS 认证)出具面料或成品检测报告复印件或扫描件。</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16</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儿童病员裤</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1-5岁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32</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17</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儿童病员服</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6-12岁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42</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18</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儿童病员裤</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6-12岁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35</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19</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病员服上衣</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均码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55</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159598"/>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1"/>
                                <a:stretch>
                                  <a:fillRect/>
                                </a:stretch>
                              </pic:blipFill>
                              <pic:spPr>
                                <a:xfrm>
                                  <a:off x="0" y="0"/>
                                  <a:ext cx="275590" cy="159598"/>
                                </a:xfrm>
                                <a:prstGeom prst="rect">
                                  <a:avLst/>
                                </a:prstGeom>
                              </pic:spPr>
                            </pic:pic>
                          </a:graphicData>
                        </a:graphic>
                      </wp:inline>
                    </w:drawing>
                  </w: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20</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病员裤</w:t>
                  </w:r>
                  <w:r>
                    <w:rPr>
                      <w:rFonts w:ascii="仿宋_GB2312" w:hAnsi="仿宋_GB2312" w:cs="仿宋_GB2312" w:eastAsia="仿宋_GB2312"/>
                      <w:sz w:val="18"/>
                      <w:color w:val="000000"/>
                    </w:rPr>
                    <w:t>/孕妇裤</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均码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42</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55363"/>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2"/>
                                <a:stretch>
                                  <a:fillRect/>
                                </a:stretch>
                              </pic:blipFill>
                              <pic:spPr>
                                <a:xfrm>
                                  <a:off x="0" y="0"/>
                                  <a:ext cx="275590" cy="255363"/>
                                </a:xfrm>
                                <a:prstGeom prst="rect">
                                  <a:avLst/>
                                </a:prstGeom>
                              </pic:spPr>
                            </pic:pic>
                          </a:graphicData>
                        </a:graphic>
                      </wp:inline>
                    </w:drawing>
                  </w: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21</w:t>
                  </w:r>
                </w:p>
              </w:tc>
              <w:tc>
                <w:tcPr>
                  <w:tcW w:type="dxa" w:w="27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病员袍</w:t>
                  </w:r>
                </w:p>
              </w:tc>
              <w:tc>
                <w:tcPr>
                  <w:tcW w:type="dxa" w:w="24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均码</w:t>
                  </w:r>
                </w:p>
              </w:tc>
              <w:tc>
                <w:tcPr>
                  <w:tcW w:type="dxa" w:w="14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60</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255834"/>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3"/>
                                <a:stretch>
                                  <a:fillRect/>
                                </a:stretch>
                              </pic:blipFill>
                              <pic:spPr>
                                <a:xfrm>
                                  <a:off x="0" y="0"/>
                                  <a:ext cx="275590" cy="255834"/>
                                </a:xfrm>
                                <a:prstGeom prst="rect">
                                  <a:avLst/>
                                </a:prstGeom>
                              </pic:spPr>
                            </pic:pic>
                          </a:graphicData>
                        </a:graphic>
                      </wp:inline>
                    </w:drawing>
                  </w: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22</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室内衣</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75</w:t>
                  </w:r>
                </w:p>
              </w:tc>
              <w:tc>
                <w:tcPr>
                  <w:tcW w:type="dxa" w:w="65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345655"/>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4"/>
                                <a:stretch>
                                  <a:fillRect/>
                                </a:stretch>
                              </pic:blipFill>
                              <pic:spPr>
                                <a:xfrm>
                                  <a:off x="0" y="0"/>
                                  <a:ext cx="275590" cy="345655"/>
                                </a:xfrm>
                                <a:prstGeom prst="rect">
                                  <a:avLst/>
                                </a:prstGeom>
                              </pic:spPr>
                            </pic:pic>
                          </a:graphicData>
                        </a:graphic>
                      </wp:inline>
                    </w:drawing>
                  </w:r>
                </w:p>
              </w:tc>
              <w:tc>
                <w:tcPr>
                  <w:tcW w:type="dxa" w:w="847"/>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after="180"/>
                    <w:jc w:val="left"/>
                  </w:pPr>
                  <w:r>
                    <w:rPr>
                      <w:rFonts w:ascii="仿宋_GB2312" w:hAnsi="仿宋_GB2312" w:cs="仿宋_GB2312" w:eastAsia="仿宋_GB2312"/>
                      <w:sz w:val="18"/>
                      <w:color w:val="000000"/>
                    </w:rPr>
                    <w:t>1、纤维含量：聚酯纤维94±5%，氨纶6±3%</w:t>
                  </w:r>
                  <w:r>
                    <w:br/>
                  </w:r>
                  <w:r>
                    <w:rPr>
                      <w:rFonts w:ascii="仿宋_GB2312" w:hAnsi="仿宋_GB2312" w:cs="仿宋_GB2312" w:eastAsia="仿宋_GB2312"/>
                      <w:sz w:val="18"/>
                      <w:color w:val="000000"/>
                    </w:rPr>
                    <w:t>2、密度：经向：690根/10cm，纬向：420根/10cm</w:t>
                  </w:r>
                  <w:r>
                    <w:br/>
                  </w:r>
                  <w:r>
                    <w:rPr>
                      <w:rFonts w:ascii="仿宋_GB2312" w:hAnsi="仿宋_GB2312" w:cs="仿宋_GB2312" w:eastAsia="仿宋_GB2312"/>
                      <w:sz w:val="18"/>
                      <w:color w:val="000000"/>
                    </w:rPr>
                    <w:t>3、断裂强度：经向：≥1800N，纬向：≥900N</w:t>
                  </w:r>
                  <w:r>
                    <w:br/>
                  </w:r>
                  <w:r>
                    <w:rPr>
                      <w:rFonts w:ascii="仿宋_GB2312" w:hAnsi="仿宋_GB2312" w:cs="仿宋_GB2312" w:eastAsia="仿宋_GB2312"/>
                      <w:sz w:val="18"/>
                      <w:color w:val="000000"/>
                    </w:rPr>
                    <w:t>4、耐次氯酸盐漂白色牢度：≥3-4级</w:t>
                  </w:r>
                  <w:r>
                    <w:br/>
                  </w:r>
                  <w:r>
                    <w:rPr>
                      <w:rFonts w:ascii="仿宋_GB2312" w:hAnsi="仿宋_GB2312" w:cs="仿宋_GB2312" w:eastAsia="仿宋_GB2312"/>
                      <w:sz w:val="18"/>
                      <w:color w:val="000000"/>
                    </w:rPr>
                    <w:t>5、起毛起球：≥3-4级</w:t>
                  </w:r>
                  <w:r>
                    <w:br/>
                  </w:r>
                  <w:r>
                    <w:rPr>
                      <w:rFonts w:ascii="仿宋_GB2312" w:hAnsi="仿宋_GB2312" w:cs="仿宋_GB2312" w:eastAsia="仿宋_GB2312"/>
                      <w:sz w:val="18"/>
                      <w:color w:val="000000"/>
                    </w:rPr>
                    <w:t>6、水洗尺寸变化率：≥-2%</w:t>
                  </w:r>
                  <w:r>
                    <w:br/>
                  </w:r>
                  <w:r>
                    <w:rPr>
                      <w:rFonts w:ascii="仿宋_GB2312" w:hAnsi="仿宋_GB2312" w:cs="仿宋_GB2312" w:eastAsia="仿宋_GB2312"/>
                      <w:sz w:val="18"/>
                      <w:color w:val="000000"/>
                    </w:rPr>
                    <w:t>7、甲醛：≤75mg/kg</w:t>
                  </w:r>
                  <w:r>
                    <w:br/>
                  </w:r>
                  <w:r>
                    <w:rPr>
                      <w:rFonts w:ascii="仿宋_GB2312" w:hAnsi="仿宋_GB2312" w:cs="仿宋_GB2312" w:eastAsia="仿宋_GB2312"/>
                      <w:sz w:val="18"/>
                      <w:color w:val="000000"/>
                    </w:rPr>
                    <w:t>8、PH值：4.0-8.5之间</w:t>
                  </w:r>
                  <w:r>
                    <w:br/>
                  </w:r>
                  <w:r>
                    <w:rPr>
                      <w:rFonts w:ascii="仿宋_GB2312" w:hAnsi="仿宋_GB2312" w:cs="仿宋_GB2312" w:eastAsia="仿宋_GB2312"/>
                      <w:sz w:val="18"/>
                      <w:color w:val="000000"/>
                    </w:rPr>
                    <w:t>9、耐水色牢度：≥4级</w:t>
                  </w:r>
                  <w:r>
                    <w:br/>
                  </w:r>
                  <w:r>
                    <w:rPr>
                      <w:rFonts w:ascii="仿宋_GB2312" w:hAnsi="仿宋_GB2312" w:cs="仿宋_GB2312" w:eastAsia="仿宋_GB2312"/>
                      <w:sz w:val="18"/>
                      <w:color w:val="000000"/>
                    </w:rPr>
                    <w:t>10、耐酸汗渍色牢度：≥4级</w:t>
                  </w:r>
                  <w:r>
                    <w:br/>
                  </w:r>
                  <w:r>
                    <w:rPr>
                      <w:rFonts w:ascii="仿宋_GB2312" w:hAnsi="仿宋_GB2312" w:cs="仿宋_GB2312" w:eastAsia="仿宋_GB2312"/>
                      <w:sz w:val="18"/>
                      <w:color w:val="000000"/>
                    </w:rPr>
                    <w:t>11、耐碱汗渍色牢度：≥4级</w:t>
                  </w:r>
                  <w:r>
                    <w:br/>
                  </w:r>
                  <w:r>
                    <w:rPr>
                      <w:rFonts w:ascii="仿宋_GB2312" w:hAnsi="仿宋_GB2312" w:cs="仿宋_GB2312" w:eastAsia="仿宋_GB2312"/>
                      <w:sz w:val="18"/>
                      <w:color w:val="000000"/>
                    </w:rPr>
                    <w:t>12、耐干摩擦色牢度：≥4级</w:t>
                  </w:r>
                  <w:r>
                    <w:br/>
                  </w:r>
                  <w:r>
                    <w:rPr>
                      <w:rFonts w:ascii="仿宋_GB2312" w:hAnsi="仿宋_GB2312" w:cs="仿宋_GB2312" w:eastAsia="仿宋_GB2312"/>
                      <w:sz w:val="18"/>
                      <w:color w:val="000000"/>
                    </w:rPr>
                    <w:t>13、异味：无</w:t>
                  </w:r>
                  <w:r>
                    <w:br/>
                  </w:r>
                  <w:r>
                    <w:rPr>
                      <w:rFonts w:ascii="仿宋_GB2312" w:hAnsi="仿宋_GB2312" w:cs="仿宋_GB2312" w:eastAsia="仿宋_GB2312"/>
                      <w:sz w:val="18"/>
                      <w:color w:val="000000"/>
                    </w:rPr>
                    <w:t>14、可分解致癌芳香胺染料：禁用</w:t>
                  </w: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23</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室内裤</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条</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48</w:t>
                  </w:r>
                </w:p>
              </w:tc>
              <w:tc>
                <w:tcPr>
                  <w:tcW w:type="dxa" w:w="650"/>
                  <w:vMerge/>
                  <w:tcBorders>
                    <w:top w:val="none" w:color="000000" w:sz="4"/>
                    <w:left w:val="none" w:color="000000" w:sz="4"/>
                    <w:bottom w:val="single" w:color="000000" w:sz="4"/>
                    <w:right w:val="single" w:color="000000" w:sz="4"/>
                  </w:tcBorders>
                </w:tcPr>
                <w:p/>
              </w:tc>
              <w:tc>
                <w:tcPr>
                  <w:tcW w:type="dxa" w:w="847"/>
                  <w:vMerge/>
                  <w:tcBorders>
                    <w:top w:val="none" w:color="000000" w:sz="4"/>
                    <w:left w:val="none" w:color="000000" w:sz="4"/>
                    <w:bottom w:val="single" w:color="000000" w:sz="4"/>
                    <w:right w:val="single" w:color="000000" w:sz="4"/>
                  </w:tcBorders>
                </w:tcPr>
                <w:p/>
              </w:tc>
            </w:tr>
            <w:tr>
              <w:tc>
                <w:tcPr>
                  <w:tcW w:type="dxa" w:w="1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24</w:t>
                  </w:r>
                </w:p>
              </w:tc>
              <w:tc>
                <w:tcPr>
                  <w:tcW w:type="dxa" w:w="2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手术衣</w:t>
                  </w:r>
                  <w:r>
                    <w:rPr>
                      <w:rFonts w:ascii="仿宋_GB2312" w:hAnsi="仿宋_GB2312" w:cs="仿宋_GB2312" w:eastAsia="仿宋_GB2312"/>
                      <w:sz w:val="18"/>
                      <w:color w:val="000000"/>
                    </w:rPr>
                    <w:t>-其他科室</w:t>
                  </w:r>
                </w:p>
              </w:tc>
              <w:tc>
                <w:tcPr>
                  <w:tcW w:type="dxa" w:w="24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均码</w:t>
                  </w:r>
                </w:p>
              </w:tc>
              <w:tc>
                <w:tcPr>
                  <w:tcW w:type="dxa" w:w="14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84</w:t>
                  </w:r>
                </w:p>
              </w:tc>
              <w:tc>
                <w:tcPr>
                  <w:tcW w:type="dxa" w:w="6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drawing>
                      <wp:inline distT="0" distR="0" distB="0" distL="0">
                        <wp:extent cx="275590" cy="310538"/>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5"/>
                                <a:stretch>
                                  <a:fillRect/>
                                </a:stretch>
                              </pic:blipFill>
                              <pic:spPr>
                                <a:xfrm>
                                  <a:off x="0" y="0"/>
                                  <a:ext cx="275590" cy="310538"/>
                                </a:xfrm>
                                <a:prstGeom prst="rect">
                                  <a:avLst/>
                                </a:prstGeom>
                              </pic:spPr>
                            </pic:pic>
                          </a:graphicData>
                        </a:graphic>
                      </wp:inline>
                    </w:drawing>
                  </w:r>
                </w:p>
              </w:tc>
              <w:tc>
                <w:tcPr>
                  <w:tcW w:type="dxa" w:w="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after="180"/>
                    <w:jc w:val="left"/>
                  </w:pPr>
                  <w:r>
                    <w:rPr>
                      <w:rFonts w:ascii="仿宋_GB2312" w:hAnsi="仿宋_GB2312" w:cs="仿宋_GB2312" w:eastAsia="仿宋_GB2312"/>
                      <w:sz w:val="18"/>
                      <w:color w:val="000000"/>
                    </w:rPr>
                    <w:t>1、纤维含量：聚酯纤维65±3%，棉35±3%</w:t>
                  </w:r>
                  <w:r>
                    <w:br/>
                  </w:r>
                  <w:r>
                    <w:rPr>
                      <w:rFonts w:ascii="仿宋_GB2312" w:hAnsi="仿宋_GB2312" w:cs="仿宋_GB2312" w:eastAsia="仿宋_GB2312"/>
                      <w:sz w:val="18"/>
                      <w:color w:val="000000"/>
                    </w:rPr>
                    <w:t>2、线密度：经向：25±1tex，纬向：25±1tex</w:t>
                  </w:r>
                  <w:r>
                    <w:br/>
                  </w:r>
                  <w:r>
                    <w:rPr>
                      <w:rFonts w:ascii="仿宋_GB2312" w:hAnsi="仿宋_GB2312" w:cs="仿宋_GB2312" w:eastAsia="仿宋_GB2312"/>
                      <w:sz w:val="18"/>
                      <w:color w:val="000000"/>
                    </w:rPr>
                    <w:t>3、密度：经向：≥104根/英寸，纬向：≥61根/英寸</w:t>
                  </w:r>
                  <w:r>
                    <w:br/>
                  </w:r>
                  <w:r>
                    <w:rPr>
                      <w:rFonts w:ascii="仿宋_GB2312" w:hAnsi="仿宋_GB2312" w:cs="仿宋_GB2312" w:eastAsia="仿宋_GB2312"/>
                      <w:sz w:val="18"/>
                      <w:color w:val="000000"/>
                    </w:rPr>
                    <w:t>4、断裂强度：经向：≥1300N，纬向：≥700N</w:t>
                  </w:r>
                  <w:r>
                    <w:br/>
                  </w:r>
                  <w:r>
                    <w:rPr>
                      <w:rFonts w:ascii="仿宋_GB2312" w:hAnsi="仿宋_GB2312" w:cs="仿宋_GB2312" w:eastAsia="仿宋_GB2312"/>
                      <w:sz w:val="18"/>
                      <w:color w:val="000000"/>
                    </w:rPr>
                    <w:t>5、起毛起球：≥3-4级</w:t>
                  </w:r>
                  <w:r>
                    <w:br/>
                  </w:r>
                  <w:r>
                    <w:rPr>
                      <w:rFonts w:ascii="仿宋_GB2312" w:hAnsi="仿宋_GB2312" w:cs="仿宋_GB2312" w:eastAsia="仿宋_GB2312"/>
                      <w:sz w:val="18"/>
                      <w:color w:val="000000"/>
                    </w:rPr>
                    <w:t>6、水洗尺寸变化率：≥-2%</w:t>
                  </w:r>
                  <w:r>
                    <w:br/>
                  </w:r>
                  <w:r>
                    <w:rPr>
                      <w:rFonts w:ascii="仿宋_GB2312" w:hAnsi="仿宋_GB2312" w:cs="仿宋_GB2312" w:eastAsia="仿宋_GB2312"/>
                      <w:sz w:val="18"/>
                      <w:color w:val="000000"/>
                    </w:rPr>
                    <w:t>7、甲醛：≤75mg/kg</w:t>
                  </w:r>
                  <w:r>
                    <w:br/>
                  </w:r>
                  <w:r>
                    <w:rPr>
                      <w:rFonts w:ascii="仿宋_GB2312" w:hAnsi="仿宋_GB2312" w:cs="仿宋_GB2312" w:eastAsia="仿宋_GB2312"/>
                      <w:sz w:val="18"/>
                      <w:color w:val="000000"/>
                    </w:rPr>
                    <w:t>8、PH值：4.0-8.5之间</w:t>
                  </w:r>
                  <w:r>
                    <w:br/>
                  </w:r>
                  <w:r>
                    <w:rPr>
                      <w:rFonts w:ascii="仿宋_GB2312" w:hAnsi="仿宋_GB2312" w:cs="仿宋_GB2312" w:eastAsia="仿宋_GB2312"/>
                      <w:sz w:val="18"/>
                      <w:color w:val="000000"/>
                    </w:rPr>
                    <w:t>9、耐水色牢度：≥4级</w:t>
                  </w:r>
                  <w:r>
                    <w:br/>
                  </w:r>
                  <w:r>
                    <w:rPr>
                      <w:rFonts w:ascii="仿宋_GB2312" w:hAnsi="仿宋_GB2312" w:cs="仿宋_GB2312" w:eastAsia="仿宋_GB2312"/>
                      <w:sz w:val="18"/>
                      <w:color w:val="000000"/>
                    </w:rPr>
                    <w:t>10、耐酸汗渍色牢度：≥4级</w:t>
                  </w:r>
                  <w:r>
                    <w:br/>
                  </w:r>
                  <w:r>
                    <w:rPr>
                      <w:rFonts w:ascii="仿宋_GB2312" w:hAnsi="仿宋_GB2312" w:cs="仿宋_GB2312" w:eastAsia="仿宋_GB2312"/>
                      <w:sz w:val="18"/>
                      <w:color w:val="000000"/>
                    </w:rPr>
                    <w:t>11、耐碱汗渍色牢度：≥4级</w:t>
                  </w:r>
                  <w:r>
                    <w:br/>
                  </w:r>
                  <w:r>
                    <w:rPr>
                      <w:rFonts w:ascii="仿宋_GB2312" w:hAnsi="仿宋_GB2312" w:cs="仿宋_GB2312" w:eastAsia="仿宋_GB2312"/>
                      <w:sz w:val="18"/>
                      <w:color w:val="000000"/>
                    </w:rPr>
                    <w:t>12、耐干摩擦色牢度：≥4级</w:t>
                  </w:r>
                  <w:r>
                    <w:br/>
                  </w:r>
                  <w:r>
                    <w:rPr>
                      <w:rFonts w:ascii="仿宋_GB2312" w:hAnsi="仿宋_GB2312" w:cs="仿宋_GB2312" w:eastAsia="仿宋_GB2312"/>
                      <w:sz w:val="18"/>
                      <w:color w:val="000000"/>
                    </w:rPr>
                    <w:t>13、耐次氯酸盐漂白色牢度：≥4级</w:t>
                  </w:r>
                  <w:r>
                    <w:br/>
                  </w:r>
                  <w:r>
                    <w:rPr>
                      <w:rFonts w:ascii="仿宋_GB2312" w:hAnsi="仿宋_GB2312" w:cs="仿宋_GB2312" w:eastAsia="仿宋_GB2312"/>
                      <w:sz w:val="18"/>
                      <w:color w:val="000000"/>
                    </w:rPr>
                    <w:t>14、异味：无</w:t>
                  </w:r>
                  <w:r>
                    <w:br/>
                  </w:r>
                  <w:r>
                    <w:rPr>
                      <w:rFonts w:ascii="仿宋_GB2312" w:hAnsi="仿宋_GB2312" w:cs="仿宋_GB2312" w:eastAsia="仿宋_GB2312"/>
                      <w:sz w:val="18"/>
                      <w:color w:val="000000"/>
                    </w:rPr>
                    <w:t>15、可分解致癌芳香胺染料：禁用</w:t>
                  </w:r>
                </w:p>
              </w:tc>
            </w:tr>
            <w:tr>
              <w:tc>
                <w:tcPr>
                  <w:tcW w:type="dxa" w:w="2536"/>
                  <w:gridSpan w:val="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备注：</w:t>
                  </w:r>
                  <w:r>
                    <w:br/>
                  </w:r>
                  <w:r>
                    <w:rPr>
                      <w:rFonts w:ascii="仿宋_GB2312" w:hAnsi="仿宋_GB2312" w:cs="仿宋_GB2312" w:eastAsia="仿宋_GB2312"/>
                      <w:sz w:val="21"/>
                      <w:color w:val="000000"/>
                    </w:rPr>
                    <w:t>1、以上尺寸均为缩水后的尺寸；</w:t>
                  </w:r>
                  <w:r>
                    <w:br/>
                  </w:r>
                  <w:r>
                    <w:rPr>
                      <w:rFonts w:ascii="仿宋_GB2312" w:hAnsi="仿宋_GB2312" w:cs="仿宋_GB2312" w:eastAsia="仿宋_GB2312"/>
                      <w:sz w:val="21"/>
                      <w:color w:val="000000"/>
                    </w:rPr>
                    <w:t>2、产品颜色、款式、图片仅供参考；</w:t>
                  </w:r>
                  <w:r>
                    <w:br/>
                  </w:r>
                  <w:r>
                    <w:rPr>
                      <w:rFonts w:ascii="仿宋_GB2312" w:hAnsi="仿宋_GB2312" w:cs="仿宋_GB2312" w:eastAsia="仿宋_GB2312"/>
                      <w:sz w:val="21"/>
                      <w:color w:val="000000"/>
                    </w:rPr>
                    <w:t>3、供应商提供的样品的花色及款式不做强制要求，但最终成交产品花色及款式由医院选择决定；</w:t>
                  </w:r>
                  <w:r>
                    <w:br/>
                  </w:r>
                  <w:r>
                    <w:rPr>
                      <w:rFonts w:ascii="仿宋_GB2312" w:hAnsi="仿宋_GB2312" w:cs="仿宋_GB2312" w:eastAsia="仿宋_GB2312"/>
                      <w:sz w:val="21"/>
                      <w:color w:val="000000"/>
                    </w:rPr>
                    <w:t>4、所有产品可定制医院LOGO；</w:t>
                  </w:r>
                  <w:r>
                    <w:br/>
                  </w:r>
                  <w:r>
                    <w:rPr>
                      <w:rFonts w:ascii="仿宋_GB2312" w:hAnsi="仿宋_GB2312" w:cs="仿宋_GB2312" w:eastAsia="仿宋_GB2312"/>
                      <w:sz w:val="21"/>
                      <w:color w:val="000000"/>
                    </w:rPr>
                    <w:t>5、被褥类产品均可水洗；</w:t>
                  </w:r>
                </w:p>
                <w:p>
                  <w:pPr>
                    <w:pStyle w:val="null3"/>
                    <w:jc w:val="left"/>
                  </w:pPr>
                  <w:r>
                    <w:rPr>
                      <w:rFonts w:ascii="仿宋_GB2312" w:hAnsi="仿宋_GB2312" w:cs="仿宋_GB2312" w:eastAsia="仿宋_GB2312"/>
                      <w:sz w:val="21"/>
                      <w:color w:val="000000"/>
                    </w:rPr>
                    <w:t>6、样品序号：1、13、14、19、20、22、23；核心产品序号：19。</w:t>
                  </w:r>
                </w:p>
              </w:tc>
            </w:tr>
          </w:tbl>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标的名称：医护工作服</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186"/>
              <w:gridCol w:w="300"/>
              <w:gridCol w:w="238"/>
              <w:gridCol w:w="214"/>
              <w:gridCol w:w="248"/>
              <w:gridCol w:w="553"/>
              <w:gridCol w:w="806"/>
            </w:tblGrid>
            <w:tr>
              <w:tc>
                <w:tcPr>
                  <w:tcW w:type="dxa" w:w="2545"/>
                  <w:gridSpan w:val="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8"/>
                      <w:b/>
                      <w:color w:val="000000"/>
                    </w:rPr>
                    <w:t>医护工作服技术参数及最高限价</w:t>
                  </w:r>
                </w:p>
              </w:tc>
            </w:tr>
            <w:tr>
              <w:tc>
                <w:tcPr>
                  <w:tcW w:type="dxa" w:w="1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序号</w:t>
                  </w:r>
                </w:p>
              </w:tc>
              <w:tc>
                <w:tcPr>
                  <w:tcW w:type="dxa" w:w="30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产品名称</w:t>
                  </w:r>
                </w:p>
              </w:tc>
              <w:tc>
                <w:tcPr>
                  <w:tcW w:type="dxa" w:w="23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规格型号（</w:t>
                  </w:r>
                  <w:r>
                    <w:rPr>
                      <w:rFonts w:ascii="仿宋_GB2312" w:hAnsi="仿宋_GB2312" w:cs="仿宋_GB2312" w:eastAsia="仿宋_GB2312"/>
                      <w:sz w:val="20"/>
                      <w:b/>
                      <w:color w:val="000000"/>
                    </w:rPr>
                    <w:t>CM）</w:t>
                  </w:r>
                </w:p>
              </w:tc>
              <w:tc>
                <w:tcPr>
                  <w:tcW w:type="dxa" w:w="21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单位</w:t>
                  </w:r>
                </w:p>
              </w:tc>
              <w:tc>
                <w:tcPr>
                  <w:tcW w:type="dxa" w:w="24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最高限价</w:t>
                  </w:r>
                  <w:r>
                    <w:rPr>
                      <w:rFonts w:ascii="仿宋_GB2312" w:hAnsi="仿宋_GB2312" w:cs="仿宋_GB2312" w:eastAsia="仿宋_GB2312"/>
                      <w:sz w:val="20"/>
                      <w:b/>
                      <w:color w:val="000000"/>
                    </w:rPr>
                    <w:t>(元）</w:t>
                  </w:r>
                </w:p>
              </w:tc>
              <w:tc>
                <w:tcPr>
                  <w:tcW w:type="dxa" w:w="55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参考颜色</w:t>
                  </w:r>
                  <w:r>
                    <w:rPr>
                      <w:rFonts w:ascii="仿宋_GB2312" w:hAnsi="仿宋_GB2312" w:cs="仿宋_GB2312" w:eastAsia="仿宋_GB2312"/>
                      <w:sz w:val="20"/>
                      <w:b/>
                      <w:color w:val="000000"/>
                    </w:rPr>
                    <w:t>/图案</w:t>
                  </w:r>
                </w:p>
              </w:tc>
              <w:tc>
                <w:tcPr>
                  <w:tcW w:type="dxa" w:w="80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材质技术参数</w:t>
                  </w:r>
                </w:p>
              </w:tc>
            </w:tr>
            <w:tr>
              <w:tc>
                <w:tcPr>
                  <w:tcW w:type="dxa" w:w="186"/>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1</w:t>
                  </w:r>
                </w:p>
              </w:tc>
              <w:tc>
                <w:tcPr>
                  <w:tcW w:type="dxa" w:w="30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医护工作服冬装</w:t>
                  </w:r>
                </w:p>
              </w:tc>
              <w:tc>
                <w:tcPr>
                  <w:tcW w:type="dxa" w:w="23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S-XXXL码，特殊体型可量体裁衣</w:t>
                  </w:r>
                </w:p>
              </w:tc>
              <w:tc>
                <w:tcPr>
                  <w:tcW w:type="dxa" w:w="21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110</w:t>
                  </w:r>
                </w:p>
              </w:tc>
              <w:tc>
                <w:tcPr>
                  <w:tcW w:type="dxa" w:w="5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drawing>
                      <wp:inline distT="0" distR="0" distB="0" distL="0">
                        <wp:extent cx="213995" cy="267091"/>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6"/>
                                <a:stretch>
                                  <a:fillRect/>
                                </a:stretch>
                              </pic:blipFill>
                              <pic:spPr>
                                <a:xfrm>
                                  <a:off x="0" y="0"/>
                                  <a:ext cx="213995" cy="267091"/>
                                </a:xfrm>
                                <a:prstGeom prst="rect">
                                  <a:avLst/>
                                </a:prstGeom>
                              </pic:spPr>
                            </pic:pic>
                          </a:graphicData>
                        </a:graphic>
                      </wp:inline>
                    </w:drawing>
                  </w:r>
                </w:p>
              </w:tc>
              <w:tc>
                <w:tcPr>
                  <w:tcW w:type="dxa" w:w="8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1、面料参数： 梭织双层织造；92%聚酯纤维（±5% ），7%精梳棉（±3% ），1%导电丝，克重227g/m²（±5），密度：165*105 纱支（经纱）短纤：13.8tex×2（±5% ）， 长丝：17.1tex（±5% ） 、（纬纱）17.9tex（±5% ）；</w:t>
                  </w:r>
                  <w:r>
                    <w:br/>
                  </w:r>
                  <w:r>
                    <w:rPr>
                      <w:rFonts w:ascii="仿宋_GB2312" w:hAnsi="仿宋_GB2312" w:cs="仿宋_GB2312" w:eastAsia="仿宋_GB2312"/>
                      <w:sz w:val="18"/>
                      <w:color w:val="000000"/>
                    </w:rPr>
                    <w:t>2、洗涤标识完整清晰；</w:t>
                  </w:r>
                  <w:r>
                    <w:br/>
                  </w:r>
                  <w:r>
                    <w:rPr>
                      <w:rFonts w:ascii="仿宋_GB2312" w:hAnsi="仿宋_GB2312" w:cs="仿宋_GB2312" w:eastAsia="仿宋_GB2312"/>
                      <w:sz w:val="18"/>
                      <w:color w:val="000000"/>
                    </w:rPr>
                    <w:t>3、色牢度要求：耐水、耐干摩擦、耐氯化水、耐酸汗渍、耐碱汗渍色牢度均≥3级；</w:t>
                  </w:r>
                  <w:r>
                    <w:br/>
                  </w:r>
                  <w:r>
                    <w:rPr>
                      <w:rFonts w:ascii="仿宋_GB2312" w:hAnsi="仿宋_GB2312" w:cs="仿宋_GB2312" w:eastAsia="仿宋_GB2312"/>
                      <w:sz w:val="18"/>
                      <w:color w:val="000000"/>
                    </w:rPr>
                    <w:t>4、防静电要求：静电压半衰期：≤2.0；</w:t>
                  </w:r>
                  <w:r>
                    <w:br/>
                  </w:r>
                  <w:r>
                    <w:rPr>
                      <w:rFonts w:ascii="仿宋_GB2312" w:hAnsi="仿宋_GB2312" w:cs="仿宋_GB2312" w:eastAsia="仿宋_GB2312"/>
                      <w:sz w:val="18"/>
                      <w:color w:val="000000"/>
                    </w:rPr>
                    <w:t>5、甲醛含量：不得检出；</w:t>
                  </w:r>
                  <w:r>
                    <w:br/>
                  </w:r>
                  <w:r>
                    <w:rPr>
                      <w:rFonts w:ascii="仿宋_GB2312" w:hAnsi="仿宋_GB2312" w:cs="仿宋_GB2312" w:eastAsia="仿宋_GB2312"/>
                      <w:sz w:val="18"/>
                      <w:color w:val="000000"/>
                    </w:rPr>
                    <w:t>6、pH值：4.0～8.5；</w:t>
                  </w:r>
                  <w:r>
                    <w:br/>
                  </w:r>
                  <w:r>
                    <w:rPr>
                      <w:rFonts w:ascii="仿宋_GB2312" w:hAnsi="仿宋_GB2312" w:cs="仿宋_GB2312" w:eastAsia="仿宋_GB2312"/>
                      <w:sz w:val="18"/>
                      <w:color w:val="000000"/>
                    </w:rPr>
                    <w:t>7、水洗尺寸变化率：直向横向≤1%；</w:t>
                  </w:r>
                  <w:r>
                    <w:br/>
                  </w:r>
                  <w:r>
                    <w:rPr>
                      <w:rFonts w:ascii="仿宋_GB2312" w:hAnsi="仿宋_GB2312" w:cs="仿宋_GB2312" w:eastAsia="仿宋_GB2312"/>
                      <w:sz w:val="18"/>
                      <w:color w:val="000000"/>
                    </w:rPr>
                    <w:t>8、须符合GB 18401-2010B《国家纺织产品基本安全技术规范》及相关行业标准。</w:t>
                  </w:r>
                </w:p>
              </w:tc>
            </w:tr>
            <w:tr>
              <w:tc>
                <w:tcPr>
                  <w:tcW w:type="dxa" w:w="186"/>
                  <w:vMerge/>
                  <w:tcBorders>
                    <w:top w:val="none" w:color="000000" w:sz="4"/>
                    <w:left w:val="single" w:color="000000" w:sz="4"/>
                    <w:bottom w:val="single" w:color="000000" w:sz="4"/>
                    <w:right w:val="single" w:color="000000" w:sz="4"/>
                  </w:tcBorders>
                </w:tcPr>
                <w:p/>
              </w:tc>
              <w:tc>
                <w:tcPr>
                  <w:tcW w:type="dxa" w:w="300"/>
                  <w:vMerge/>
                  <w:tcBorders>
                    <w:top w:val="none" w:color="000000" w:sz="4"/>
                    <w:left w:val="none" w:color="000000" w:sz="4"/>
                    <w:bottom w:val="single" w:color="000000" w:sz="4"/>
                    <w:right w:val="single" w:color="000000" w:sz="4"/>
                  </w:tcBorders>
                </w:tcPr>
                <w:p/>
              </w:tc>
              <w:tc>
                <w:tcPr>
                  <w:tcW w:type="dxa" w:w="238"/>
                  <w:vMerge/>
                  <w:tcBorders>
                    <w:top w:val="none" w:color="000000" w:sz="4"/>
                    <w:left w:val="none" w:color="000000" w:sz="4"/>
                    <w:bottom w:val="single" w:color="000000" w:sz="4"/>
                    <w:right w:val="single" w:color="000000" w:sz="4"/>
                  </w:tcBorders>
                </w:tcPr>
                <w:p/>
              </w:tc>
              <w:tc>
                <w:tcPr>
                  <w:tcW w:type="dxa" w:w="21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套</w:t>
                  </w:r>
                </w:p>
              </w:tc>
              <w:tc>
                <w:tcPr>
                  <w:tcW w:type="dxa" w:w="2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120</w:t>
                  </w:r>
                </w:p>
              </w:tc>
              <w:tc>
                <w:tcPr>
                  <w:tcW w:type="dxa" w:w="5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213995" cy="287066"/>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7"/>
                                <a:stretch>
                                  <a:fillRect/>
                                </a:stretch>
                              </pic:blipFill>
                              <pic:spPr>
                                <a:xfrm>
                                  <a:off x="0" y="0"/>
                                  <a:ext cx="213995" cy="287066"/>
                                </a:xfrm>
                                <a:prstGeom prst="rect">
                                  <a:avLst/>
                                </a:prstGeom>
                              </pic:spPr>
                            </pic:pic>
                          </a:graphicData>
                        </a:graphic>
                      </wp:inline>
                    </w:drawing>
                  </w:r>
                </w:p>
              </w:tc>
              <w:tc>
                <w:tcPr>
                  <w:tcW w:type="dxa" w:w="806"/>
                  <w:vMerge/>
                  <w:tcBorders>
                    <w:top w:val="none" w:color="000000" w:sz="4"/>
                    <w:left w:val="none" w:color="000000" w:sz="4"/>
                    <w:bottom w:val="single" w:color="000000" w:sz="4"/>
                    <w:right w:val="single" w:color="000000" w:sz="4"/>
                  </w:tcBorders>
                </w:tcPr>
                <w:p/>
              </w:tc>
            </w:tr>
            <w:tr>
              <w:tc>
                <w:tcPr>
                  <w:tcW w:type="dxa" w:w="186"/>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2</w:t>
                  </w:r>
                </w:p>
              </w:tc>
              <w:tc>
                <w:tcPr>
                  <w:tcW w:type="dxa" w:w="300"/>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医护工作服夏装</w:t>
                  </w:r>
                </w:p>
              </w:tc>
              <w:tc>
                <w:tcPr>
                  <w:tcW w:type="dxa" w:w="23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S-XXXL码，特殊体型可量体裁衣</w:t>
                  </w:r>
                </w:p>
              </w:tc>
              <w:tc>
                <w:tcPr>
                  <w:tcW w:type="dxa" w:w="21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件</w:t>
                  </w:r>
                </w:p>
              </w:tc>
              <w:tc>
                <w:tcPr>
                  <w:tcW w:type="dxa" w:w="2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90</w:t>
                  </w:r>
                </w:p>
              </w:tc>
              <w:tc>
                <w:tcPr>
                  <w:tcW w:type="dxa" w:w="5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213995" cy="322382"/>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8"/>
                                <a:stretch>
                                  <a:fillRect/>
                                </a:stretch>
                              </pic:blipFill>
                              <pic:spPr>
                                <a:xfrm>
                                  <a:off x="0" y="0"/>
                                  <a:ext cx="213995" cy="322382"/>
                                </a:xfrm>
                                <a:prstGeom prst="rect">
                                  <a:avLst/>
                                </a:prstGeom>
                              </pic:spPr>
                            </pic:pic>
                          </a:graphicData>
                        </a:graphic>
                      </wp:inline>
                    </w:drawing>
                  </w:r>
                </w:p>
              </w:tc>
              <w:tc>
                <w:tcPr>
                  <w:tcW w:type="dxa" w:w="8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color w:val="000000"/>
                    </w:rPr>
                    <w:t>1、面料参数：梭织； 99%聚酯纤维，1%导电丝，密度125*96，克重175（±5）g/m²；</w:t>
                  </w:r>
                  <w:r>
                    <w:br/>
                  </w:r>
                  <w:r>
                    <w:rPr>
                      <w:rFonts w:ascii="仿宋_GB2312" w:hAnsi="仿宋_GB2312" w:cs="仿宋_GB2312" w:eastAsia="仿宋_GB2312"/>
                      <w:sz w:val="18"/>
                      <w:color w:val="000000"/>
                    </w:rPr>
                    <w:t>2、洗涤标识完整清晰；</w:t>
                  </w:r>
                  <w:r>
                    <w:br/>
                  </w:r>
                  <w:r>
                    <w:rPr>
                      <w:rFonts w:ascii="仿宋_GB2312" w:hAnsi="仿宋_GB2312" w:cs="仿宋_GB2312" w:eastAsia="仿宋_GB2312"/>
                      <w:sz w:val="18"/>
                      <w:color w:val="000000"/>
                    </w:rPr>
                    <w:t>3、色牢度要求：耐水色牢度≥3级，耐干摩擦色牢度≥3级，耐氯化水≥3级，耐酸汗渍色牢度≥3级，耐碱汗渍色牢度≥3级；</w:t>
                  </w:r>
                  <w:r>
                    <w:br/>
                  </w:r>
                  <w:r>
                    <w:rPr>
                      <w:rFonts w:ascii="仿宋_GB2312" w:hAnsi="仿宋_GB2312" w:cs="仿宋_GB2312" w:eastAsia="仿宋_GB2312"/>
                      <w:sz w:val="18"/>
                      <w:color w:val="000000"/>
                    </w:rPr>
                    <w:t>4、水洗尺寸变化率：直向横向≤1%；</w:t>
                  </w:r>
                  <w:r>
                    <w:br/>
                  </w:r>
                  <w:r>
                    <w:rPr>
                      <w:rFonts w:ascii="仿宋_GB2312" w:hAnsi="仿宋_GB2312" w:cs="仿宋_GB2312" w:eastAsia="仿宋_GB2312"/>
                      <w:sz w:val="18"/>
                      <w:color w:val="000000"/>
                    </w:rPr>
                    <w:t>5、防静电要求：静电压半衰期：≤2；</w:t>
                  </w:r>
                  <w:r>
                    <w:br/>
                  </w:r>
                  <w:r>
                    <w:rPr>
                      <w:rFonts w:ascii="仿宋_GB2312" w:hAnsi="仿宋_GB2312" w:cs="仿宋_GB2312" w:eastAsia="仿宋_GB2312"/>
                      <w:sz w:val="18"/>
                      <w:color w:val="000000"/>
                    </w:rPr>
                    <w:t>6、甲醛含量：不得检出；</w:t>
                  </w:r>
                  <w:r>
                    <w:br/>
                  </w:r>
                  <w:r>
                    <w:rPr>
                      <w:rFonts w:ascii="仿宋_GB2312" w:hAnsi="仿宋_GB2312" w:cs="仿宋_GB2312" w:eastAsia="仿宋_GB2312"/>
                      <w:sz w:val="18"/>
                      <w:color w:val="000000"/>
                    </w:rPr>
                    <w:t>7、pH值：4.0-8.5；</w:t>
                  </w:r>
                  <w:r>
                    <w:br/>
                  </w:r>
                  <w:r>
                    <w:rPr>
                      <w:rFonts w:ascii="仿宋_GB2312" w:hAnsi="仿宋_GB2312" w:cs="仿宋_GB2312" w:eastAsia="仿宋_GB2312"/>
                      <w:sz w:val="18"/>
                      <w:color w:val="000000"/>
                    </w:rPr>
                    <w:t>8、须符合GB 18401-2010B《国家纺织产品基本安全技术规范》及相关行业标准。</w:t>
                  </w:r>
                </w:p>
              </w:tc>
            </w:tr>
            <w:tr>
              <w:tc>
                <w:tcPr>
                  <w:tcW w:type="dxa" w:w="186"/>
                  <w:vMerge/>
                  <w:tcBorders>
                    <w:top w:val="none" w:color="000000" w:sz="4"/>
                    <w:left w:val="single" w:color="000000" w:sz="4"/>
                    <w:bottom w:val="single" w:color="000000" w:sz="4"/>
                    <w:right w:val="single" w:color="000000" w:sz="4"/>
                  </w:tcBorders>
                </w:tcPr>
                <w:p/>
              </w:tc>
              <w:tc>
                <w:tcPr>
                  <w:tcW w:type="dxa" w:w="300"/>
                  <w:vMerge/>
                  <w:tcBorders>
                    <w:top w:val="none" w:color="000000" w:sz="4"/>
                    <w:left w:val="none" w:color="000000" w:sz="4"/>
                    <w:bottom w:val="single" w:color="000000" w:sz="4"/>
                    <w:right w:val="single" w:color="000000" w:sz="4"/>
                  </w:tcBorders>
                </w:tcPr>
                <w:p/>
              </w:tc>
              <w:tc>
                <w:tcPr>
                  <w:tcW w:type="dxa" w:w="238"/>
                  <w:vMerge/>
                  <w:tcBorders>
                    <w:top w:val="none" w:color="000000" w:sz="4"/>
                    <w:left w:val="none" w:color="000000" w:sz="4"/>
                    <w:bottom w:val="single" w:color="000000" w:sz="4"/>
                    <w:right w:val="single" w:color="000000" w:sz="4"/>
                  </w:tcBorders>
                </w:tcPr>
                <w:p/>
              </w:tc>
              <w:tc>
                <w:tcPr>
                  <w:tcW w:type="dxa" w:w="21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color w:val="000000"/>
                    </w:rPr>
                    <w:t>套</w:t>
                  </w:r>
                </w:p>
              </w:tc>
              <w:tc>
                <w:tcPr>
                  <w:tcW w:type="dxa" w:w="2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2"/>
                      <w:b/>
                      <w:color w:val="000000"/>
                    </w:rPr>
                    <w:t>105</w:t>
                  </w:r>
                </w:p>
              </w:tc>
              <w:tc>
                <w:tcPr>
                  <w:tcW w:type="dxa" w:w="5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drawing>
                      <wp:inline distT="0" distR="0" distB="0" distL="0">
                        <wp:extent cx="213995" cy="32145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29"/>
                                <a:stretch>
                                  <a:fillRect/>
                                </a:stretch>
                              </pic:blipFill>
                              <pic:spPr>
                                <a:xfrm>
                                  <a:off x="0" y="0"/>
                                  <a:ext cx="213995" cy="321459"/>
                                </a:xfrm>
                                <a:prstGeom prst="rect">
                                  <a:avLst/>
                                </a:prstGeom>
                              </pic:spPr>
                            </pic:pic>
                          </a:graphicData>
                        </a:graphic>
                      </wp:inline>
                    </w:drawing>
                  </w:r>
                </w:p>
              </w:tc>
              <w:tc>
                <w:tcPr>
                  <w:tcW w:type="dxa" w:w="806"/>
                  <w:vMerge/>
                  <w:tcBorders>
                    <w:top w:val="none" w:color="000000" w:sz="4"/>
                    <w:left w:val="none" w:color="000000" w:sz="4"/>
                    <w:bottom w:val="single" w:color="000000" w:sz="4"/>
                    <w:right w:val="single" w:color="000000" w:sz="4"/>
                  </w:tcBorders>
                </w:tcPr>
                <w:p/>
              </w:tc>
            </w:tr>
            <w:tr>
              <w:tc>
                <w:tcPr>
                  <w:tcW w:type="dxa" w:w="2545"/>
                  <w:gridSpan w:val="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备注：</w:t>
                  </w:r>
                  <w:r>
                    <w:br/>
                  </w:r>
                  <w:r>
                    <w:rPr>
                      <w:rFonts w:ascii="仿宋_GB2312" w:hAnsi="仿宋_GB2312" w:cs="仿宋_GB2312" w:eastAsia="仿宋_GB2312"/>
                      <w:sz w:val="21"/>
                      <w:color w:val="000000"/>
                    </w:rPr>
                    <w:t>1、产品颜色、款式、图片仅供参考；</w:t>
                  </w:r>
                  <w:r>
                    <w:br/>
                  </w:r>
                  <w:r>
                    <w:rPr>
                      <w:rFonts w:ascii="仿宋_GB2312" w:hAnsi="仿宋_GB2312" w:cs="仿宋_GB2312" w:eastAsia="仿宋_GB2312"/>
                      <w:sz w:val="21"/>
                      <w:color w:val="000000"/>
                    </w:rPr>
                    <w:t>2、供应商提供的样品的花色及款式不做强制要求，但最终成交产品花色及款式由医院选择决定；</w:t>
                  </w:r>
                  <w:r>
                    <w:br/>
                  </w:r>
                  <w:r>
                    <w:rPr>
                      <w:rFonts w:ascii="仿宋_GB2312" w:hAnsi="仿宋_GB2312" w:cs="仿宋_GB2312" w:eastAsia="仿宋_GB2312"/>
                      <w:sz w:val="21"/>
                      <w:color w:val="000000"/>
                    </w:rPr>
                    <w:t>3、所有产品可定制医院LOGO及编号。</w:t>
                  </w:r>
                  <w:r>
                    <w:br/>
                  </w:r>
                  <w:r>
                    <w:rPr>
                      <w:rFonts w:ascii="仿宋_GB2312" w:hAnsi="仿宋_GB2312" w:cs="仿宋_GB2312" w:eastAsia="仿宋_GB2312"/>
                      <w:sz w:val="21"/>
                      <w:color w:val="000000"/>
                    </w:rPr>
                    <w:t>4、样品序号：1、2；核心产品序号：1。</w:t>
                  </w:r>
                </w:p>
              </w:tc>
            </w:tr>
          </w:tbl>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按采购人需求分批次送货上门，供应商接到采购人送货要求后10日内送达。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按采购人需求分批次送货上门，供应商接到采购人送货要求后10日内送达。</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按采购人需求分批次送货上门，供应商接到采购人送货要求后10日内送达。</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采购人指定地点。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一次付清</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根据中标单价和实际采购数量据实结算。供应商将货物按采购人要求分批次送至采购人指定地点，交货无质量问题,验收合格后，供应商提供所供物资等额正式发票。采购人收到发票后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100.00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根据中标单价和实际采购数量据实结算。供应商将货物按采购人要求分批次送至采购人指定地点，交货无质量问题,验收合格后，供应商提供所供物资等额正式发票。采购人收到发票后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100.00</w:t>
      </w:r>
      <w:r>
        <w:rPr>
          <w:rFonts w:ascii="仿宋_GB2312" w:hAnsi="仿宋_GB2312" w:cs="仿宋_GB2312" w:eastAsia="仿宋_GB2312"/>
        </w:rPr>
        <w:t>%。</w:t>
      </w:r>
    </w:p>
    <w:p>
      <w:pPr>
        <w:pStyle w:val="null3"/>
      </w:pPr>
      <w:r>
        <w:rPr>
          <w:rFonts w:ascii="仿宋_GB2312" w:hAnsi="仿宋_GB2312" w:cs="仿宋_GB2312" w:eastAsia="仿宋_GB2312"/>
        </w:rPr>
        <w:t>采购包3：</w:t>
      </w:r>
      <w:r>
        <w:rPr>
          <w:rFonts w:ascii="仿宋_GB2312" w:hAnsi="仿宋_GB2312" w:cs="仿宋_GB2312" w:eastAsia="仿宋_GB2312"/>
        </w:rPr>
        <w:t xml:space="preserve"> 付款条件说明： </w:t>
      </w:r>
      <w:r>
        <w:rPr>
          <w:rFonts w:ascii="仿宋_GB2312" w:hAnsi="仿宋_GB2312" w:cs="仿宋_GB2312" w:eastAsia="仿宋_GB2312"/>
        </w:rPr>
        <w:t>根据中标单价和实际采购数量据实结算。供应商将货物按采购人要求分批次送至采购人指定地点，交货无质量问题,验收合格后，供应商提供所供物资等额正式发票。采购人收到发票后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100.00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由采购人总务部组织人员进行验收。 （1）根据采购文件要求、供应商投标文件承诺、合同约定的产品清单及国家有关标准、规范等进行现场验收； （2）交付技术文档资料须齐全； （3）无任何质量问题，即验收合格； （4）采购人和成交供应商共同进行验收，并签署验收单。</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要求完整无破损。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要求完整无破损。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要求完整无破损。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质保期：自验收合格之日起12个月。如发现产品存在任何非人为的质量问题（如产品破损等），供应商须无条件退换货。</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质保期：自验收合格之日起12个月。如发现产品存在任何非人为的质量问题（如产品破损等），供应商须无条件退换货。</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质保期：自验收合格之日起12个月。如发现产品存在任何非人为的质量问题（如产品破损等），供应商须无条件退换货。</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违约责任：（一）按《中华人民共和国政府采购法》、《中华人民共和国民法典》中的相关条款执行。（二）未按合同要求提供货物或质量不能满足招标技术要求，供应商必须无条件按采购人要求的时限进行更换，提高技术，完善质量，否则，采购人有权单方解除本合同，合同自采购人书面解除通知送达供应商之日起解除。（三）逾期交货的（订单超出10日送达），供应商向采购人按该批次订单总金额10%赔偿同等货物；三次逾期交货的，视为供应商根本违约，采购人有权依据本条第（二）款之约定单方解除本协议。同时需支付合同总金额15%的违约金，并赔偿采购人产生的全部损失。（四）供应商应确保所供货物不存在任何瑕疵，否则，因此产生的纠纷由供应商负责解决并承担全部赔偿责任，采购人因此被索赔时，有权就其支出的全部费用向供应商追偿。（五）供应商违约时，采购人为主张权利而支出的律师费、诉讼费、保全费、保全保险费、差旅费等费用由乙方承担。 二、合同争议解决的方式：本合同在履行过程中发生的争议，由双方当事人协商解决，协商不成的依法向采购人所属有管辖权的人民法院提起诉讼。</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一、违约责任：（一）按《中华人民共和国政府采购法》、《中华人民共和国民法典》中的相关条款执行。（二）未按合同要求提供货物或质量不能满足招标技术要求，供应商必须无条件按采购人要求的时限进行更换，提高技术，完善质量，否则，采购人有权单方解除本合同，合同自采购人书面解除通知送达供应商之日起解除。（三）逾期交货的（订单超出10日送达），供应商向采购人按该批次订单总金额10%赔偿同等货物；三次逾期交货的，视为供应商根本违约，采购人有权依据本条第（二）款之约定单方解除本协议。同时需支付合同总金额15%的违约金，并赔偿采购人产生的全部损失。（四）供应商应确保所供货物不存在任何瑕疵，否则，因此产生的纠纷由供应商负责解决并承担全部赔偿责任，采购人因此被索赔时，有权就其支出的全部费用向供应商追偿。（五）供应商违约时，采购人为主张权利而支出的律师费、诉讼费、保全费、保全保险费、差旅费等费用由乙方承担。 二、合同争议解决的方式：本合同在履行过程中发生的争议，由双方当事人协商解决，协商不成的依法向采购人所属有管辖权的人民法院提起诉讼。</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一、违约责任：（一）按《中华人民共和国政府采购法》、《中华人民共和国民法典》中的相关条款执行。（二）未按合同要求提供货物或质量不能满足招标技术要求，供应商必须无条件按采购人要求的时限进行更换，提高技术，完善质量，否则，采购人有权单方解除本合同，合同自采购人书面解除通知送达供应商之日起解除。（三）逾期交货的（订单超出10日送达），供应商向采购人按该批次订单总金额10%赔偿同等货物；三次逾期交货的，视为供应商根本违约，采购人有权依据本条第（二）款之约定单方解除本协议。同时需支付合同总金额15%的违约金，并赔偿采购人产生的全部损失。（四）供应商应确保所供货物不存在任何瑕疵，否则，因此产生的纠纷由供应商负责解决并承担全部赔偿责任，采购人因此被索赔时，有权就其支出的全部费用向供应商追偿。（五）供应商违约时，采购人为主张权利而支出的律师费、诉讼费、保全费、保全保险费、差旅费等费用由乙方承担。 二、合同争议解决的方式：本合同在履行过程中发生的争议，由双方当事人协商解决，协商不成的依法向采购人所属有管辖权的人民法院提起诉讼。</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一、合同履行期限 从签订合同之日起至合同金额执行完结束。 二、交货要求： 采购人分为曲江院区和后宰门院区，按需求送货上门，供应商接到采购人送货要求后10日内送达。 三、支付说明 本项目招标文件第三章 招标项目技术、服务、商务及其它要求 商务要求中3.4.3支付方式和3.4.4支付约定为系统固定格式描述，具体付款方式以下列内容为准：根据中标单价和实际采购数量据实结算。供应商将货物按采购人要求分批次送至采购人指定地点，交货无质量问题,验收合格后，供应商提供所供物资等额正式发票。采购人收到发票后30日内向成交供应商银行转账支付相应金额的货款费用，如遇节假日或采购人财务政策变化，顺延至后续工作日。每个标段的最终结算金额不超过本标段的预算金额。 四、样品要求 （一）数量要求：各供应商需根据本次采购需求，提供所投产品要求的样品各一件，同时须提供与样品一致的制造商营业执照和生产许可证和质检报告的复印件并加盖公章。 （二）密封要求：各供应商提供样品须与投标文件响应产品一致，样品需密封并标明项目名称、供应商名称、样品递交清单等内容。 （三）招标活动结束后，退还未中标供应商提供的样品，中标供应商样品不予退还，采购人封存保管，作为交货时的验收依据。 （四）递交要求：1、递交人员须携带投标单位样品递交授权委托书，否则样品不予接收。 2、递交时间：和投标文件提交截止时间一致。 3、递交地址：西安市莲湖区二环南路西段202号九座花园16层1605室。 五、其他要求 （一）供应商提供的所有产品在使用中如发现不符合采购人要求，采购人有权全部退回，成交供应商需按照采购人要求重新提供，并赔偿采购人相应的损失。 （二）供应商所报单品价格不得高于各类纺织物技术参数及最高限价（附件1～附件3）中的单品限价，否则视为无效响应。单价价格包含产品本身价格、送货费、税费等所有费用。 （三）各类纺织物技术参数及最高限价（附件1～附件3）中产品颜色、款式、图片仅供参考，供应商提供的样品的花色及款式不作强制要求，但最终成交产品花色及款式由采购人选择决定。所有产品可定制医院LOGO和编号，被褥类产品均可水洗。 （四）各类纺织物技术参数及最高限价（附件1～附件3）中未能包含的采购人所需的货物，根据成交供应商提供的报价（不高于同样产品市场价）经采购人进行议价后确定供货。 （五）本项目共分为3个采购标段，每个采购标段确定1家中标人，投标人可同时参与多个采购包，但最终只能中1个采购包。评审时按照采购包号顺序进行评审，若投标人在评审时已在采购包1被推荐为排序第一的中标候选人，则该投标人在后续采购包中不再参与中标候选人的推荐。 六、线下纸质文件递交 为顺利推进政府采购电子化交易平台应用工作，投标人需要在线提交所有通过电子化交易平台实施的政府采购项目的投标文件，同时，线下提交投标文件正本壹份、电子版壹份（U盘一份标明投标人名称，随正本密封）。若电子投标文件与纸质投标文件不一致的，以电子投标文件为准；线下递交文件时间：详见本项目招标公告招标文件递交截止时间；线下递交投标文件地点：西安市莲湖区二环南路西段202号九座花园16层1605室。</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提供以下资料进行电子签章。1、具有独立承担民事责任能力的法人、其他组织或自然人：法人参与的提供合法有效的营业执照；其他组织参与的提供合法证明文件；自然人参与的提供其身份证明。 2、财务状况证明：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 3、提供具有履行合同所必需的设备和专业技术能力的承诺。 4、税收缴纳证明：提供递交投标文件截止之日前一年内任意一个月的依法缴纳税收的完税证明，完税证明应有税务机关或代收机关的公章或业务专用章。依法免税或无须缴纳税收的供应商，应提供相应证明文件。 5、社会保障资金缴纳证明：提供投标截止日前一年内已缴存的至少一个月的社会保障资金缴存单据或社保机构开具的社会保险参保缴费情况证明，依法不需要缴纳社会保障资金的单位应提供相关证明材料。 6、投标人参加政府采购活动前3年内在经营活动中没有重大违法记录的书面声明。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w:t>
            </w:r>
          </w:p>
        </w:tc>
        <w:tc>
          <w:tcPr>
            <w:tcW w:type="dxa" w:w="1661"/>
          </w:tcPr>
          <w:p>
            <w:pPr>
              <w:pStyle w:val="null3"/>
            </w:pPr>
            <w:r>
              <w:rPr>
                <w:rFonts w:ascii="仿宋_GB2312" w:hAnsi="仿宋_GB2312" w:cs="仿宋_GB2312" w:eastAsia="仿宋_GB2312"/>
              </w:rPr>
              <w:t>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供应商承诺书.docx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供应商需在项目电子化交易系统中按要求填写《投标函》完成承诺并提供以下资料进行电子签章。 1、具有独立承担民事责任能力的法人、其他组织或自然人：法人参与的提供合法有效的营业执照；其他组织参与的提供合法证明文件；自然人参与的提供其身份证明。 2、财务状况证明：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 3、提供具有履行合同所必需的设备和专业技术能力的承诺。 4、税收缴纳证明：提供递交投标文件截止之日前一年内任意一个月的依法缴纳税收的完税证明，完税证明应有税务机关或代收机关的公章或业务专用章。依法免税或无须缴纳税收的供应商，应提供相应证明文件。 5、社会保障资金缴纳证明：提供投标截止日前一年内已缴存的至少一个月的社会保障资金缴存单据或社保机构开具的社会保险参保缴费情况证明，依法不需要缴纳社会保障资金的单位应提供相关证明材料。 6、投标人参加政府采购活动前3年内在经营活动中没有重大违法记录的书面声明。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w:t>
            </w:r>
          </w:p>
        </w:tc>
        <w:tc>
          <w:tcPr>
            <w:tcW w:type="dxa" w:w="1661"/>
          </w:tcPr>
          <w:p>
            <w:pPr>
              <w:pStyle w:val="null3"/>
            </w:pPr>
            <w:r>
              <w:rPr>
                <w:rFonts w:ascii="仿宋_GB2312" w:hAnsi="仿宋_GB2312" w:cs="仿宋_GB2312" w:eastAsia="仿宋_GB2312"/>
              </w:rPr>
              <w:t>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供应商承诺书.docx</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供应商需在项目电子化交易系统中按要求填写《投标函》完成承诺并提供以下资料进行电子签章。 1、具有独立承担民事责任能力的法人、其他组织或自然人：法人参与的提供合法有效的营业执照；其他组织参与的提供合法证明文件；自然人参与的提供其身份证明。 2、财务状况证明：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 3、提供具有履行合同所必需的设备和专业技术能力的承诺。 4、税收缴纳证明：提供递交投标文件截止之日前一年内任意一个月的依法缴纳税收的完税证明，完税证明应有税务机关或代收机关的公章或业务专用章。依法免税或无须缴纳税收的供应商，应提供相应证明文件。 5、社会保障资金缴纳证明：提供投标截止日前一年内已缴存的至少一个月的社会保障资金缴存单据或社保机构开具的社会保险参保缴费情况证明，依法不需要缴纳社会保障资金的单位应提供相关证明材料。 6、投标人参加政府采购活动前3年内在经营活动中没有重大违法记录的书面声明。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提供【2024年度或2025年度经审计的已赋码且完整的财务报告（依据财政部、国务院国资委、金融监管总局印发《关于加强审计报告查验工作的通知》(财会(2023〕15号)报告须在注册会计师行业统一监管平台备案并由该平台赋予二维码），包括“四表一注”即《资产负债表》《利润表》《现金流量表》《所有者权益变动表》（无所有者权益变动表，提供说明）及其附注、会计师事务所营业执照和2个注册会计师证书（成立时间至提交投标文件截止时间不足一年的可提供成立后任意时段的资产负债表）】或【财政部门认可的政府采购专业担保机构出具的担保函】或【在投标截止日期前三个月内其基本开户银行出具的资信证明（附开户许可证或开户备案证明或基本存款账户信息）】,以上形式的证明资料提供任何一种即可。</w:t>
            </w:r>
          </w:p>
        </w:tc>
        <w:tc>
          <w:tcPr>
            <w:tcW w:type="dxa" w:w="1661"/>
          </w:tcPr>
          <w:p>
            <w:pPr>
              <w:pStyle w:val="null3"/>
            </w:pPr>
            <w:r>
              <w:rPr>
                <w:rFonts w:ascii="仿宋_GB2312" w:hAnsi="仿宋_GB2312" w:cs="仿宋_GB2312" w:eastAsia="仿宋_GB2312"/>
              </w:rPr>
              <w:t>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供应商承诺书.docx</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法定代表人授权书/法定代表人身份证明</w:t>
            </w:r>
          </w:p>
        </w:tc>
        <w:tc>
          <w:tcPr>
            <w:tcW w:type="dxa" w:w="3322"/>
          </w:tcPr>
          <w:p>
            <w:pPr>
              <w:pStyle w:val="null3"/>
            </w:pPr>
            <w:r>
              <w:rPr>
                <w:rFonts w:ascii="仿宋_GB2312" w:hAnsi="仿宋_GB2312" w:cs="仿宋_GB2312" w:eastAsia="仿宋_GB2312"/>
              </w:rPr>
              <w:t>法定代表人授权书（附法定代表人、被授权人身份证复印件及及被授权人投标截止日前一年内在本单位已缴存的至少一个月的社会保障资金凭证）；法定代表人直接参加投标，须提供法定代表人身份证明。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投标保证金缴纳凭证或担保机构出具的保函。</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非联合体</w:t>
            </w:r>
          </w:p>
        </w:tc>
        <w:tc>
          <w:tcPr>
            <w:tcW w:type="dxa" w:w="3322"/>
          </w:tcPr>
          <w:p>
            <w:pPr>
              <w:pStyle w:val="null3"/>
            </w:pPr>
            <w:r>
              <w:rPr>
                <w:rFonts w:ascii="仿宋_GB2312" w:hAnsi="仿宋_GB2312" w:cs="仿宋_GB2312" w:eastAsia="仿宋_GB2312"/>
              </w:rPr>
              <w:t>本项目不接受联合体投标。</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法定代表人授权书/法定代表人身份证明</w:t>
            </w:r>
          </w:p>
        </w:tc>
        <w:tc>
          <w:tcPr>
            <w:tcW w:type="dxa" w:w="3322"/>
          </w:tcPr>
          <w:p>
            <w:pPr>
              <w:pStyle w:val="null3"/>
            </w:pPr>
            <w:r>
              <w:rPr>
                <w:rFonts w:ascii="仿宋_GB2312" w:hAnsi="仿宋_GB2312" w:cs="仿宋_GB2312" w:eastAsia="仿宋_GB2312"/>
              </w:rPr>
              <w:t>法定代表人授权书（附法定代表人、被授权人身份证复印件及及被授权人投标截止日前一年内在本单位已缴存的至少一个月的社会保障资金凭证）；法定代表人直接参加投标，须提供法定代表人身份证明。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投标保证金缴纳凭证或担保机构出具的保函。</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非联合体</w:t>
            </w:r>
          </w:p>
        </w:tc>
        <w:tc>
          <w:tcPr>
            <w:tcW w:type="dxa" w:w="3322"/>
          </w:tcPr>
          <w:p>
            <w:pPr>
              <w:pStyle w:val="null3"/>
            </w:pPr>
            <w:r>
              <w:rPr>
                <w:rFonts w:ascii="仿宋_GB2312" w:hAnsi="仿宋_GB2312" w:cs="仿宋_GB2312" w:eastAsia="仿宋_GB2312"/>
              </w:rPr>
              <w:t>本项目不接受联合体投标。</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法定代表人授权书/法定代表人身份证明</w:t>
            </w:r>
          </w:p>
        </w:tc>
        <w:tc>
          <w:tcPr>
            <w:tcW w:type="dxa" w:w="3322"/>
          </w:tcPr>
          <w:p>
            <w:pPr>
              <w:pStyle w:val="null3"/>
            </w:pPr>
            <w:r>
              <w:rPr>
                <w:rFonts w:ascii="仿宋_GB2312" w:hAnsi="仿宋_GB2312" w:cs="仿宋_GB2312" w:eastAsia="仿宋_GB2312"/>
              </w:rPr>
              <w:t>法定代表人授权书（附法定代表人、被授权人身份证复印件及及被授权人投标截止日前一年内在本单位已缴存的至少一个月的社会保障资金凭证）；法定代表人直接参加投标，须提供法定代表人身份证明。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投标人应在投标截止日前未被列入失信被执行人、重大税收违法失信主体、政府采购严重违法失信行为记录名单（处罚期限届满的除外）。（以开标现场“信用中国”网站（www.creditchina.gov.cn）或中国政府采购网（www.ccgp.gov.cn）查询结果为准）</w:t>
            </w:r>
          </w:p>
        </w:tc>
        <w:tc>
          <w:tcPr>
            <w:tcW w:type="dxa" w:w="1661"/>
          </w:tcPr>
          <w:p>
            <w:pPr>
              <w:pStyle w:val="null3"/>
            </w:pPr>
            <w:r>
              <w:rPr>
                <w:rFonts w:ascii="仿宋_GB2312" w:hAnsi="仿宋_GB2312" w:cs="仿宋_GB2312" w:eastAsia="仿宋_GB2312"/>
              </w:rPr>
              <w:t>投标函 其它资料.docx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投标保证金缴纳凭证或担保机构出具的保函。</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非联合体</w:t>
            </w:r>
          </w:p>
        </w:tc>
        <w:tc>
          <w:tcPr>
            <w:tcW w:type="dxa" w:w="3322"/>
          </w:tcPr>
          <w:p>
            <w:pPr>
              <w:pStyle w:val="null3"/>
            </w:pPr>
            <w:r>
              <w:rPr>
                <w:rFonts w:ascii="仿宋_GB2312" w:hAnsi="仿宋_GB2312" w:cs="仿宋_GB2312" w:eastAsia="仿宋_GB2312"/>
              </w:rPr>
              <w:t>本项目不接受联合体投标。</w:t>
            </w:r>
          </w:p>
        </w:tc>
        <w:tc>
          <w:tcPr>
            <w:tcW w:type="dxa" w:w="1661"/>
          </w:tcPr>
          <w:p>
            <w:pPr>
              <w:pStyle w:val="null3"/>
            </w:pPr>
            <w:r>
              <w:rPr>
                <w:rFonts w:ascii="仿宋_GB2312" w:hAnsi="仿宋_GB2312" w:cs="仿宋_GB2312" w:eastAsia="仿宋_GB2312"/>
              </w:rPr>
              <w:t>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强化政府采购异常低价审查： （一）采购人应当在采购文件中明确，政府采购评审中出现下列情形之一的，评审委员会应当启动异常低价投标（响应）审查程序：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（2）投标（响应）报价低于通过符合性审查的次低报价供应商投标（响应）报价50%的，即投标（响应）报价&lt;通过符合性审查的次低报价供应商投标（响应）报价×50%； （3）投标（响应）报价低于采购项目最高限价45%的，即投标（响应）报价&lt;采购项目最高限价×45%； （4）评审委员会基于专业判断，认为供应商报价过低，有可能影响产品质量或者不能诚信履约的其他情形。 采购人可以结合具体项目实际情况，提高上述第1项至第3项中启动异常低价投标（响应）审查的数值标准，但是最高不得超过65%。相关法律法规对供应商报价有规定的，从其规定。 （二）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60分钟。其中，属于第3项情形，供应商已随投标（响应）文件一并提交相关书面说明及必要的证明材料的，在评审现场可不再重复提交。</w:t>
            </w:r>
          </w:p>
        </w:tc>
        <w:tc>
          <w:tcPr>
            <w:tcW w:type="dxa" w:w="1661"/>
          </w:tcPr>
          <w:p>
            <w:pPr>
              <w:pStyle w:val="null3"/>
            </w:pPr>
            <w:r>
              <w:rPr>
                <w:rFonts w:ascii="仿宋_GB2312" w:hAnsi="仿宋_GB2312" w:cs="仿宋_GB2312" w:eastAsia="仿宋_GB2312"/>
              </w:rPr>
              <w:t>开标一览表 分项报价表（1包）.docx 开标一览表（总）.docx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投标人名称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签字盖章</w:t>
            </w:r>
          </w:p>
        </w:tc>
        <w:tc>
          <w:tcPr>
            <w:tcW w:type="dxa" w:w="3322"/>
          </w:tcPr>
          <w:p>
            <w:pPr>
              <w:pStyle w:val="null3"/>
            </w:pPr>
            <w:r>
              <w:rPr>
                <w:rFonts w:ascii="仿宋_GB2312" w:hAnsi="仿宋_GB2312" w:cs="仿宋_GB2312" w:eastAsia="仿宋_GB2312"/>
              </w:rPr>
              <w:t>按照招标文件规定要求签署、盖章</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投标文件格式</w:t>
            </w:r>
          </w:p>
        </w:tc>
        <w:tc>
          <w:tcPr>
            <w:tcW w:type="dxa" w:w="3322"/>
          </w:tcPr>
          <w:p>
            <w:pPr>
              <w:pStyle w:val="null3"/>
            </w:pPr>
            <w:r>
              <w:rPr>
                <w:rFonts w:ascii="仿宋_GB2312" w:hAnsi="仿宋_GB2312" w:cs="仿宋_GB2312" w:eastAsia="仿宋_GB2312"/>
              </w:rPr>
              <w:t>符合“投标文件格式”的规定</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对招标文件响应程度</w:t>
            </w:r>
          </w:p>
        </w:tc>
        <w:tc>
          <w:tcPr>
            <w:tcW w:type="dxa" w:w="3322"/>
          </w:tcPr>
          <w:p>
            <w:pPr>
              <w:pStyle w:val="null3"/>
            </w:pPr>
            <w:r>
              <w:rPr>
                <w:rFonts w:ascii="仿宋_GB2312" w:hAnsi="仿宋_GB2312" w:cs="仿宋_GB2312" w:eastAsia="仿宋_GB2312"/>
              </w:rPr>
              <w:t>要求实质性要求全面响应，不能有任何采购人不能接受的附加条件</w:t>
            </w:r>
          </w:p>
        </w:tc>
        <w:tc>
          <w:tcPr>
            <w:tcW w:type="dxa" w:w="1661"/>
          </w:tcPr>
          <w:p>
            <w:pPr>
              <w:pStyle w:val="null3"/>
            </w:pPr>
            <w:r>
              <w:rPr>
                <w:rFonts w:ascii="仿宋_GB2312" w:hAnsi="仿宋_GB2312" w:cs="仿宋_GB2312" w:eastAsia="仿宋_GB2312"/>
              </w:rPr>
              <w:t>投标方案说明书.docx 分项报价表（1包）.docx 商务条款偏离表.docx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备选投标方案</w:t>
            </w:r>
          </w:p>
        </w:tc>
        <w:tc>
          <w:tcPr>
            <w:tcW w:type="dxa" w:w="3322"/>
          </w:tcPr>
          <w:p>
            <w:pPr>
              <w:pStyle w:val="null3"/>
            </w:pPr>
            <w:r>
              <w:rPr>
                <w:rFonts w:ascii="仿宋_GB2312" w:hAnsi="仿宋_GB2312" w:cs="仿宋_GB2312" w:eastAsia="仿宋_GB2312"/>
              </w:rPr>
              <w:t>除招标文件明确允许提交备选投标方案外，投标人不得提交备选投标方案</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符合第二章“投标人须知”第2.4.7项规定</w:t>
            </w:r>
          </w:p>
        </w:tc>
        <w:tc>
          <w:tcPr>
            <w:tcW w:type="dxa" w:w="1661"/>
          </w:tcPr>
          <w:p>
            <w:pPr>
              <w:pStyle w:val="null3"/>
            </w:pPr>
            <w:r>
              <w:rPr>
                <w:rFonts w:ascii="仿宋_GB2312" w:hAnsi="仿宋_GB2312" w:cs="仿宋_GB2312" w:eastAsia="仿宋_GB2312"/>
              </w:rPr>
              <w:t>开标一览表 分项报价表（1包）.docx 开标一览表（总）.docx 标的清单</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交货时间、质保期</w:t>
            </w:r>
          </w:p>
        </w:tc>
        <w:tc>
          <w:tcPr>
            <w:tcW w:type="dxa" w:w="3322"/>
          </w:tcPr>
          <w:p>
            <w:pPr>
              <w:pStyle w:val="null3"/>
            </w:pPr>
            <w:r>
              <w:rPr>
                <w:rFonts w:ascii="仿宋_GB2312" w:hAnsi="仿宋_GB2312" w:cs="仿宋_GB2312" w:eastAsia="仿宋_GB2312"/>
              </w:rPr>
              <w:t>应满足招标文件中要求的交货时间、质保期</w:t>
            </w:r>
          </w:p>
        </w:tc>
        <w:tc>
          <w:tcPr>
            <w:tcW w:type="dxa" w:w="1661"/>
          </w:tcPr>
          <w:p>
            <w:pPr>
              <w:pStyle w:val="null3"/>
            </w:pPr>
            <w:r>
              <w:rPr>
                <w:rFonts w:ascii="仿宋_GB2312" w:hAnsi="仿宋_GB2312" w:cs="仿宋_GB2312" w:eastAsia="仿宋_GB2312"/>
              </w:rPr>
              <w:t>开标一览表（总）.docx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符合第二章“投标人须知”第2.1投标人须知前附表第12条</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承诺书</w:t>
            </w:r>
          </w:p>
        </w:tc>
        <w:tc>
          <w:tcPr>
            <w:tcW w:type="dxa" w:w="3322"/>
          </w:tcPr>
          <w:p>
            <w:pPr>
              <w:pStyle w:val="null3"/>
            </w:pPr>
            <w:r>
              <w:rPr>
                <w:rFonts w:ascii="仿宋_GB2312" w:hAnsi="仿宋_GB2312" w:cs="仿宋_GB2312" w:eastAsia="仿宋_GB2312"/>
              </w:rPr>
              <w:t>应满足招标文件中的要求（详见：供应商承诺书）</w:t>
            </w:r>
          </w:p>
        </w:tc>
        <w:tc>
          <w:tcPr>
            <w:tcW w:type="dxa" w:w="1661"/>
          </w:tcPr>
          <w:p>
            <w:pPr>
              <w:pStyle w:val="null3"/>
            </w:pPr>
            <w:r>
              <w:rPr>
                <w:rFonts w:ascii="仿宋_GB2312" w:hAnsi="仿宋_GB2312" w:cs="仿宋_GB2312" w:eastAsia="仿宋_GB2312"/>
              </w:rPr>
              <w:t>供应商承诺书.docx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不同供应商的投标文件是否由同一单位或者个人编制</w:t>
            </w:r>
          </w:p>
        </w:tc>
        <w:tc>
          <w:tcPr>
            <w:tcW w:type="dxa" w:w="3322"/>
          </w:tcPr>
          <w:p>
            <w:pPr>
              <w:pStyle w:val="null3"/>
            </w:pPr>
            <w:r>
              <w:rPr>
                <w:rFonts w:ascii="仿宋_GB2312" w:hAnsi="仿宋_GB2312" w:cs="仿宋_GB2312" w:eastAsia="仿宋_GB2312"/>
              </w:rPr>
              <w:t>不同供应商的投标文件不得由同一单位或者个人编制</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不同供应商是否委托同一单位或者个人办理投标事宜</w:t>
            </w:r>
          </w:p>
        </w:tc>
        <w:tc>
          <w:tcPr>
            <w:tcW w:type="dxa" w:w="3322"/>
          </w:tcPr>
          <w:p>
            <w:pPr>
              <w:pStyle w:val="null3"/>
            </w:pPr>
            <w:r>
              <w:rPr>
                <w:rFonts w:ascii="仿宋_GB2312" w:hAnsi="仿宋_GB2312" w:cs="仿宋_GB2312" w:eastAsia="仿宋_GB2312"/>
              </w:rPr>
              <w:t>不同供应商不得委托同一单位或者个人办理投标事宜</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不同供应商的投标文件载明的项目管理成员或者联系人员是否为同一人</w:t>
            </w:r>
          </w:p>
        </w:tc>
        <w:tc>
          <w:tcPr>
            <w:tcW w:type="dxa" w:w="3322"/>
          </w:tcPr>
          <w:p>
            <w:pPr>
              <w:pStyle w:val="null3"/>
            </w:pPr>
            <w:r>
              <w:rPr>
                <w:rFonts w:ascii="仿宋_GB2312" w:hAnsi="仿宋_GB2312" w:cs="仿宋_GB2312" w:eastAsia="仿宋_GB2312"/>
              </w:rPr>
              <w:t>不同供应商的投标文件载明的项目管理成员或者联系人员不得为同一人</w:t>
            </w:r>
          </w:p>
        </w:tc>
        <w:tc>
          <w:tcPr>
            <w:tcW w:type="dxa" w:w="1661"/>
          </w:tcPr>
          <w:p>
            <w:pPr>
              <w:pStyle w:val="null3"/>
            </w:pPr>
            <w:r>
              <w:rPr>
                <w:rFonts w:ascii="仿宋_GB2312" w:hAnsi="仿宋_GB2312" w:cs="仿宋_GB2312" w:eastAsia="仿宋_GB2312"/>
              </w:rPr>
              <w:t>投标方案说明书.docx 资格证明文件.docx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不同供应商的投标文件是否异常一致或者投标报价呈规律性差异</w:t>
            </w:r>
          </w:p>
        </w:tc>
        <w:tc>
          <w:tcPr>
            <w:tcW w:type="dxa" w:w="3322"/>
          </w:tcPr>
          <w:p>
            <w:pPr>
              <w:pStyle w:val="null3"/>
            </w:pPr>
            <w:r>
              <w:rPr>
                <w:rFonts w:ascii="仿宋_GB2312" w:hAnsi="仿宋_GB2312" w:cs="仿宋_GB2312" w:eastAsia="仿宋_GB2312"/>
              </w:rPr>
              <w:t>不同供应商的投标文件不得异常一致或者投标报价呈规律性差异</w:t>
            </w:r>
          </w:p>
        </w:tc>
        <w:tc>
          <w:tcPr>
            <w:tcW w:type="dxa" w:w="1661"/>
          </w:tcPr>
          <w:p>
            <w:pPr>
              <w:pStyle w:val="null3"/>
            </w:pPr>
            <w:r>
              <w:rPr>
                <w:rFonts w:ascii="仿宋_GB2312" w:hAnsi="仿宋_GB2312" w:cs="仿宋_GB2312" w:eastAsia="仿宋_GB2312"/>
              </w:rPr>
              <w:t>投标方案说明书.docx 分项报价表（1包）.docx 开标一览表（总）.docx</w:t>
            </w:r>
          </w:p>
        </w:tc>
      </w:tr>
      <w:tr>
        <w:tc>
          <w:tcPr>
            <w:tcW w:type="dxa" w:w="831"/>
          </w:tcPr>
          <w:p>
            <w:pPr>
              <w:pStyle w:val="null3"/>
            </w:pPr>
            <w:r>
              <w:rPr>
                <w:rFonts w:ascii="仿宋_GB2312" w:hAnsi="仿宋_GB2312" w:cs="仿宋_GB2312" w:eastAsia="仿宋_GB2312"/>
              </w:rPr>
              <w:t>15</w:t>
            </w:r>
          </w:p>
        </w:tc>
        <w:tc>
          <w:tcPr>
            <w:tcW w:type="dxa" w:w="2492"/>
          </w:tcPr>
          <w:p>
            <w:pPr>
              <w:pStyle w:val="null3"/>
            </w:pPr>
            <w:r>
              <w:rPr>
                <w:rFonts w:ascii="仿宋_GB2312" w:hAnsi="仿宋_GB2312" w:cs="仿宋_GB2312" w:eastAsia="仿宋_GB2312"/>
              </w:rPr>
              <w:t>不同供应商的投标文件是否相互混装</w:t>
            </w:r>
          </w:p>
        </w:tc>
        <w:tc>
          <w:tcPr>
            <w:tcW w:type="dxa" w:w="3322"/>
          </w:tcPr>
          <w:p>
            <w:pPr>
              <w:pStyle w:val="null3"/>
            </w:pPr>
            <w:r>
              <w:rPr>
                <w:rFonts w:ascii="仿宋_GB2312" w:hAnsi="仿宋_GB2312" w:cs="仿宋_GB2312" w:eastAsia="仿宋_GB2312"/>
              </w:rPr>
              <w:t>不同供应商的投标文件不得相互混装</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16</w:t>
            </w:r>
          </w:p>
        </w:tc>
        <w:tc>
          <w:tcPr>
            <w:tcW w:type="dxa" w:w="2492"/>
          </w:tcPr>
          <w:p>
            <w:pPr>
              <w:pStyle w:val="null3"/>
            </w:pPr>
            <w:r>
              <w:rPr>
                <w:rFonts w:ascii="仿宋_GB2312" w:hAnsi="仿宋_GB2312" w:cs="仿宋_GB2312" w:eastAsia="仿宋_GB2312"/>
              </w:rPr>
              <w:t>不同供应商的投标保证金是否从同一单位或者个人的账户转出</w:t>
            </w:r>
          </w:p>
        </w:tc>
        <w:tc>
          <w:tcPr>
            <w:tcW w:type="dxa" w:w="3322"/>
          </w:tcPr>
          <w:p>
            <w:pPr>
              <w:pStyle w:val="null3"/>
            </w:pPr>
            <w:r>
              <w:rPr>
                <w:rFonts w:ascii="仿宋_GB2312" w:hAnsi="仿宋_GB2312" w:cs="仿宋_GB2312" w:eastAsia="仿宋_GB2312"/>
              </w:rPr>
              <w:t>不同供应商的投标保证金不得从同一单位或者个人的账户转出</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17</w:t>
            </w:r>
          </w:p>
        </w:tc>
        <w:tc>
          <w:tcPr>
            <w:tcW w:type="dxa" w:w="2492"/>
          </w:tcPr>
          <w:p>
            <w:pPr>
              <w:pStyle w:val="null3"/>
            </w:pPr>
            <w:r>
              <w:rPr>
                <w:rFonts w:ascii="仿宋_GB2312" w:hAnsi="仿宋_GB2312" w:cs="仿宋_GB2312" w:eastAsia="仿宋_GB2312"/>
              </w:rPr>
              <w:t>其他情形</w:t>
            </w:r>
          </w:p>
        </w:tc>
        <w:tc>
          <w:tcPr>
            <w:tcW w:type="dxa" w:w="3322"/>
          </w:tcPr>
          <w:p>
            <w:pPr>
              <w:pStyle w:val="null3"/>
            </w:pPr>
            <w:r>
              <w:rPr>
                <w:rFonts w:ascii="仿宋_GB2312" w:hAnsi="仿宋_GB2312" w:cs="仿宋_GB2312" w:eastAsia="仿宋_GB2312"/>
              </w:rPr>
              <w:t>无法律、规章、规范性文件和招标文件规定的其他无效情形</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投标函 分项报价表（1包）.docx 残疾人福利性单位声明函 标的清单 投标文件封面 商务条款偏离表.docx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强化政府采购异常低价审查： （一）采购人应当在采购文件中明确，政府采购评审中出现下列情形之一的，评审委员会应当启动异常低价投标（响应）审查程序：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（2）投标（响应）报价低于通过符合性审查的次低报价供应商投标（响应）报价50%的，即投标（响应）报价&lt;通过符合性审查的次低报价供应商投标（响应）报价×50%； （3）投标（响应）报价低于采购项目最高限价45%的，即投标（响应）报价&lt;采购项目最高限价×45%； （4）评审委员会基于专业判断，认为供应商报价过低，有可能影响产品质量或者不能诚信履约的其他情形。 采购人可以结合具体项目实际情况，提高上述第1项至第3项中启动异常低价投标（响应）审查的数值标准，但是最高不得超过65%。相关法律法规对供应商报价有规定的，从其规定。 （二）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60分钟。其中，属于第3项情形，供应商已随投标（响应）文件一并提交相关书面说明及必要的证明材料的，在评审现场可不再重复提交。</w:t>
            </w:r>
          </w:p>
        </w:tc>
        <w:tc>
          <w:tcPr>
            <w:tcW w:type="dxa" w:w="1661"/>
          </w:tcPr>
          <w:p>
            <w:pPr>
              <w:pStyle w:val="null3"/>
            </w:pPr>
            <w:r>
              <w:rPr>
                <w:rFonts w:ascii="仿宋_GB2312" w:hAnsi="仿宋_GB2312" w:cs="仿宋_GB2312" w:eastAsia="仿宋_GB2312"/>
              </w:rPr>
              <w:t>开标一览表 分项报价表（2包）.docx 开标一览表（总）.docx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投标人名称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签字盖章</w:t>
            </w:r>
          </w:p>
        </w:tc>
        <w:tc>
          <w:tcPr>
            <w:tcW w:type="dxa" w:w="3322"/>
          </w:tcPr>
          <w:p>
            <w:pPr>
              <w:pStyle w:val="null3"/>
            </w:pPr>
            <w:r>
              <w:rPr>
                <w:rFonts w:ascii="仿宋_GB2312" w:hAnsi="仿宋_GB2312" w:cs="仿宋_GB2312" w:eastAsia="仿宋_GB2312"/>
              </w:rPr>
              <w:t>按照招标文件规定要求签署、盖章</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投标文件格式</w:t>
            </w:r>
          </w:p>
        </w:tc>
        <w:tc>
          <w:tcPr>
            <w:tcW w:type="dxa" w:w="3322"/>
          </w:tcPr>
          <w:p>
            <w:pPr>
              <w:pStyle w:val="null3"/>
            </w:pPr>
            <w:r>
              <w:rPr>
                <w:rFonts w:ascii="仿宋_GB2312" w:hAnsi="仿宋_GB2312" w:cs="仿宋_GB2312" w:eastAsia="仿宋_GB2312"/>
              </w:rPr>
              <w:t>符合“投标文件格式”的规定</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对招标文件响应程度</w:t>
            </w:r>
          </w:p>
        </w:tc>
        <w:tc>
          <w:tcPr>
            <w:tcW w:type="dxa" w:w="3322"/>
          </w:tcPr>
          <w:p>
            <w:pPr>
              <w:pStyle w:val="null3"/>
            </w:pPr>
            <w:r>
              <w:rPr>
                <w:rFonts w:ascii="仿宋_GB2312" w:hAnsi="仿宋_GB2312" w:cs="仿宋_GB2312" w:eastAsia="仿宋_GB2312"/>
              </w:rPr>
              <w:t>要求实质性要求全面响应，不能有任何采购人不能接受的附加条件</w:t>
            </w:r>
          </w:p>
        </w:tc>
        <w:tc>
          <w:tcPr>
            <w:tcW w:type="dxa" w:w="1661"/>
          </w:tcPr>
          <w:p>
            <w:pPr>
              <w:pStyle w:val="null3"/>
            </w:pPr>
            <w:r>
              <w:rPr>
                <w:rFonts w:ascii="仿宋_GB2312" w:hAnsi="仿宋_GB2312" w:cs="仿宋_GB2312" w:eastAsia="仿宋_GB2312"/>
              </w:rPr>
              <w:t>投标方案说明书.docx 商务条款偏离表.docx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备选投标方案</w:t>
            </w:r>
          </w:p>
        </w:tc>
        <w:tc>
          <w:tcPr>
            <w:tcW w:type="dxa" w:w="3322"/>
          </w:tcPr>
          <w:p>
            <w:pPr>
              <w:pStyle w:val="null3"/>
            </w:pPr>
            <w:r>
              <w:rPr>
                <w:rFonts w:ascii="仿宋_GB2312" w:hAnsi="仿宋_GB2312" w:cs="仿宋_GB2312" w:eastAsia="仿宋_GB2312"/>
              </w:rPr>
              <w:t>除招标文件明确允许提交备选投标方案外，投标人不得提交备选投标方案</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符合第二章“投标人须知”第2.4.7项规定</w:t>
            </w:r>
          </w:p>
        </w:tc>
        <w:tc>
          <w:tcPr>
            <w:tcW w:type="dxa" w:w="1661"/>
          </w:tcPr>
          <w:p>
            <w:pPr>
              <w:pStyle w:val="null3"/>
            </w:pPr>
            <w:r>
              <w:rPr>
                <w:rFonts w:ascii="仿宋_GB2312" w:hAnsi="仿宋_GB2312" w:cs="仿宋_GB2312" w:eastAsia="仿宋_GB2312"/>
              </w:rPr>
              <w:t>开标一览表 分项报价表（2包）.docx 开标一览表（总）.docx 标的清单</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交货时间、质保期</w:t>
            </w:r>
          </w:p>
        </w:tc>
        <w:tc>
          <w:tcPr>
            <w:tcW w:type="dxa" w:w="3322"/>
          </w:tcPr>
          <w:p>
            <w:pPr>
              <w:pStyle w:val="null3"/>
            </w:pPr>
            <w:r>
              <w:rPr>
                <w:rFonts w:ascii="仿宋_GB2312" w:hAnsi="仿宋_GB2312" w:cs="仿宋_GB2312" w:eastAsia="仿宋_GB2312"/>
              </w:rPr>
              <w:t>应满足招标文件中要求的交货时间、质保期</w:t>
            </w:r>
          </w:p>
        </w:tc>
        <w:tc>
          <w:tcPr>
            <w:tcW w:type="dxa" w:w="1661"/>
          </w:tcPr>
          <w:p>
            <w:pPr>
              <w:pStyle w:val="null3"/>
            </w:pPr>
            <w:r>
              <w:rPr>
                <w:rFonts w:ascii="仿宋_GB2312" w:hAnsi="仿宋_GB2312" w:cs="仿宋_GB2312" w:eastAsia="仿宋_GB2312"/>
              </w:rPr>
              <w:t>开标一览表（总）.docx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符合第二章“投标人须知”第2.1投标人须知前附表第12条</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承诺书</w:t>
            </w:r>
          </w:p>
        </w:tc>
        <w:tc>
          <w:tcPr>
            <w:tcW w:type="dxa" w:w="3322"/>
          </w:tcPr>
          <w:p>
            <w:pPr>
              <w:pStyle w:val="null3"/>
            </w:pPr>
            <w:r>
              <w:rPr>
                <w:rFonts w:ascii="仿宋_GB2312" w:hAnsi="仿宋_GB2312" w:cs="仿宋_GB2312" w:eastAsia="仿宋_GB2312"/>
              </w:rPr>
              <w:t>应满足招标文件中的要求（详见：供应商承诺书）</w:t>
            </w:r>
          </w:p>
        </w:tc>
        <w:tc>
          <w:tcPr>
            <w:tcW w:type="dxa" w:w="1661"/>
          </w:tcPr>
          <w:p>
            <w:pPr>
              <w:pStyle w:val="null3"/>
            </w:pPr>
            <w:r>
              <w:rPr>
                <w:rFonts w:ascii="仿宋_GB2312" w:hAnsi="仿宋_GB2312" w:cs="仿宋_GB2312" w:eastAsia="仿宋_GB2312"/>
              </w:rPr>
              <w:t>供应商承诺书.docx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不同供应商的投标文件是否由同一单位或者个人编制</w:t>
            </w:r>
          </w:p>
        </w:tc>
        <w:tc>
          <w:tcPr>
            <w:tcW w:type="dxa" w:w="3322"/>
          </w:tcPr>
          <w:p>
            <w:pPr>
              <w:pStyle w:val="null3"/>
            </w:pPr>
            <w:r>
              <w:rPr>
                <w:rFonts w:ascii="仿宋_GB2312" w:hAnsi="仿宋_GB2312" w:cs="仿宋_GB2312" w:eastAsia="仿宋_GB2312"/>
              </w:rPr>
              <w:t>不同供应商的投标文件不得由同一单位或者个人编制</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不同供应商是否委托同一单位或者个人办理投标事宜</w:t>
            </w:r>
          </w:p>
        </w:tc>
        <w:tc>
          <w:tcPr>
            <w:tcW w:type="dxa" w:w="3322"/>
          </w:tcPr>
          <w:p>
            <w:pPr>
              <w:pStyle w:val="null3"/>
            </w:pPr>
            <w:r>
              <w:rPr>
                <w:rFonts w:ascii="仿宋_GB2312" w:hAnsi="仿宋_GB2312" w:cs="仿宋_GB2312" w:eastAsia="仿宋_GB2312"/>
              </w:rPr>
              <w:t>不同供应商不得委托同一单位或者个人办理投标事宜</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不同供应商的投标文件载明的项目管理成员或者联系人员是否为同一人</w:t>
            </w:r>
          </w:p>
        </w:tc>
        <w:tc>
          <w:tcPr>
            <w:tcW w:type="dxa" w:w="3322"/>
          </w:tcPr>
          <w:p>
            <w:pPr>
              <w:pStyle w:val="null3"/>
            </w:pPr>
            <w:r>
              <w:rPr>
                <w:rFonts w:ascii="仿宋_GB2312" w:hAnsi="仿宋_GB2312" w:cs="仿宋_GB2312" w:eastAsia="仿宋_GB2312"/>
              </w:rPr>
              <w:t>不同供应商的投标文件载明的项目管理成员或者联系人员不得为同一人</w:t>
            </w:r>
          </w:p>
        </w:tc>
        <w:tc>
          <w:tcPr>
            <w:tcW w:type="dxa" w:w="1661"/>
          </w:tcPr>
          <w:p>
            <w:pPr>
              <w:pStyle w:val="null3"/>
            </w:pPr>
            <w:r>
              <w:rPr>
                <w:rFonts w:ascii="仿宋_GB2312" w:hAnsi="仿宋_GB2312" w:cs="仿宋_GB2312" w:eastAsia="仿宋_GB2312"/>
              </w:rPr>
              <w:t>投标方案说明书.docx 资格证明文件.docx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不同供应商的投标文件是否异常一致或者投标报价呈规律性差异</w:t>
            </w:r>
          </w:p>
        </w:tc>
        <w:tc>
          <w:tcPr>
            <w:tcW w:type="dxa" w:w="3322"/>
          </w:tcPr>
          <w:p>
            <w:pPr>
              <w:pStyle w:val="null3"/>
            </w:pPr>
            <w:r>
              <w:rPr>
                <w:rFonts w:ascii="仿宋_GB2312" w:hAnsi="仿宋_GB2312" w:cs="仿宋_GB2312" w:eastAsia="仿宋_GB2312"/>
              </w:rPr>
              <w:t>不同供应商的投标文件不得异常一致或者投标报价呈规律性差异</w:t>
            </w:r>
          </w:p>
        </w:tc>
        <w:tc>
          <w:tcPr>
            <w:tcW w:type="dxa" w:w="1661"/>
          </w:tcPr>
          <w:p>
            <w:pPr>
              <w:pStyle w:val="null3"/>
            </w:pPr>
            <w:r>
              <w:rPr>
                <w:rFonts w:ascii="仿宋_GB2312" w:hAnsi="仿宋_GB2312" w:cs="仿宋_GB2312" w:eastAsia="仿宋_GB2312"/>
              </w:rPr>
              <w:t>投标方案说明书.docx 开标一览表 分项报价表（2包）.docx 开标一览表（总）.docx 标的清单</w:t>
            </w:r>
          </w:p>
        </w:tc>
      </w:tr>
      <w:tr>
        <w:tc>
          <w:tcPr>
            <w:tcW w:type="dxa" w:w="831"/>
          </w:tcPr>
          <w:p>
            <w:pPr>
              <w:pStyle w:val="null3"/>
            </w:pPr>
            <w:r>
              <w:rPr>
                <w:rFonts w:ascii="仿宋_GB2312" w:hAnsi="仿宋_GB2312" w:cs="仿宋_GB2312" w:eastAsia="仿宋_GB2312"/>
              </w:rPr>
              <w:t>15</w:t>
            </w:r>
          </w:p>
        </w:tc>
        <w:tc>
          <w:tcPr>
            <w:tcW w:type="dxa" w:w="2492"/>
          </w:tcPr>
          <w:p>
            <w:pPr>
              <w:pStyle w:val="null3"/>
            </w:pPr>
            <w:r>
              <w:rPr>
                <w:rFonts w:ascii="仿宋_GB2312" w:hAnsi="仿宋_GB2312" w:cs="仿宋_GB2312" w:eastAsia="仿宋_GB2312"/>
              </w:rPr>
              <w:t>不同供应商的投标文件是否相互混装</w:t>
            </w:r>
          </w:p>
        </w:tc>
        <w:tc>
          <w:tcPr>
            <w:tcW w:type="dxa" w:w="3322"/>
          </w:tcPr>
          <w:p>
            <w:pPr>
              <w:pStyle w:val="null3"/>
            </w:pPr>
            <w:r>
              <w:rPr>
                <w:rFonts w:ascii="仿宋_GB2312" w:hAnsi="仿宋_GB2312" w:cs="仿宋_GB2312" w:eastAsia="仿宋_GB2312"/>
              </w:rPr>
              <w:t>不同供应商的投标文件不得相互混装</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16</w:t>
            </w:r>
          </w:p>
        </w:tc>
        <w:tc>
          <w:tcPr>
            <w:tcW w:type="dxa" w:w="2492"/>
          </w:tcPr>
          <w:p>
            <w:pPr>
              <w:pStyle w:val="null3"/>
            </w:pPr>
            <w:r>
              <w:rPr>
                <w:rFonts w:ascii="仿宋_GB2312" w:hAnsi="仿宋_GB2312" w:cs="仿宋_GB2312" w:eastAsia="仿宋_GB2312"/>
              </w:rPr>
              <w:t>不同供应商的投标保证金是否从同一单位或者个人的账户转出</w:t>
            </w:r>
          </w:p>
        </w:tc>
        <w:tc>
          <w:tcPr>
            <w:tcW w:type="dxa" w:w="3322"/>
          </w:tcPr>
          <w:p>
            <w:pPr>
              <w:pStyle w:val="null3"/>
            </w:pPr>
            <w:r>
              <w:rPr>
                <w:rFonts w:ascii="仿宋_GB2312" w:hAnsi="仿宋_GB2312" w:cs="仿宋_GB2312" w:eastAsia="仿宋_GB2312"/>
              </w:rPr>
              <w:t>不同供应商的投标保证金不得从同一单位或者个人的账户转出</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17</w:t>
            </w:r>
          </w:p>
        </w:tc>
        <w:tc>
          <w:tcPr>
            <w:tcW w:type="dxa" w:w="2492"/>
          </w:tcPr>
          <w:p>
            <w:pPr>
              <w:pStyle w:val="null3"/>
            </w:pPr>
            <w:r>
              <w:rPr>
                <w:rFonts w:ascii="仿宋_GB2312" w:hAnsi="仿宋_GB2312" w:cs="仿宋_GB2312" w:eastAsia="仿宋_GB2312"/>
              </w:rPr>
              <w:t>其他情形</w:t>
            </w:r>
          </w:p>
        </w:tc>
        <w:tc>
          <w:tcPr>
            <w:tcW w:type="dxa" w:w="3322"/>
          </w:tcPr>
          <w:p>
            <w:pPr>
              <w:pStyle w:val="null3"/>
            </w:pPr>
            <w:r>
              <w:rPr>
                <w:rFonts w:ascii="仿宋_GB2312" w:hAnsi="仿宋_GB2312" w:cs="仿宋_GB2312" w:eastAsia="仿宋_GB2312"/>
              </w:rPr>
              <w:t>无法律、规章、规范性文件和招标文件规定的其他无效情形</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分项报价表（2包）.docx 投标函 残疾人福利性单位声明函 标的清单 投标文件封面 商务条款偏离表.docx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强化政府采购异常低价审查： （一）采购人应当在采购文件中明确，政府采购评审中出现下列情形之一的，评审委员会应当启动异常低价投标（响应）审查程序：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（2）投标（响应）报价低于通过符合性审查的次低报价供应商投标（响应）报价50%的，即投标（响应）报价&lt;通过符合性审查的次低报价供应商投标（响应）报价×50%； （3）投标（响应）报价低于采购项目最高限价45%的，即投标（响应）报价&lt;采购项目最高限价×45%； （4）评审委员会基于专业判断，认为供应商报价过低，有可能影响产品质量或者不能诚信履约的其他情形。 采购人可以结合具体项目实际情况，提高上述第1项至第3项中启动异常低价投标（响应）审查的数值标准，但是最高不得超过65%。相关法律法规对供应商报价有规定的，从其规定。 （二）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60分钟。其中，属于第3项情形，供应商已随投标（响应）文件一并提交相关书面说明及必要的证明材料的，在评审现场可不再重复提交。</w:t>
            </w:r>
          </w:p>
        </w:tc>
        <w:tc>
          <w:tcPr>
            <w:tcW w:type="dxa" w:w="1661"/>
          </w:tcPr>
          <w:p>
            <w:pPr>
              <w:pStyle w:val="null3"/>
            </w:pPr>
            <w:r>
              <w:rPr>
                <w:rFonts w:ascii="仿宋_GB2312" w:hAnsi="仿宋_GB2312" w:cs="仿宋_GB2312" w:eastAsia="仿宋_GB2312"/>
              </w:rPr>
              <w:t>开标一览表 分项报价表（3包）.docx 开标一览表（总）.docx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投标人名称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签字盖章</w:t>
            </w:r>
          </w:p>
        </w:tc>
        <w:tc>
          <w:tcPr>
            <w:tcW w:type="dxa" w:w="3322"/>
          </w:tcPr>
          <w:p>
            <w:pPr>
              <w:pStyle w:val="null3"/>
            </w:pPr>
            <w:r>
              <w:rPr>
                <w:rFonts w:ascii="仿宋_GB2312" w:hAnsi="仿宋_GB2312" w:cs="仿宋_GB2312" w:eastAsia="仿宋_GB2312"/>
              </w:rPr>
              <w:t>按照招标文件规定要求签署、盖章</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投标文件格式</w:t>
            </w:r>
          </w:p>
        </w:tc>
        <w:tc>
          <w:tcPr>
            <w:tcW w:type="dxa" w:w="3322"/>
          </w:tcPr>
          <w:p>
            <w:pPr>
              <w:pStyle w:val="null3"/>
            </w:pPr>
            <w:r>
              <w:rPr>
                <w:rFonts w:ascii="仿宋_GB2312" w:hAnsi="仿宋_GB2312" w:cs="仿宋_GB2312" w:eastAsia="仿宋_GB2312"/>
              </w:rPr>
              <w:t>符合“投标文件格式”的规定</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对招标文件响应程度</w:t>
            </w:r>
          </w:p>
        </w:tc>
        <w:tc>
          <w:tcPr>
            <w:tcW w:type="dxa" w:w="3322"/>
          </w:tcPr>
          <w:p>
            <w:pPr>
              <w:pStyle w:val="null3"/>
            </w:pPr>
            <w:r>
              <w:rPr>
                <w:rFonts w:ascii="仿宋_GB2312" w:hAnsi="仿宋_GB2312" w:cs="仿宋_GB2312" w:eastAsia="仿宋_GB2312"/>
              </w:rPr>
              <w:t>要求实质性要求全面响应，不能有任何采购人不能接受的附加条件</w:t>
            </w:r>
          </w:p>
        </w:tc>
        <w:tc>
          <w:tcPr>
            <w:tcW w:type="dxa" w:w="1661"/>
          </w:tcPr>
          <w:p>
            <w:pPr>
              <w:pStyle w:val="null3"/>
            </w:pPr>
            <w:r>
              <w:rPr>
                <w:rFonts w:ascii="仿宋_GB2312" w:hAnsi="仿宋_GB2312" w:cs="仿宋_GB2312" w:eastAsia="仿宋_GB2312"/>
              </w:rPr>
              <w:t>投标方案说明书.docx 分项报价表（3包）.docx 商务条款偏离表.docx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备选投标方案</w:t>
            </w:r>
          </w:p>
        </w:tc>
        <w:tc>
          <w:tcPr>
            <w:tcW w:type="dxa" w:w="3322"/>
          </w:tcPr>
          <w:p>
            <w:pPr>
              <w:pStyle w:val="null3"/>
            </w:pPr>
            <w:r>
              <w:rPr>
                <w:rFonts w:ascii="仿宋_GB2312" w:hAnsi="仿宋_GB2312" w:cs="仿宋_GB2312" w:eastAsia="仿宋_GB2312"/>
              </w:rPr>
              <w:t>除招标文件明确允许提交备选投标方案外，投标人不得提交备选投标方案</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符合第二章“投标人须知”第2.4.7项规定</w:t>
            </w:r>
          </w:p>
        </w:tc>
        <w:tc>
          <w:tcPr>
            <w:tcW w:type="dxa" w:w="1661"/>
          </w:tcPr>
          <w:p>
            <w:pPr>
              <w:pStyle w:val="null3"/>
            </w:pPr>
            <w:r>
              <w:rPr>
                <w:rFonts w:ascii="仿宋_GB2312" w:hAnsi="仿宋_GB2312" w:cs="仿宋_GB2312" w:eastAsia="仿宋_GB2312"/>
              </w:rPr>
              <w:t>开标一览表 分项报价表（3包）.docx 开标一览表（总）.docx 标的清单</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交货时间、质保期</w:t>
            </w:r>
          </w:p>
        </w:tc>
        <w:tc>
          <w:tcPr>
            <w:tcW w:type="dxa" w:w="3322"/>
          </w:tcPr>
          <w:p>
            <w:pPr>
              <w:pStyle w:val="null3"/>
            </w:pPr>
            <w:r>
              <w:rPr>
                <w:rFonts w:ascii="仿宋_GB2312" w:hAnsi="仿宋_GB2312" w:cs="仿宋_GB2312" w:eastAsia="仿宋_GB2312"/>
              </w:rPr>
              <w:t>应满足招标文件中要求的交货时间、质保期</w:t>
            </w:r>
          </w:p>
        </w:tc>
        <w:tc>
          <w:tcPr>
            <w:tcW w:type="dxa" w:w="1661"/>
          </w:tcPr>
          <w:p>
            <w:pPr>
              <w:pStyle w:val="null3"/>
            </w:pPr>
            <w:r>
              <w:rPr>
                <w:rFonts w:ascii="仿宋_GB2312" w:hAnsi="仿宋_GB2312" w:cs="仿宋_GB2312" w:eastAsia="仿宋_GB2312"/>
              </w:rPr>
              <w:t>开标一览表（总）.docx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符合第二章“投标人须知”第2.1投标人须知前附表第12条</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承诺书</w:t>
            </w:r>
          </w:p>
        </w:tc>
        <w:tc>
          <w:tcPr>
            <w:tcW w:type="dxa" w:w="3322"/>
          </w:tcPr>
          <w:p>
            <w:pPr>
              <w:pStyle w:val="null3"/>
            </w:pPr>
            <w:r>
              <w:rPr>
                <w:rFonts w:ascii="仿宋_GB2312" w:hAnsi="仿宋_GB2312" w:cs="仿宋_GB2312" w:eastAsia="仿宋_GB2312"/>
              </w:rPr>
              <w:t>应满足招标文件中的要求（详见：供应商承诺书）</w:t>
            </w:r>
          </w:p>
        </w:tc>
        <w:tc>
          <w:tcPr>
            <w:tcW w:type="dxa" w:w="1661"/>
          </w:tcPr>
          <w:p>
            <w:pPr>
              <w:pStyle w:val="null3"/>
            </w:pPr>
            <w:r>
              <w:rPr>
                <w:rFonts w:ascii="仿宋_GB2312" w:hAnsi="仿宋_GB2312" w:cs="仿宋_GB2312" w:eastAsia="仿宋_GB2312"/>
              </w:rPr>
              <w:t>供应商承诺书.docx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不同供应商的投标文件是否由同一单位或者个人编制</w:t>
            </w:r>
          </w:p>
        </w:tc>
        <w:tc>
          <w:tcPr>
            <w:tcW w:type="dxa" w:w="3322"/>
          </w:tcPr>
          <w:p>
            <w:pPr>
              <w:pStyle w:val="null3"/>
            </w:pPr>
            <w:r>
              <w:rPr>
                <w:rFonts w:ascii="仿宋_GB2312" w:hAnsi="仿宋_GB2312" w:cs="仿宋_GB2312" w:eastAsia="仿宋_GB2312"/>
              </w:rPr>
              <w:t>不同供应商的投标文件不得由同一单位或者个人编制</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不同供应商是否委托同一单位或者个人办理投标事宜</w:t>
            </w:r>
          </w:p>
        </w:tc>
        <w:tc>
          <w:tcPr>
            <w:tcW w:type="dxa" w:w="3322"/>
          </w:tcPr>
          <w:p>
            <w:pPr>
              <w:pStyle w:val="null3"/>
            </w:pPr>
            <w:r>
              <w:rPr>
                <w:rFonts w:ascii="仿宋_GB2312" w:hAnsi="仿宋_GB2312" w:cs="仿宋_GB2312" w:eastAsia="仿宋_GB2312"/>
              </w:rPr>
              <w:t>不同供应商不得委托同一单位或者个人办理投标事宜</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不同供应商的投标文件载明的项目管理成员或者联系人员是否为同一人</w:t>
            </w:r>
          </w:p>
        </w:tc>
        <w:tc>
          <w:tcPr>
            <w:tcW w:type="dxa" w:w="3322"/>
          </w:tcPr>
          <w:p>
            <w:pPr>
              <w:pStyle w:val="null3"/>
            </w:pPr>
            <w:r>
              <w:rPr>
                <w:rFonts w:ascii="仿宋_GB2312" w:hAnsi="仿宋_GB2312" w:cs="仿宋_GB2312" w:eastAsia="仿宋_GB2312"/>
              </w:rPr>
              <w:t>不同供应商的投标文件载明的项目管理成员或者联系人员不得为同一人</w:t>
            </w:r>
          </w:p>
        </w:tc>
        <w:tc>
          <w:tcPr>
            <w:tcW w:type="dxa" w:w="1661"/>
          </w:tcPr>
          <w:p>
            <w:pPr>
              <w:pStyle w:val="null3"/>
            </w:pPr>
            <w:r>
              <w:rPr>
                <w:rFonts w:ascii="仿宋_GB2312" w:hAnsi="仿宋_GB2312" w:cs="仿宋_GB2312" w:eastAsia="仿宋_GB2312"/>
              </w:rPr>
              <w:t>投标方案说明书.docx 资格证明文件.docx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不同供应商的投标文件是否异常一致或者投标报价呈规律性差异</w:t>
            </w:r>
          </w:p>
        </w:tc>
        <w:tc>
          <w:tcPr>
            <w:tcW w:type="dxa" w:w="3322"/>
          </w:tcPr>
          <w:p>
            <w:pPr>
              <w:pStyle w:val="null3"/>
            </w:pPr>
            <w:r>
              <w:rPr>
                <w:rFonts w:ascii="仿宋_GB2312" w:hAnsi="仿宋_GB2312" w:cs="仿宋_GB2312" w:eastAsia="仿宋_GB2312"/>
              </w:rPr>
              <w:t>不同供应商的投标文件不得异常一致或者投标报价呈规律性差异</w:t>
            </w:r>
          </w:p>
        </w:tc>
        <w:tc>
          <w:tcPr>
            <w:tcW w:type="dxa" w:w="1661"/>
          </w:tcPr>
          <w:p>
            <w:pPr>
              <w:pStyle w:val="null3"/>
            </w:pPr>
            <w:r>
              <w:rPr>
                <w:rFonts w:ascii="仿宋_GB2312" w:hAnsi="仿宋_GB2312" w:cs="仿宋_GB2312" w:eastAsia="仿宋_GB2312"/>
              </w:rPr>
              <w:t>投标方案说明书.docx 开标一览表 分项报价表（3包）.docx 开标一览表（总）.docx 标的清单</w:t>
            </w:r>
          </w:p>
        </w:tc>
      </w:tr>
      <w:tr>
        <w:tc>
          <w:tcPr>
            <w:tcW w:type="dxa" w:w="831"/>
          </w:tcPr>
          <w:p>
            <w:pPr>
              <w:pStyle w:val="null3"/>
            </w:pPr>
            <w:r>
              <w:rPr>
                <w:rFonts w:ascii="仿宋_GB2312" w:hAnsi="仿宋_GB2312" w:cs="仿宋_GB2312" w:eastAsia="仿宋_GB2312"/>
              </w:rPr>
              <w:t>15</w:t>
            </w:r>
          </w:p>
        </w:tc>
        <w:tc>
          <w:tcPr>
            <w:tcW w:type="dxa" w:w="2492"/>
          </w:tcPr>
          <w:p>
            <w:pPr>
              <w:pStyle w:val="null3"/>
            </w:pPr>
            <w:r>
              <w:rPr>
                <w:rFonts w:ascii="仿宋_GB2312" w:hAnsi="仿宋_GB2312" w:cs="仿宋_GB2312" w:eastAsia="仿宋_GB2312"/>
              </w:rPr>
              <w:t>不同供应商的投标文件是否相互混装</w:t>
            </w:r>
          </w:p>
        </w:tc>
        <w:tc>
          <w:tcPr>
            <w:tcW w:type="dxa" w:w="3322"/>
          </w:tcPr>
          <w:p>
            <w:pPr>
              <w:pStyle w:val="null3"/>
            </w:pPr>
            <w:r>
              <w:rPr>
                <w:rFonts w:ascii="仿宋_GB2312" w:hAnsi="仿宋_GB2312" w:cs="仿宋_GB2312" w:eastAsia="仿宋_GB2312"/>
              </w:rPr>
              <w:t>不同供应商的投标文件不得相互混装</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r>
        <w:tc>
          <w:tcPr>
            <w:tcW w:type="dxa" w:w="831"/>
          </w:tcPr>
          <w:p>
            <w:pPr>
              <w:pStyle w:val="null3"/>
            </w:pPr>
            <w:r>
              <w:rPr>
                <w:rFonts w:ascii="仿宋_GB2312" w:hAnsi="仿宋_GB2312" w:cs="仿宋_GB2312" w:eastAsia="仿宋_GB2312"/>
              </w:rPr>
              <w:t>16</w:t>
            </w:r>
          </w:p>
        </w:tc>
        <w:tc>
          <w:tcPr>
            <w:tcW w:type="dxa" w:w="2492"/>
          </w:tcPr>
          <w:p>
            <w:pPr>
              <w:pStyle w:val="null3"/>
            </w:pPr>
            <w:r>
              <w:rPr>
                <w:rFonts w:ascii="仿宋_GB2312" w:hAnsi="仿宋_GB2312" w:cs="仿宋_GB2312" w:eastAsia="仿宋_GB2312"/>
              </w:rPr>
              <w:t>不同供应商的投标保证金是否从同一单位或者个人的账户转出</w:t>
            </w:r>
          </w:p>
        </w:tc>
        <w:tc>
          <w:tcPr>
            <w:tcW w:type="dxa" w:w="3322"/>
          </w:tcPr>
          <w:p>
            <w:pPr>
              <w:pStyle w:val="null3"/>
            </w:pPr>
            <w:r>
              <w:rPr>
                <w:rFonts w:ascii="仿宋_GB2312" w:hAnsi="仿宋_GB2312" w:cs="仿宋_GB2312" w:eastAsia="仿宋_GB2312"/>
              </w:rPr>
              <w:t>不同供应商的投标保证金不得从同一单位或者个人的账户转出</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17</w:t>
            </w:r>
          </w:p>
        </w:tc>
        <w:tc>
          <w:tcPr>
            <w:tcW w:type="dxa" w:w="2492"/>
          </w:tcPr>
          <w:p>
            <w:pPr>
              <w:pStyle w:val="null3"/>
            </w:pPr>
            <w:r>
              <w:rPr>
                <w:rFonts w:ascii="仿宋_GB2312" w:hAnsi="仿宋_GB2312" w:cs="仿宋_GB2312" w:eastAsia="仿宋_GB2312"/>
              </w:rPr>
              <w:t>其他情形</w:t>
            </w:r>
          </w:p>
        </w:tc>
        <w:tc>
          <w:tcPr>
            <w:tcW w:type="dxa" w:w="3322"/>
          </w:tcPr>
          <w:p>
            <w:pPr>
              <w:pStyle w:val="null3"/>
            </w:pPr>
            <w:r>
              <w:rPr>
                <w:rFonts w:ascii="仿宋_GB2312" w:hAnsi="仿宋_GB2312" w:cs="仿宋_GB2312" w:eastAsia="仿宋_GB2312"/>
              </w:rPr>
              <w:t>无法律、规章、规范性文件和招标文件规定的其他无效情形</w:t>
            </w:r>
          </w:p>
        </w:tc>
        <w:tc>
          <w:tcPr>
            <w:tcW w:type="dxa" w:w="1661"/>
          </w:tcPr>
          <w:p>
            <w:pPr>
              <w:pStyle w:val="null3"/>
            </w:pPr>
            <w:r>
              <w:rPr>
                <w:rFonts w:ascii="仿宋_GB2312" w:hAnsi="仿宋_GB2312" w:cs="仿宋_GB2312" w:eastAsia="仿宋_GB2312"/>
              </w:rPr>
              <w:t>开标一览表 中小企业声明函 开标一览表（总）.docx 其它资料.docx 供应商承诺书.docx 资格证明文件.docx 投标方案说明书.docx 分项报价表（3包）.docx 投标函 残疾人福利性单位声明函 标的清单 投标文件封面 商务条款偏离表.docx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采购包3：</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技术需求符合度</w:t>
            </w:r>
          </w:p>
        </w:tc>
        <w:tc>
          <w:tcPr>
            <w:tcW w:type="dxa" w:w="2492"/>
          </w:tcPr>
          <w:p>
            <w:pPr>
              <w:pStyle w:val="null3"/>
            </w:pPr>
            <w:r>
              <w:rPr>
                <w:rFonts w:ascii="仿宋_GB2312" w:hAnsi="仿宋_GB2312" w:cs="仿宋_GB2312" w:eastAsia="仿宋_GB2312"/>
              </w:rPr>
              <w:t>根据招标文件要求（第三章3.3技术要求）认真审核投标文件中技术参数响应和提供的佐证材料。 投标产品技术参数和配置完全满足或优于招标文件要求的，得满分18分。 其中：1、带“▲”号参数（共6项，满分6分），每负偏离一项扣1分。 2、未带“▲”号的一般参数（共24项，满分12分），每负偏离一项扣0.5分。 备注： 1、带“▲”号参数，必须提供证明材料（如：第三方检测机构出具的检测报告、制造商检验报告、产品彩页、官网功能截图等任意一种），证明材料需加盖公章，投标供应商未提供证明材料或证明材料无法证明参数要求的，均视为负偏离。 2、未带“▲”号的一般参数，以投标供应商“技术规格响应表”响应为准，供应商对响应真实性负责；投标供应商未响应或响应内容不满足招标要求的，均视为负偏离。</w:t>
            </w:r>
          </w:p>
        </w:tc>
        <w:tc>
          <w:tcPr>
            <w:tcW w:type="dxa" w:w="831"/>
          </w:tcPr>
          <w:p>
            <w:pPr>
              <w:pStyle w:val="null3"/>
              <w:jc w:val="right"/>
            </w:pPr>
            <w:r>
              <w:rPr>
                <w:rFonts w:ascii="仿宋_GB2312" w:hAnsi="仿宋_GB2312" w:cs="仿宋_GB2312" w:eastAsia="仿宋_GB2312"/>
              </w:rPr>
              <w:t>18.0000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来源渠道</w:t>
            </w:r>
          </w:p>
        </w:tc>
        <w:tc>
          <w:tcPr>
            <w:tcW w:type="dxa" w:w="2492"/>
          </w:tcPr>
          <w:p>
            <w:pPr>
              <w:pStyle w:val="null3"/>
            </w:pPr>
            <w:r>
              <w:rPr>
                <w:rFonts w:ascii="仿宋_GB2312" w:hAnsi="仿宋_GB2312" w:cs="仿宋_GB2312" w:eastAsia="仿宋_GB2312"/>
              </w:rPr>
              <w:t>所投产品【序号1双层大包布、序号8双层台布、序号15刷手裤、序号17刷手衣（2）、序号18刷手裤（2）】来源渠道正规。 供应商为产品制造商的，提供所投生产承诺书或相关证明材料；供应商为经销商的，提供所投产品合法来源渠道证明文件（包括但不限于：产品制造商授权或销售协议或代理协议等）。 每提供一个所投产品的符合评审要求的证明材料，得1分，满分5分。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质量保证（承诺）</w:t>
            </w:r>
          </w:p>
        </w:tc>
        <w:tc>
          <w:tcPr>
            <w:tcW w:type="dxa" w:w="2492"/>
          </w:tcPr>
          <w:p>
            <w:pPr>
              <w:pStyle w:val="null3"/>
            </w:pPr>
            <w:r>
              <w:rPr>
                <w:rFonts w:ascii="仿宋_GB2312" w:hAnsi="仿宋_GB2312" w:cs="仿宋_GB2312" w:eastAsia="仿宋_GB2312"/>
              </w:rPr>
              <w:t>承诺：供应商承诺所投产品进货渠道正规，无假货、翻新货且无产权纠纷。 备注：提供承诺且承诺内容完整得2分，未提供承诺或承诺内容不全不得分。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质量保证（质量保障方案）</w:t>
            </w:r>
          </w:p>
        </w:tc>
        <w:tc>
          <w:tcPr>
            <w:tcW w:type="dxa" w:w="2492"/>
          </w:tcPr>
          <w:p>
            <w:pPr>
              <w:pStyle w:val="null3"/>
            </w:pPr>
            <w:r>
              <w:rPr>
                <w:rFonts w:ascii="仿宋_GB2312" w:hAnsi="仿宋_GB2312" w:cs="仿宋_GB2312" w:eastAsia="仿宋_GB2312"/>
              </w:rPr>
              <w:t>质量保障方案：供应商提供针对本项目的质量保障方案，包括：①选料（原材料保障）；②制作工艺流程及生产加工方案；③产品出厂检验方案。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供应商提供针对本项目的实施方案，包括：①供货组织方案；②进度计划安排；③人员配备方案。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应急方案</w:t>
            </w:r>
          </w:p>
        </w:tc>
        <w:tc>
          <w:tcPr>
            <w:tcW w:type="dxa" w:w="2492"/>
          </w:tcPr>
          <w:p>
            <w:pPr>
              <w:pStyle w:val="null3"/>
            </w:pPr>
            <w:r>
              <w:rPr>
                <w:rFonts w:ascii="仿宋_GB2312" w:hAnsi="仿宋_GB2312" w:cs="仿宋_GB2312" w:eastAsia="仿宋_GB2312"/>
              </w:rPr>
              <w:t>根据供应商提供针对本项目的应急方案，包括：①影响正常交付工作的应急措施；②日常调（换）货、补货方案；③问题商品的处理方案，须备货充足保证特殊情况下可提供相同货物或不低于残次货物规格档次的备用货物供采购人使用的使用承诺。 方案内容全面详细、阐述条理清晰详尽、符合本项目采购需求，能有效保障本项目实施的得3分；每有一个缺项扣1分；每有一项内容存在缺陷，扣（0-1）分。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提供样品【序号1双层大包布、序号8双层台布、序号13双层洞巾、序号15刷手裤（1）、序号16手术衣、序号17刷手衣（2）、序号18刷手裤（2）】，共7项，提供符合文件要求的成品各1个）的情况及相关证明材料（如第三方检测报告等）的情况自主赋分。 样品齐全且所有样品质量好、手感柔软、做工细致，工艺水平高、无杂质、材料优质，得14分；每有一个样品存在缺陷，扣（0-2）分。 注:缺陷是指：样品质量一般/差、手感一般/差、做工一般/粗糙、有杂质、缝合差等。 备注：缺少任意一项样品，“样品”整项按0分计算。</w:t>
            </w:r>
          </w:p>
        </w:tc>
        <w:tc>
          <w:tcPr>
            <w:tcW w:type="dxa" w:w="831"/>
          </w:tcPr>
          <w:p>
            <w:pPr>
              <w:pStyle w:val="null3"/>
              <w:jc w:val="right"/>
            </w:pPr>
            <w:r>
              <w:rPr>
                <w:rFonts w:ascii="仿宋_GB2312" w:hAnsi="仿宋_GB2312" w:cs="仿宋_GB2312" w:eastAsia="仿宋_GB2312"/>
              </w:rPr>
              <w:t>14.0000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p>
            <w:pPr>
              <w:pStyle w:val="null3"/>
            </w:pPr>
            <w:r>
              <w:rPr>
                <w:rFonts w:ascii="仿宋_GB2312" w:hAnsi="仿宋_GB2312" w:cs="仿宋_GB2312" w:eastAsia="仿宋_GB2312"/>
              </w:rPr>
              <w:t>其它资料.docx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根据供应商提供的针对本项目的售后服务方案，包括：①售后服务内容；②售后响应时间；③售后服务团队及服务方式。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提供供应商自2023年1月1日至今（以合同签订时间为准）同类项目业绩，每提供一份有效业绩得2分，最高得10分。 备注：业绩证明材料以合同复印件/扫描件为准。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1、经初审合格的投标文件，通过符合性审查的投标报价（单价之和）为有效投标价。对符合政策性扣减的有效投标报价进行政策性扣减，并依据扣减后的价格（评审价格）进行价格评审。 2、价格分采用低价优先法计算，即满足招标文件要求且投标价格最低的投标报价（单价之和）为评标基准价，其价格分为满分。 3、投标报价得分=（评标基准价/投标报价）×30。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分项报价表（1包）.docx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分项报价表（1包）.docx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技术需求符合度</w:t>
            </w:r>
          </w:p>
        </w:tc>
        <w:tc>
          <w:tcPr>
            <w:tcW w:type="dxa" w:w="2492"/>
          </w:tcPr>
          <w:p>
            <w:pPr>
              <w:pStyle w:val="null3"/>
            </w:pPr>
            <w:r>
              <w:rPr>
                <w:rFonts w:ascii="仿宋_GB2312" w:hAnsi="仿宋_GB2312" w:cs="仿宋_GB2312" w:eastAsia="仿宋_GB2312"/>
              </w:rPr>
              <w:t>根据招标文件要求（第三章3.3技术要求）认真审核投标文件中技术参数响应和提供的佐证材料。 投标产品技术参数和配置完全满足或优于招标文件要求的，得满分20分。 其中：1、带“▲”号参数（共3项，满分3分），每负偏离一项扣1分。 2、未带“▲”号的一般参数（共89项，满分17分），每负偏离一项扣0.2分，扣完为止。 备注： 1、带“▲”号参数，必须提供证明材料（如：第三方检测机构出具的检测报告、制造商检验报告、产品彩页、官网功能截图等任意一种），证明材料需加盖公章，投标供应商未提供证明材料或证明材料无法证明参数要求的，均视为负偏离。 2、未带“▲”号的一般参数，以投标供应商“技术规格响应表”响应为准，供应商对响应真实性负责；投标供应商未响应或响应内容不满足招标要求的，均视为负偏离。</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来源渠道</w:t>
            </w:r>
          </w:p>
        </w:tc>
        <w:tc>
          <w:tcPr>
            <w:tcW w:type="dxa" w:w="2492"/>
          </w:tcPr>
          <w:p>
            <w:pPr>
              <w:pStyle w:val="null3"/>
            </w:pPr>
            <w:r>
              <w:rPr>
                <w:rFonts w:ascii="仿宋_GB2312" w:hAnsi="仿宋_GB2312" w:cs="仿宋_GB2312" w:eastAsia="仿宋_GB2312"/>
              </w:rPr>
              <w:t>所投产品【序号1产科床单、序号13新生儿被芯、序号14小花巾、序号19病员服上衣、序号20病员裤/孕妇裤、序号22室内衣、序号23室内裤】来源渠道正规。 供应商为产品制造商的，提供所投生产承诺书或相关证明材料；供应商为经销商的，提供所投产品合法来源渠道证明文件（包括但不限于：产品制造商授权或销售协议或代理协议等）。 每提供一个所投产品的符合评审要求的证明材料，得1分，满分7分。</w:t>
            </w:r>
          </w:p>
        </w:tc>
        <w:tc>
          <w:tcPr>
            <w:tcW w:type="dxa" w:w="831"/>
          </w:tcPr>
          <w:p>
            <w:pPr>
              <w:pStyle w:val="null3"/>
              <w:jc w:val="right"/>
            </w:pPr>
            <w:r>
              <w:rPr>
                <w:rFonts w:ascii="仿宋_GB2312" w:hAnsi="仿宋_GB2312" w:cs="仿宋_GB2312" w:eastAsia="仿宋_GB2312"/>
              </w:rPr>
              <w:t>7.0000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质量保证（承诺）</w:t>
            </w:r>
          </w:p>
        </w:tc>
        <w:tc>
          <w:tcPr>
            <w:tcW w:type="dxa" w:w="2492"/>
          </w:tcPr>
          <w:p>
            <w:pPr>
              <w:pStyle w:val="null3"/>
            </w:pPr>
            <w:r>
              <w:rPr>
                <w:rFonts w:ascii="仿宋_GB2312" w:hAnsi="仿宋_GB2312" w:cs="仿宋_GB2312" w:eastAsia="仿宋_GB2312"/>
              </w:rPr>
              <w:t>承诺：供应商承诺所投产品进货渠道正规，无假货、翻新货且无产权纠纷。 备注：提供承诺且承诺内容完整得1分，未提供承诺或承诺内容不全不得分。</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质量保证（质量保障方案）</w:t>
            </w:r>
          </w:p>
        </w:tc>
        <w:tc>
          <w:tcPr>
            <w:tcW w:type="dxa" w:w="2492"/>
          </w:tcPr>
          <w:p>
            <w:pPr>
              <w:pStyle w:val="null3"/>
            </w:pPr>
            <w:r>
              <w:rPr>
                <w:rFonts w:ascii="仿宋_GB2312" w:hAnsi="仿宋_GB2312" w:cs="仿宋_GB2312" w:eastAsia="仿宋_GB2312"/>
              </w:rPr>
              <w:t>质量保障方案：供应商提供针对本项目的质量保障方案，包括：①选料（原材料保障）；②制作工艺流程及生产加工方案；③产品出厂检验方案。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供应商提供针对本项目的实施方案，包括：①供货组织方案；②进度计划安排；③人员配备方案。 方案内容全面详细、阐述条理清晰详尽、符合本项目采购需求，能有效保障本项目实施的得3分；每有一个缺项扣1分；每有一项内容存在缺陷，扣（0-1）分。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应急方案</w:t>
            </w:r>
          </w:p>
        </w:tc>
        <w:tc>
          <w:tcPr>
            <w:tcW w:type="dxa" w:w="2492"/>
          </w:tcPr>
          <w:p>
            <w:pPr>
              <w:pStyle w:val="null3"/>
            </w:pPr>
            <w:r>
              <w:rPr>
                <w:rFonts w:ascii="仿宋_GB2312" w:hAnsi="仿宋_GB2312" w:cs="仿宋_GB2312" w:eastAsia="仿宋_GB2312"/>
              </w:rPr>
              <w:t>根据供应商提供针对本项目的应急方案，包括：①影响正常交付工作的应急措施；②日常调（换）货、补货方案；③问题商品的处理方案，须备货充足保证特殊情况下可提供相同货物或不低于残次货物规格档次的备用货物供采购人使用的使用承诺。 方案内容全面详细、阐述条理清晰详尽、符合本项目采购需求，能有效保障本项目实施的得3分；每有一个缺项扣1分；每有一项内容存在缺陷，扣（0-1）分。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提供样品（序号1产科床单、序号13新生儿被芯、序号14小花巾、序号19病员服上衣、序号20病员裤/孕妇裤、序号22室内衣、序号23室内裤，共7项，提供符合文件要求的成品各1个）的情况及相关证明材料（如第三方检测报告等）的情况自主赋分。 样品齐全且所有样品质量好、手感柔软、做工细致，工艺水平高、无杂质、材料优质，得14分；每有一个样品存在缺陷，扣（0-2）分。 注:缺陷是指：样品质量一般/差、手感一般/差、做工一般/粗糙、有杂质、缝合差等。 备注：缺少任意一项样品，“样品”整项按0分计算。</w:t>
            </w:r>
          </w:p>
        </w:tc>
        <w:tc>
          <w:tcPr>
            <w:tcW w:type="dxa" w:w="831"/>
          </w:tcPr>
          <w:p>
            <w:pPr>
              <w:pStyle w:val="null3"/>
              <w:jc w:val="right"/>
            </w:pPr>
            <w:r>
              <w:rPr>
                <w:rFonts w:ascii="仿宋_GB2312" w:hAnsi="仿宋_GB2312" w:cs="仿宋_GB2312" w:eastAsia="仿宋_GB2312"/>
              </w:rPr>
              <w:t>14.0000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p>
            <w:pPr>
              <w:pStyle w:val="null3"/>
            </w:pPr>
            <w:r>
              <w:rPr>
                <w:rFonts w:ascii="仿宋_GB2312" w:hAnsi="仿宋_GB2312" w:cs="仿宋_GB2312" w:eastAsia="仿宋_GB2312"/>
              </w:rPr>
              <w:t>其它资料.docx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根据供应商提供的针对本项目的售后服务方案，包括：①售后服务内容；②售后响应时间；③售后服务团队及服务方式。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提供供应商自2023年1月1日至今（以合同签订时间为准）同类项目业绩，每提供一份有效业绩得2分，最高得10分。 备注：业绩证明材料以合同复印件/扫描件为准。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1、经初审合格的投标文件，通过符合性审查的投标报价（单价之和）为有效投标价。对符合政策性扣减的有效投标报价进行政策性扣减，并依据扣减后的价格（评审价格）进行价格评审。 2、价格分采用低价优先法计算，即满足招标文件要求且投标价格最低的投标报价（单价之和）为评标基准价，其价格分为满分。 3、投标报价得分=（评标基准价/投标报价）×30。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分项报价表（2包）.docx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分项报价表（2包）.docx</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技术需求符合度</w:t>
            </w:r>
          </w:p>
        </w:tc>
        <w:tc>
          <w:tcPr>
            <w:tcW w:type="dxa" w:w="2492"/>
          </w:tcPr>
          <w:p>
            <w:pPr>
              <w:pStyle w:val="null3"/>
            </w:pPr>
            <w:r>
              <w:rPr>
                <w:rFonts w:ascii="仿宋_GB2312" w:hAnsi="仿宋_GB2312" w:cs="仿宋_GB2312" w:eastAsia="仿宋_GB2312"/>
              </w:rPr>
              <w:t>根据招标文件要求（第三章3.3技术要求）认真审核投标文件中技术参数响应和提供的佐证材料。 投标产品技术参数和配置完全满足或优于招标文件要求的，得满分16分。 参数（共16项，满分16分），每负偏离一项扣1分。 备注：评审时以投标供应商“技术规格响应表”响应为准，供应商对响应真实性负责；投标供应商未响应或响应内容不满足招标要求的，均视为负偏离。</w:t>
            </w:r>
          </w:p>
        </w:tc>
        <w:tc>
          <w:tcPr>
            <w:tcW w:type="dxa" w:w="831"/>
          </w:tcPr>
          <w:p>
            <w:pPr>
              <w:pStyle w:val="null3"/>
              <w:jc w:val="right"/>
            </w:pPr>
            <w:r>
              <w:rPr>
                <w:rFonts w:ascii="仿宋_GB2312" w:hAnsi="仿宋_GB2312" w:cs="仿宋_GB2312" w:eastAsia="仿宋_GB2312"/>
              </w:rPr>
              <w:t>16.0000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来源渠道</w:t>
            </w:r>
          </w:p>
        </w:tc>
        <w:tc>
          <w:tcPr>
            <w:tcW w:type="dxa" w:w="2492"/>
          </w:tcPr>
          <w:p>
            <w:pPr>
              <w:pStyle w:val="null3"/>
            </w:pPr>
            <w:r>
              <w:rPr>
                <w:rFonts w:ascii="仿宋_GB2312" w:hAnsi="仿宋_GB2312" w:cs="仿宋_GB2312" w:eastAsia="仿宋_GB2312"/>
              </w:rPr>
              <w:t>所投产品（序号1医护工作服冬装、序号2医护工作服夏装）来源渠道正规。 供应商为产品制造商的，提供所投生产承诺书或相关证明材料；供应商为经销商的，提供所投产品合法来源渠道证明文件（包括但不限于：产品制造商授权或销售协议或代理协议等）。 每提供一个所投产品的符合评审要求的证明材料，得2分，满分4分。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质量保证（承诺）</w:t>
            </w:r>
          </w:p>
        </w:tc>
        <w:tc>
          <w:tcPr>
            <w:tcW w:type="dxa" w:w="2492"/>
          </w:tcPr>
          <w:p>
            <w:pPr>
              <w:pStyle w:val="null3"/>
            </w:pPr>
            <w:r>
              <w:rPr>
                <w:rFonts w:ascii="仿宋_GB2312" w:hAnsi="仿宋_GB2312" w:cs="仿宋_GB2312" w:eastAsia="仿宋_GB2312"/>
              </w:rPr>
              <w:t>承诺：供应商承诺所投产品进货渠道正规，无假货、翻新货且无产权纠纷。 备注：提供承诺且承诺内容完整得2分，未提供承诺或承诺内容不全不得分。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质量保证（质量保障方案）</w:t>
            </w:r>
          </w:p>
        </w:tc>
        <w:tc>
          <w:tcPr>
            <w:tcW w:type="dxa" w:w="2492"/>
          </w:tcPr>
          <w:p>
            <w:pPr>
              <w:pStyle w:val="null3"/>
            </w:pPr>
            <w:r>
              <w:rPr>
                <w:rFonts w:ascii="仿宋_GB2312" w:hAnsi="仿宋_GB2312" w:cs="仿宋_GB2312" w:eastAsia="仿宋_GB2312"/>
              </w:rPr>
              <w:t>质量保障方案：供应商提供针对本项目的质量保障方案，包括：①选料（原材料保障）；②制作工艺流程及生产加工方案；③产品出厂检验方案。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供应商提供针对本项目的实施方案，包括：①供货组织方案；②进度计划安排；③人员配备方案。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应急方案</w:t>
            </w:r>
          </w:p>
        </w:tc>
        <w:tc>
          <w:tcPr>
            <w:tcW w:type="dxa" w:w="2492"/>
          </w:tcPr>
          <w:p>
            <w:pPr>
              <w:pStyle w:val="null3"/>
            </w:pPr>
            <w:r>
              <w:rPr>
                <w:rFonts w:ascii="仿宋_GB2312" w:hAnsi="仿宋_GB2312" w:cs="仿宋_GB2312" w:eastAsia="仿宋_GB2312"/>
              </w:rPr>
              <w:t>根据供应商提供针对本项目的应急方案，包括：①影响正常交付工作的应急措施；②日常调（换）货、补货方案；③问题商品的处理方案，须备货充足保证特殊情况下可提供相同货物或不低于残次货物规格档次的备用货物供采购人使用的使用承诺。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根据提供样品（序号1医护工作服冬装、序号2医护工作服夏装，共2项4套，提供符合文件要求的成品各1套）的情况及相关证明材料（如第三方检测报告等）的情况自主赋分。 样品齐全且所有样品质量好、手感柔软、做工细致，工艺水平高、无杂质、材料优质，得14分；每有一个样品存在缺陷，扣（0-3.5）分。 注:缺陷是指：样品质量一般/差、手感一般/差、做工一般/粗糙、有杂质、缝合差等。 备注：缺少任意一项样品，“样品”整项按0分计算。</w:t>
            </w:r>
          </w:p>
        </w:tc>
        <w:tc>
          <w:tcPr>
            <w:tcW w:type="dxa" w:w="831"/>
          </w:tcPr>
          <w:p>
            <w:pPr>
              <w:pStyle w:val="null3"/>
              <w:jc w:val="right"/>
            </w:pPr>
            <w:r>
              <w:rPr>
                <w:rFonts w:ascii="仿宋_GB2312" w:hAnsi="仿宋_GB2312" w:cs="仿宋_GB2312" w:eastAsia="仿宋_GB2312"/>
              </w:rPr>
              <w:t>14.0000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p>
            <w:pPr>
              <w:pStyle w:val="null3"/>
            </w:pPr>
            <w:r>
              <w:rPr>
                <w:rFonts w:ascii="仿宋_GB2312" w:hAnsi="仿宋_GB2312" w:cs="仿宋_GB2312" w:eastAsia="仿宋_GB2312"/>
              </w:rPr>
              <w:t>其它资料.docx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根据供应商提供的针对本项目的售后服务方案，包括：①售后服务内容；②售后响应时间；③售后服务团队及服务方式。 方案内容全面详细、阐述条理清晰详尽、符合本项目采购需求，能有效保障本项目实施的得6分；每有一个缺项扣2分；每有一项内容存在缺陷，扣（0-2）分。 备注:缺陷是指：非专门针对本项目或不适用项目特性的情形、内容不完整或缺少关键节点、套用其他项目方案、内容前后矛盾、涉及的规范及标准错误、不利于项目实施、不可能实现的情形等任意一种情形。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投标方案说明书.docx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提供供应商自2023年1月1日至今（以合同签订时间为准）同类项目业绩，每提供一份有效业绩得2分，最高得10分。 备注：业绩证明材料以合同复印件/扫描件为准。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投标方案说明书.docx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1、经初审合格的投标文件，通过符合性审查的投标报价（单价之和）为有效投标价。对符合政策性扣减的有效投标报价进行政策性扣减，并依据扣减后的价格（评审价格）进行价格评审。 2、价格分采用低价优先法计算，即满足招标文件要求且投标价格最低的投标报价（单价之和）为评标基准价，其价格分为满分。 3、投标报价得分=（评标基准价/投标报价）×30。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分项报价表（3包）.docx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开标一览表（总）.docx</w:t>
            </w:r>
          </w:p>
          <w:p>
            <w:pPr>
              <w:pStyle w:val="null3"/>
            </w:pPr>
            <w:r>
              <w:rPr>
                <w:rFonts w:ascii="仿宋_GB2312" w:hAnsi="仿宋_GB2312" w:cs="仿宋_GB2312" w:eastAsia="仿宋_GB2312"/>
              </w:rPr>
              <w:t>分项报价表（3包）.docx</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详见附件：开标一览表（总）.docx</w:t>
      </w:r>
    </w:p>
    <w:p>
      <w:pPr>
        <w:pStyle w:val="null3"/>
        <w:ind w:firstLine="960"/>
      </w:pPr>
      <w:r>
        <w:rPr>
          <w:rFonts w:ascii="仿宋_GB2312" w:hAnsi="仿宋_GB2312" w:cs="仿宋_GB2312" w:eastAsia="仿宋_GB2312"/>
        </w:rPr>
        <w:t>详见附件：分项报价表（1包）.docx</w:t>
      </w:r>
    </w:p>
    <w:p>
      <w:pPr>
        <w:pStyle w:val="null3"/>
        <w:ind w:firstLine="960"/>
      </w:pPr>
      <w:r>
        <w:rPr>
          <w:rFonts w:ascii="仿宋_GB2312" w:hAnsi="仿宋_GB2312" w:cs="仿宋_GB2312" w:eastAsia="仿宋_GB2312"/>
        </w:rPr>
        <w:t>详见附件：投标方案说明书.docx</w:t>
      </w:r>
    </w:p>
    <w:p>
      <w:pPr>
        <w:pStyle w:val="null3"/>
        <w:ind w:firstLine="960"/>
      </w:pPr>
      <w:r>
        <w:rPr>
          <w:rFonts w:ascii="仿宋_GB2312" w:hAnsi="仿宋_GB2312" w:cs="仿宋_GB2312" w:eastAsia="仿宋_GB2312"/>
        </w:rPr>
        <w:t>详见附件：商务条款偏离表.docx</w:t>
      </w:r>
    </w:p>
    <w:p>
      <w:pPr>
        <w:pStyle w:val="null3"/>
        <w:ind w:firstLine="960"/>
      </w:pPr>
      <w:r>
        <w:rPr>
          <w:rFonts w:ascii="仿宋_GB2312" w:hAnsi="仿宋_GB2312" w:cs="仿宋_GB2312" w:eastAsia="仿宋_GB2312"/>
        </w:rPr>
        <w:t>详见附件：供应商承诺书.docx</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详见附件：其它资料.docx</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详见附件：开标一览表（总）.docx</w:t>
      </w:r>
    </w:p>
    <w:p>
      <w:pPr>
        <w:pStyle w:val="null3"/>
        <w:ind w:firstLine="960"/>
      </w:pPr>
      <w:r>
        <w:rPr>
          <w:rFonts w:ascii="仿宋_GB2312" w:hAnsi="仿宋_GB2312" w:cs="仿宋_GB2312" w:eastAsia="仿宋_GB2312"/>
        </w:rPr>
        <w:t>详见附件：分项报价表（2包）.docx</w:t>
      </w:r>
    </w:p>
    <w:p>
      <w:pPr>
        <w:pStyle w:val="null3"/>
        <w:ind w:firstLine="960"/>
      </w:pPr>
      <w:r>
        <w:rPr>
          <w:rFonts w:ascii="仿宋_GB2312" w:hAnsi="仿宋_GB2312" w:cs="仿宋_GB2312" w:eastAsia="仿宋_GB2312"/>
        </w:rPr>
        <w:t>详见附件：投标方案说明书.docx</w:t>
      </w:r>
    </w:p>
    <w:p>
      <w:pPr>
        <w:pStyle w:val="null3"/>
        <w:ind w:firstLine="960"/>
      </w:pPr>
      <w:r>
        <w:rPr>
          <w:rFonts w:ascii="仿宋_GB2312" w:hAnsi="仿宋_GB2312" w:cs="仿宋_GB2312" w:eastAsia="仿宋_GB2312"/>
        </w:rPr>
        <w:t>详见附件：商务条款偏离表.docx</w:t>
      </w:r>
    </w:p>
    <w:p>
      <w:pPr>
        <w:pStyle w:val="null3"/>
        <w:ind w:firstLine="960"/>
      </w:pPr>
      <w:r>
        <w:rPr>
          <w:rFonts w:ascii="仿宋_GB2312" w:hAnsi="仿宋_GB2312" w:cs="仿宋_GB2312" w:eastAsia="仿宋_GB2312"/>
        </w:rPr>
        <w:t>详见附件：供应商承诺书.docx</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详见附件：其它资料.docx</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详见附件：开标一览表（总）.docx</w:t>
      </w:r>
    </w:p>
    <w:p>
      <w:pPr>
        <w:pStyle w:val="null3"/>
        <w:ind w:firstLine="960"/>
      </w:pPr>
      <w:r>
        <w:rPr>
          <w:rFonts w:ascii="仿宋_GB2312" w:hAnsi="仿宋_GB2312" w:cs="仿宋_GB2312" w:eastAsia="仿宋_GB2312"/>
        </w:rPr>
        <w:t>详见附件：分项报价表（3包）.docx</w:t>
      </w:r>
    </w:p>
    <w:p>
      <w:pPr>
        <w:pStyle w:val="null3"/>
        <w:ind w:firstLine="960"/>
      </w:pPr>
      <w:r>
        <w:rPr>
          <w:rFonts w:ascii="仿宋_GB2312" w:hAnsi="仿宋_GB2312" w:cs="仿宋_GB2312" w:eastAsia="仿宋_GB2312"/>
        </w:rPr>
        <w:t>详见附件：投标方案说明书.docx</w:t>
      </w:r>
    </w:p>
    <w:p>
      <w:pPr>
        <w:pStyle w:val="null3"/>
        <w:ind w:firstLine="960"/>
      </w:pPr>
      <w:r>
        <w:rPr>
          <w:rFonts w:ascii="仿宋_GB2312" w:hAnsi="仿宋_GB2312" w:cs="仿宋_GB2312" w:eastAsia="仿宋_GB2312"/>
        </w:rPr>
        <w:t>详见附件：商务条款偏离表.docx</w:t>
      </w:r>
    </w:p>
    <w:p>
      <w:pPr>
        <w:pStyle w:val="null3"/>
        <w:ind w:firstLine="960"/>
      </w:pPr>
      <w:r>
        <w:rPr>
          <w:rFonts w:ascii="仿宋_GB2312" w:hAnsi="仿宋_GB2312" w:cs="仿宋_GB2312" w:eastAsia="仿宋_GB2312"/>
        </w:rPr>
        <w:t>详见附件：供应商承诺书.docx</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详见附件：其它资料.docx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详见附件：合同文本.docx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28" Target="media/image23.png" Type="http://schemas.openxmlformats.org/officeDocument/2006/relationships/image"/><Relationship Id="rId29" Target="media/image24.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