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8F23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outlineLvl w:val="1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"/>
        </w:rPr>
        <w:t>其它资料</w:t>
      </w:r>
    </w:p>
    <w:p w14:paraId="37E387CD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</w:p>
    <w:p w14:paraId="3D85ED82">
      <w:pPr>
        <w:pStyle w:val="3"/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480" w:lineRule="auto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bCs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000000"/>
          <w:kern w:val="2"/>
          <w:sz w:val="20"/>
          <w:szCs w:val="20"/>
          <w:lang w:val="en-US" w:eastAsia="zh-CN" w:bidi="ar"/>
        </w:rPr>
        <w:t>1、</w:t>
      </w:r>
      <w:r>
        <w:rPr>
          <w:rFonts w:hint="eastAsia" w:ascii="宋体" w:hAnsi="宋体" w:eastAsia="宋体" w:cs="宋体"/>
          <w:bCs/>
          <w:kern w:val="2"/>
          <w:sz w:val="20"/>
          <w:szCs w:val="20"/>
          <w:highlight w:val="none"/>
          <w:lang w:val="en-US" w:eastAsia="zh-CN" w:bidi="ar"/>
        </w:rPr>
        <w:t>基本存款账户开户许可证（基本存款账户信息）。</w:t>
      </w:r>
    </w:p>
    <w:p w14:paraId="64752991">
      <w:pPr>
        <w:pStyle w:val="3"/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480" w:lineRule="auto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snapToGrid w:val="0"/>
          <w:color w:val="000000"/>
          <w:kern w:val="2"/>
          <w:sz w:val="20"/>
          <w:szCs w:val="20"/>
          <w:lang w:val="en-US" w:eastAsia="zh-CN" w:bidi="ar"/>
        </w:rPr>
      </w:pPr>
    </w:p>
    <w:p w14:paraId="19F21C08">
      <w:pPr>
        <w:pStyle w:val="3"/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480" w:lineRule="auto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2"/>
          <w:sz w:val="20"/>
          <w:szCs w:val="20"/>
          <w:lang w:val="en-US" w:eastAsia="zh-CN" w:bidi="ar"/>
        </w:rPr>
        <w:t>2、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依据招标文件要求，供应商认为有必要说明的其他内容（若有）。</w:t>
      </w:r>
    </w:p>
    <w:p w14:paraId="5528C23D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106A87B1"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3、其他可以证明供应商实力的文件（若有）。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1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hAnsi="Arial" w:eastAsia="楷体_GB2312"/>
      <w:sz w:val="28"/>
      <w:szCs w:val="2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2026-05-13T01:37:30Z</dcterms:created>
  <dc:creator>Administrator</dc:creator>
  <cp:lastModifiedBy>华夏国际-招标部</cp:lastModifiedBy>
  <dcterms:modified xsi:type="dcterms:W3CDTF">2026-05-13T01:37:37Z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BF7A51868EE04BD2A3E2253257465393_12</vt:lpwstr>
  </property>
</Properties>
</file>