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8F7B15">
      <w:pPr>
        <w:pStyle w:val="4"/>
        <w:rPr>
          <w:rFonts w:hint="default" w:eastAsia="仿宋_GB2312"/>
          <w:lang w:eastAsia="zh-CN"/>
        </w:rPr>
      </w:pPr>
      <w:r>
        <w:rPr>
          <w:rFonts w:ascii="仿宋_GB2312" w:hAnsi="仿宋_GB2312" w:eastAsia="仿宋_GB2312" w:cs="仿宋_GB2312"/>
        </w:rPr>
        <w:t>标的名称：</w:t>
      </w:r>
      <w:r>
        <w:rPr>
          <w:rFonts w:ascii="Times New Roman" w:hAnsi="Times New Roman" w:eastAsia="仿宋_GB2312" w:cs="Times New Roman"/>
          <w:lang w:eastAsia="zh-CN"/>
        </w:rPr>
        <w:t>真三轴煤与瓦斯突出模拟装置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784"/>
        <w:gridCol w:w="7122"/>
      </w:tblGrid>
      <w:tr w14:paraId="783B17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6" w:type="dxa"/>
          </w:tcPr>
          <w:p w14:paraId="42B8B4F9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序号</w:t>
            </w:r>
          </w:p>
        </w:tc>
        <w:tc>
          <w:tcPr>
            <w:tcW w:w="784" w:type="dxa"/>
          </w:tcPr>
          <w:p w14:paraId="10FBDE66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参数性质</w:t>
            </w:r>
          </w:p>
        </w:tc>
        <w:tc>
          <w:tcPr>
            <w:tcW w:w="7122" w:type="dxa"/>
          </w:tcPr>
          <w:p w14:paraId="3E1730B4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技术参数与性能指标</w:t>
            </w:r>
          </w:p>
        </w:tc>
      </w:tr>
      <w:tr w14:paraId="6CE2B3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1" w:hRule="atLeast"/>
        </w:trPr>
        <w:tc>
          <w:tcPr>
            <w:tcW w:w="616" w:type="dxa"/>
            <w:shd w:val="clear" w:color="auto" w:fill="auto"/>
            <w:vAlign w:val="center"/>
          </w:tcPr>
          <w:p w14:paraId="30E68C66">
            <w:pPr>
              <w:widowControl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84" w:type="dxa"/>
            <w:shd w:val="clear" w:color="auto" w:fill="auto"/>
            <w:vAlign w:val="center"/>
          </w:tcPr>
          <w:p w14:paraId="4D748DE8">
            <w:pPr>
              <w:widowControl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22" w:type="dxa"/>
            <w:shd w:val="clear" w:color="auto" w:fill="auto"/>
            <w:vAlign w:val="center"/>
          </w:tcPr>
          <w:p w14:paraId="7B88F325">
            <w:pPr>
              <w:widowControl/>
              <w:jc w:val="left"/>
              <w:rPr>
                <w:rFonts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系统总体要求</w:t>
            </w:r>
          </w:p>
          <w:p w14:paraId="7C4C5556">
            <w:pPr>
              <w:spacing w:line="276" w:lineRule="auto"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★1.1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试件尺寸：200mm×200mm×200mm，300mm×300mm×300mm，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400mm×400mm×400mm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，三向应力：水平方向分三层等分加载，层间应力差≤10.0MPa（精度：≤0.1MPa）；三向油缸加载吨位≥1000T</w:t>
            </w:r>
          </w:p>
          <w:p w14:paraId="3DE6188C">
            <w:pPr>
              <w:spacing w:line="276" w:lineRule="auto"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▲1.2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流量：0.01～15000mL/min（精度：≤0.01ml）</w:t>
            </w:r>
          </w:p>
          <w:p w14:paraId="26A5147B">
            <w:pPr>
              <w:spacing w:line="360" w:lineRule="auto"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▲1.3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控制压力：0~100.0MPa连续可控，精度≤±0.1MPa；升压速率：≥（0~10MPa/min）升压稳定度≤0.01MPa/8h</w:t>
            </w:r>
          </w:p>
          <w:p w14:paraId="72718B5C">
            <w:pPr>
              <w:spacing w:line="360" w:lineRule="auto"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1.4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控制：具备流量交互功能、压力预增功能、阀门预开功能；</w:t>
            </w:r>
          </w:p>
        </w:tc>
      </w:tr>
      <w:tr w14:paraId="75E3F5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6" w:type="dxa"/>
            <w:shd w:val="clear" w:color="auto" w:fill="auto"/>
            <w:vAlign w:val="center"/>
          </w:tcPr>
          <w:p w14:paraId="06DD7594">
            <w:pPr>
              <w:widowControl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84" w:type="dxa"/>
            <w:shd w:val="clear" w:color="auto" w:fill="auto"/>
            <w:vAlign w:val="center"/>
          </w:tcPr>
          <w:p w14:paraId="1003AA7F">
            <w:pPr>
              <w:widowControl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22" w:type="dxa"/>
            <w:shd w:val="clear" w:color="auto" w:fill="auto"/>
            <w:vAlign w:val="center"/>
          </w:tcPr>
          <w:p w14:paraId="36B0FB6C">
            <w:pPr>
              <w:widowControl/>
              <w:jc w:val="left"/>
              <w:rPr>
                <w:rFonts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核心单元技术要求</w:t>
            </w:r>
          </w:p>
          <w:p w14:paraId="5ABB3A54">
            <w:pPr>
              <w:widowControl/>
              <w:jc w:val="left"/>
              <w:rPr>
                <w:rFonts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2.1压裂液注入模块（核心承压主体）</w:t>
            </w:r>
          </w:p>
          <w:p w14:paraId="6DC73A14">
            <w:pPr>
              <w:widowControl/>
              <w:jc w:val="left"/>
              <w:rPr>
                <w:rFonts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▲2.1.1适应三种规格煤岩都需实现渗流功能，且渗流压力：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≥100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MPa；</w:t>
            </w:r>
          </w:p>
          <w:p w14:paraId="34646BD3">
            <w:pPr>
              <w:widowControl/>
              <w:jc w:val="left"/>
              <w:rPr>
                <w:rFonts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2.1.2渗流方式：采用封闭式框架、胶套式；</w:t>
            </w:r>
          </w:p>
          <w:p w14:paraId="587A03D2">
            <w:pPr>
              <w:widowControl/>
              <w:jc w:val="left"/>
              <w:rPr>
                <w:rFonts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▲2.1.3回压泵：工作压力≥100.0MPa，具备自动恒流模式、恒压模式和手动进液/退液模式等工作模式。流量控制范围0.1～50mL/min，流量控制误差≤±0.001mL/min；</w:t>
            </w:r>
          </w:p>
          <w:p w14:paraId="271C4244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▲2.1.4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出口计量系统：具备分离筒、液位探测器、液位控制器等部分组成，计量综合误差≤±0.1%FS，体积计量误差≤±0.05mL；</w:t>
            </w:r>
          </w:p>
          <w:p w14:paraId="5D95CFD3">
            <w:pPr>
              <w:widowControl/>
              <w:jc w:val="left"/>
              <w:rPr>
                <w:rFonts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2.2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高刚度加载框架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（核心承压主体）</w:t>
            </w:r>
          </w:p>
          <w:p w14:paraId="2966D0A1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★2.2.1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主结构：柱+承载板模式，符合按照国际岩石力学学会和ASTM标准框架要求，刚度≥15GN/m；三向应力加载釜采用高强度合金钢材质，投标人应提供所投设备厂家特种设备生产许可证(包含D级及以上压力容器特种设备生产许可)；</w:t>
            </w:r>
          </w:p>
          <w:p w14:paraId="5091A27F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2.2.2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底座：多功能合金底座在平台上可以自由拖动，具有限位装置，底座预留加热接口和声学电阻率接头；</w:t>
            </w:r>
          </w:p>
          <w:p w14:paraId="2343BF8A">
            <w:pPr>
              <w:widowControl/>
              <w:jc w:val="left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2.3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CO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vertAlign w:val="subscript"/>
              </w:rPr>
              <w:t>2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压裂、携砂压裂模块</w:t>
            </w:r>
          </w:p>
          <w:p w14:paraId="274A80B9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▲2.3.1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注入泵：最大流量≥100mL/min，最大压力≥150.0MPa，耐腐蚀材质；</w:t>
            </w:r>
          </w:p>
          <w:p w14:paraId="53B1F5B8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2.3.2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流量计量装置：注入流程带流量计量装置，测量误差≤±0.1mL/min；</w:t>
            </w:r>
          </w:p>
          <w:p w14:paraId="6D10F786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▲2.3.3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恒温控温系统：具备控制加热温度功能，控温范围：（室温～150℃)；控温误差≤±0.2℃；升温速率：≥（0~1℃/min），温度稳定度≤1℃/8h;</w:t>
            </w:r>
          </w:p>
          <w:p w14:paraId="5A5C8E01">
            <w:pPr>
              <w:widowControl/>
              <w:jc w:val="left"/>
              <w:rPr>
                <w:rFonts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★2.3.4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中间活塞容器：容积2000mL，耐压120MPa，材质2205，耐酸性水溶液腐蚀；</w:t>
            </w: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投标人应提供所投设备厂家特种设备生产许可证(包含D级及以上压力容器特种设备生产许可)；</w:t>
            </w:r>
          </w:p>
          <w:p w14:paraId="31F30000">
            <w:pPr>
              <w:widowControl/>
              <w:jc w:val="left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2.4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实验数据采集模块</w:t>
            </w:r>
          </w:p>
          <w:p w14:paraId="10B29029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2.4.1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压力传感器：测量压力120.0MPa，精度≤±0.1MPa；</w:t>
            </w:r>
          </w:p>
          <w:p w14:paraId="69B48488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▲2.4.2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位移传感器：测量误差≤±1μm；</w:t>
            </w:r>
          </w:p>
          <w:p w14:paraId="60A2EB3F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2.4.3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温度传感器：测量范围:室温～150℃，精度≤±0.2℃；</w:t>
            </w:r>
          </w:p>
          <w:p w14:paraId="1211EF82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2.4.4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伺服阀：电磁伺服模式，采用比例控制流量、压力或力控制高动态响应系统；</w:t>
            </w:r>
          </w:p>
          <w:p w14:paraId="5E803EE6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2.4.5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数据采集和控制柜：将应力加载模块、定量供液与压裂模拟模块、液体压力输出模块、数据采集装置集成一体控制柜，通过面板进行操作。控制柜设置紧急制动锁，在出现仪器加载失控等紧急 情况下可快速关闭仪器，切断压力供给，自动卸载压力；配数据显示终端（≥27英寸），嵌入式安装；</w:t>
            </w:r>
          </w:p>
          <w:p w14:paraId="55BCB052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2.4.6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数据解释处理软件：可实现压力、温度、流量等数据的采集、储存、实时处理 和实验后详细分析处理；能够根据需要实现曲线图等的绘制和显示；能够获取图中任意点的参数值，能够将整体参数值以纯文本形式输出；适配国产操作系统；</w:t>
            </w:r>
          </w:p>
          <w:p w14:paraId="00F50C13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2.4.7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远程控制功能：具备实时监测及远程控制功能数据采集软件；</w:t>
            </w:r>
          </w:p>
          <w:p w14:paraId="264CA302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2.4.8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数据处理单元：≥8个性能核、12个能效核、5.6GHz，≥64G内存、≥4G专业图形卡、≥512固态硬盘+4T机械硬盘，64位操作系统；</w:t>
            </w:r>
          </w:p>
          <w:p w14:paraId="605173F2">
            <w:pPr>
              <w:widowControl/>
              <w:jc w:val="left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2.5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裂缝监测模块</w:t>
            </w:r>
          </w:p>
          <w:p w14:paraId="76E2DCDF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▲2.5.1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声发射监测系统：三轴加载配备16通道采集接口，接口屏蔽处理，另配备备用通道1个，具备用于任意波发射功能；配备相应的声发射解释处理软件；</w:t>
            </w:r>
          </w:p>
          <w:p w14:paraId="0F710908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★2.5.2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光纤光栅监测系统：包括10套测压/变形探头、1套光纤信号解调器、光纤线40米、高压光纤引出接头、光纤熔融器等；采集频率：1-100HZ；</w:t>
            </w:r>
          </w:p>
          <w:p w14:paraId="40215CA6">
            <w:pPr>
              <w:widowControl/>
              <w:jc w:val="left"/>
              <w:rPr>
                <w:rFonts w:ascii="仿宋" w:hAnsi="仿宋" w:eastAsia="仿宋" w:cs="仿宋"/>
                <w:b/>
                <w:bCs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</w:rPr>
              <w:t>2.6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安全控制保障模块</w:t>
            </w:r>
          </w:p>
          <w:p w14:paraId="53C7533E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2.6.1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报警保护：超温超压报警，报警温度压力可人为设定，报警同时断电保护，电接点压力表和安全阀双重安全保护控制功能；</w:t>
            </w:r>
          </w:p>
          <w:p w14:paraId="71ABC628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2.6.2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过滤器：过滤流体系统中的固体颗粒污染物，保证进入系统的流体介质纯净，保护系统控制阀门，过滤固体直径≤10μm；</w:t>
            </w:r>
          </w:p>
          <w:p w14:paraId="52C455E3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2.6.3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管阀件：耐压≥200.0MPa；</w:t>
            </w:r>
          </w:p>
          <w:p w14:paraId="72843ACE">
            <w:pPr>
              <w:widowControl/>
              <w:jc w:val="left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▲2.6.4安全参数：100MPa高压安全阀、爆破片、超压自动报警泄压。</w:t>
            </w:r>
          </w:p>
        </w:tc>
      </w:tr>
    </w:tbl>
    <w:p w14:paraId="7DA13DF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B07076"/>
    <w:rsid w:val="71B0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2026-08-12T09:42:00Z</dcterms:created>
  <dc:creator>833</dc:creator>
  <cp:lastModifiedBy>833</cp:lastModifiedBy>
  <dcterms:modified xsi:type="dcterms:W3CDTF">2026-08-12T09:42:57Z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B4F33A96BB714EC2A896545AA9C801BD_11</vt:lpwstr>
  </property>
  <property fmtid="{D5CDD505-2E9C-101B-9397-08002B2CF9AE}" pid="4" name="KSOTemplateDocerSaveRecord">
    <vt:lpwstr>eyJoZGlkIjoiNTI1OGU5NzEwNjlmOTA0NzYwMTIyZGJlNThjMzMxOGYiLCJ1c2VySWQiOiI0NTE5NDQwNTQifQ==</vt:lpwstr>
  </property>
</Properties>
</file>