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版本号：JQ-ZFCG-20260520260715001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消防改造项目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JQ-ZFCG-202605</w:t>
      </w:r>
      <w:r>
        <w:br/>
      </w:r>
      <w:r>
        <w:br/>
      </w:r>
      <w:r>
        <w:br/>
      </w:r>
    </w:p>
    <w:p>
      <w:pPr>
        <w:pStyle w:val="null3"/>
        <w:jc w:val="center"/>
        <w:outlineLvl w:val="2"/>
      </w:pPr>
      <w:r>
        <w:rPr>
          <w:rFonts w:ascii="仿宋_GB2312" w:hAnsi="仿宋_GB2312" w:cs="仿宋_GB2312" w:eastAsia="仿宋_GB2312"/>
          <w:sz w:val="28"/>
          <w:b/>
        </w:rPr>
        <w:t>富平县八里店骨伤医院</w:t>
      </w:r>
    </w:p>
    <w:p>
      <w:pPr>
        <w:pStyle w:val="null3"/>
        <w:jc w:val="center"/>
        <w:outlineLvl w:val="2"/>
      </w:pPr>
      <w:r>
        <w:rPr>
          <w:rFonts w:ascii="仿宋_GB2312" w:hAnsi="仿宋_GB2312" w:cs="仿宋_GB2312" w:eastAsia="仿宋_GB2312"/>
          <w:sz w:val="28"/>
          <w:b/>
        </w:rPr>
        <w:t>泾清项目管理有限公司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泾清项目管理有限公司</w:t>
      </w:r>
      <w:r>
        <w:rPr>
          <w:rFonts w:ascii="仿宋_GB2312" w:hAnsi="仿宋_GB2312" w:cs="仿宋_GB2312" w:eastAsia="仿宋_GB2312"/>
        </w:rPr>
        <w:t>（以下简称“代理机构”）受</w:t>
      </w:r>
      <w:r>
        <w:rPr>
          <w:rFonts w:ascii="仿宋_GB2312" w:hAnsi="仿宋_GB2312" w:cs="仿宋_GB2312" w:eastAsia="仿宋_GB2312"/>
        </w:rPr>
        <w:t>富平县八里店骨伤医院</w:t>
      </w:r>
      <w:r>
        <w:rPr>
          <w:rFonts w:ascii="仿宋_GB2312" w:hAnsi="仿宋_GB2312" w:cs="仿宋_GB2312" w:eastAsia="仿宋_GB2312"/>
        </w:rPr>
        <w:t>委托，拟对</w:t>
      </w:r>
      <w:r>
        <w:rPr>
          <w:rFonts w:ascii="仿宋_GB2312" w:hAnsi="仿宋_GB2312" w:cs="仿宋_GB2312" w:eastAsia="仿宋_GB2312"/>
        </w:rPr>
        <w:t>消防改造项目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JQ-ZFCG-202605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消防改造项目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新建室外消防水池169.29㎡一座，水泵房、发电机一座及配套的消防给排水，电工安装工程等（详见工程量清单）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采购包1（富平县八里店骨伤医院消防改造项目）：属于专门面向中小企业采购。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1、具有独立承担民事责任能力的法人、其他组织或自然人：提供合法有效年报合格的统一社会信用代码营业执照或事业单位法人证书等国家规定的相关证明，自然人参与的提供其身份证明；</w:t>
      </w:r>
    </w:p>
    <w:p>
      <w:pPr>
        <w:pStyle w:val="null3"/>
      </w:pPr>
      <w:r>
        <w:rPr>
          <w:rFonts w:ascii="仿宋_GB2312" w:hAnsi="仿宋_GB2312" w:cs="仿宋_GB2312" w:eastAsia="仿宋_GB2312"/>
        </w:rPr>
        <w:t>2、资质证书：需具有建设行政主管部门核发的消防设施工程专业承包二级及以上或建筑工程施工总承包三级及以上资质；</w:t>
      </w:r>
    </w:p>
    <w:p>
      <w:pPr>
        <w:pStyle w:val="null3"/>
      </w:pPr>
      <w:r>
        <w:rPr>
          <w:rFonts w:ascii="仿宋_GB2312" w:hAnsi="仿宋_GB2312" w:cs="仿宋_GB2312" w:eastAsia="仿宋_GB2312"/>
        </w:rPr>
        <w:t>3、安全生产许可证：须具有建设行政主管部门核发有效的安全生产许可证；</w:t>
      </w:r>
    </w:p>
    <w:p>
      <w:pPr>
        <w:pStyle w:val="null3"/>
      </w:pPr>
      <w:r>
        <w:rPr>
          <w:rFonts w:ascii="仿宋_GB2312" w:hAnsi="仿宋_GB2312" w:cs="仿宋_GB2312" w:eastAsia="仿宋_GB2312"/>
        </w:rPr>
        <w:t>4、项目经理：拟派项目经理须具备机电工程专业或建筑工程专业二级及以上（含二级）注册建造师执业资格和有效的安全生产考核合格证书；（可提供证书复印件或有可识别的二维码证书复印件并加盖公章），且无在建工程（须提供无在建工程的相关证明材料或承诺书）；</w:t>
      </w:r>
    </w:p>
    <w:p>
      <w:pPr>
        <w:pStyle w:val="null3"/>
      </w:pPr>
      <w:r>
        <w:rPr>
          <w:rFonts w:ascii="仿宋_GB2312" w:hAnsi="仿宋_GB2312" w:cs="仿宋_GB2312" w:eastAsia="仿宋_GB2312"/>
        </w:rPr>
        <w:t>5、财务报告：须提供2024年至今任意一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p>
      <w:pPr>
        <w:pStyle w:val="null3"/>
      </w:pPr>
      <w:r>
        <w:rPr>
          <w:rFonts w:ascii="仿宋_GB2312" w:hAnsi="仿宋_GB2312" w:cs="仿宋_GB2312" w:eastAsia="仿宋_GB2312"/>
        </w:rPr>
        <w:t>6、税收的良好记录：须提供依法缴纳税收的良好记录（提供投标截止时间前六个月内任意一个月份的缴纳凭据复印件并加盖单位公章，依法免税或开标前一年内零申报的供应商应提供相关证明文件）；</w:t>
      </w:r>
    </w:p>
    <w:p>
      <w:pPr>
        <w:pStyle w:val="null3"/>
      </w:pPr>
      <w:r>
        <w:rPr>
          <w:rFonts w:ascii="仿宋_GB2312" w:hAnsi="仿宋_GB2312" w:cs="仿宋_GB2312" w:eastAsia="仿宋_GB2312"/>
        </w:rPr>
        <w:t>7、社会保障资金的良好记录：须提供依法缴纳社会保障资金的良好记录（提供投标截止时间前六个月内任意一个月份的缴纳凭据复印件并加盖单位公章）；</w:t>
      </w:r>
    </w:p>
    <w:p>
      <w:pPr>
        <w:pStyle w:val="null3"/>
      </w:pPr>
      <w:r>
        <w:rPr>
          <w:rFonts w:ascii="仿宋_GB2312" w:hAnsi="仿宋_GB2312" w:cs="仿宋_GB2312" w:eastAsia="仿宋_GB2312"/>
        </w:rPr>
        <w:t>8、网站截图：投标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p>
    <w:p>
      <w:pPr>
        <w:pStyle w:val="null3"/>
      </w:pPr>
      <w:r>
        <w:rPr>
          <w:rFonts w:ascii="仿宋_GB2312" w:hAnsi="仿宋_GB2312" w:cs="仿宋_GB2312" w:eastAsia="仿宋_GB2312"/>
        </w:rPr>
        <w:t>9、书面声明：提供近三年内在经营活动中无重大违法记录的书面声明；</w:t>
      </w:r>
    </w:p>
    <w:p>
      <w:pPr>
        <w:pStyle w:val="null3"/>
      </w:pPr>
      <w:r>
        <w:rPr>
          <w:rFonts w:ascii="仿宋_GB2312" w:hAnsi="仿宋_GB2312" w:cs="仿宋_GB2312" w:eastAsia="仿宋_GB2312"/>
        </w:rPr>
        <w:t>10、保证金转账凭证或保函复印件：提供磋商保证金银行转账凭证及基本账户信息证明资料复印件或金融机构、担保机构出具的保函复印件，复印件均须加盖公章；</w:t>
      </w:r>
    </w:p>
    <w:p>
      <w:pPr>
        <w:pStyle w:val="null3"/>
      </w:pPr>
      <w:r>
        <w:rPr>
          <w:rFonts w:ascii="仿宋_GB2312" w:hAnsi="仿宋_GB2312" w:cs="仿宋_GB2312" w:eastAsia="仿宋_GB2312"/>
        </w:rPr>
        <w:t>11、书面声明：提供单位负责人为同一人或者存在直接控股、管理关系的不同供应商，不得参加同一合同项下的政府采购活动的书面声明；</w:t>
      </w:r>
    </w:p>
    <w:p>
      <w:pPr>
        <w:pStyle w:val="null3"/>
      </w:pPr>
      <w:r>
        <w:rPr>
          <w:rFonts w:ascii="仿宋_GB2312" w:hAnsi="仿宋_GB2312" w:cs="仿宋_GB2312" w:eastAsia="仿宋_GB2312"/>
        </w:rPr>
        <w:t>12、履行本合同所必需的设备和专业技术能力的说明及承诺：提供具有履行本合同所必需的设备和专业技术能力的说明及承诺。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富平县八里店骨伤医院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富平县频阳大道29号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711700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富平县八里店骨伤医院经办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0913-8231966</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泾清项目管理有限公司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陕西省西安市高陵区东环路土地局家属院2幢6号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710200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许倩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19992553727</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富平县政府采购管理股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0913-8221145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开户名称：泾清项目管理有限公司富平分公司</w:t>
            </w:r>
          </w:p>
          <w:p>
            <w:pPr>
              <w:pStyle w:val="null3"/>
            </w:pPr>
            <w:r>
              <w:rPr>
                <w:rFonts w:ascii="仿宋_GB2312" w:hAnsi="仿宋_GB2312" w:cs="仿宋_GB2312" w:eastAsia="仿宋_GB2312"/>
              </w:rPr>
              <w:t>开户银行：中国建设银行股份有限公司富平县支行</w:t>
            </w:r>
          </w:p>
          <w:p>
            <w:pPr>
              <w:pStyle w:val="null3"/>
            </w:pPr>
            <w:r>
              <w:rPr>
                <w:rFonts w:ascii="仿宋_GB2312" w:hAnsi="仿宋_GB2312" w:cs="仿宋_GB2312" w:eastAsia="仿宋_GB2312"/>
              </w:rPr>
              <w:t>银行账号：61050164830800002007</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费参照国家计委关于印发《《招标代理服务收费管理暂行办法》的通知（计价格〔2002〕1980号）、《国家发展和改革委员会办公厅关于招标代理服务收费有关问题的通知》（发改办价格〔2003〕857号）文件规定，由中标单位支付。</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富平县八里店骨伤医院</w:t>
      </w:r>
      <w:r>
        <w:rPr>
          <w:rFonts w:ascii="仿宋_GB2312" w:hAnsi="仿宋_GB2312" w:cs="仿宋_GB2312" w:eastAsia="仿宋_GB2312"/>
        </w:rPr>
        <w:t>和</w:t>
      </w:r>
      <w:r>
        <w:rPr>
          <w:rFonts w:ascii="仿宋_GB2312" w:hAnsi="仿宋_GB2312" w:cs="仿宋_GB2312" w:eastAsia="仿宋_GB2312"/>
        </w:rPr>
        <w:t>泾清项目管理有限公司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富平县八里店骨伤医院</w:t>
      </w:r>
      <w:r>
        <w:rPr>
          <w:rFonts w:ascii="仿宋_GB2312" w:hAnsi="仿宋_GB2312" w:cs="仿宋_GB2312" w:eastAsia="仿宋_GB2312"/>
        </w:rPr>
        <w:t>负责解释。除上述磋商文件内容，其他内容由</w:t>
      </w:r>
      <w:r>
        <w:rPr>
          <w:rFonts w:ascii="仿宋_GB2312" w:hAnsi="仿宋_GB2312" w:cs="仿宋_GB2312" w:eastAsia="仿宋_GB2312"/>
        </w:rPr>
        <w:t>泾清项目管理有限公司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富平县八里店骨伤医院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泾清项目管理有限公司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在签订施工合同时另行约定</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详见响应文件及合同约定内容</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泾清项目管理有限公司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泾清项目管理有限公司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联系人：许倩</w:t>
      </w:r>
    </w:p>
    <w:p>
      <w:pPr>
        <w:pStyle w:val="null3"/>
      </w:pPr>
      <w:r>
        <w:rPr>
          <w:rFonts w:ascii="仿宋_GB2312" w:hAnsi="仿宋_GB2312" w:cs="仿宋_GB2312" w:eastAsia="仿宋_GB2312"/>
        </w:rPr>
        <w:t>联系电话：19992553727</w:t>
      </w:r>
    </w:p>
    <w:p>
      <w:pPr>
        <w:pStyle w:val="null3"/>
      </w:pPr>
      <w:r>
        <w:rPr>
          <w:rFonts w:ascii="仿宋_GB2312" w:hAnsi="仿宋_GB2312" w:cs="仿宋_GB2312" w:eastAsia="仿宋_GB2312"/>
        </w:rPr>
        <w:t>地址：陕西省西安市高陵区东环路土地局家属院2幢6号</w:t>
      </w:r>
    </w:p>
    <w:p>
      <w:pPr>
        <w:pStyle w:val="null3"/>
      </w:pPr>
      <w:r>
        <w:rPr>
          <w:rFonts w:ascii="仿宋_GB2312" w:hAnsi="仿宋_GB2312" w:cs="仿宋_GB2312" w:eastAsia="仿宋_GB2312"/>
        </w:rPr>
        <w:t>邮编：710200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1,199,081.16</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富平县八里店骨伤医院消防改造项目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1,200,000.00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标的名称：富平县八里店骨伤医院消防改造项目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16"/>
              </w:rPr>
              <w:t>1、项目名称：消防改造项目</w:t>
            </w:r>
          </w:p>
          <w:p>
            <w:pPr>
              <w:pStyle w:val="null3"/>
            </w:pPr>
            <w:r>
              <w:rPr>
                <w:rFonts w:ascii="仿宋_GB2312" w:hAnsi="仿宋_GB2312" w:cs="仿宋_GB2312" w:eastAsia="仿宋_GB2312"/>
                <w:sz w:val="16"/>
              </w:rPr>
              <w:t>2、工期：30日历天</w:t>
            </w:r>
            <w:r>
              <w:rPr>
                <w:rFonts w:ascii="仿宋_GB2312" w:hAnsi="仿宋_GB2312" w:cs="仿宋_GB2312" w:eastAsia="仿宋_GB2312"/>
                <w:sz w:val="16"/>
              </w:rPr>
              <w:t>（具体起止日期以合同签订时间为准）</w:t>
            </w:r>
          </w:p>
          <w:p>
            <w:pPr>
              <w:pStyle w:val="null3"/>
            </w:pPr>
            <w:r>
              <w:rPr>
                <w:rFonts w:ascii="仿宋_GB2312" w:hAnsi="仿宋_GB2312" w:cs="仿宋_GB2312" w:eastAsia="仿宋_GB2312"/>
                <w:sz w:val="16"/>
              </w:rPr>
              <w:t>3、合同履约地址：甲方指定地点</w:t>
            </w:r>
          </w:p>
          <w:p>
            <w:pPr>
              <w:pStyle w:val="null3"/>
            </w:pPr>
            <w:r>
              <w:rPr>
                <w:rFonts w:ascii="仿宋_GB2312" w:hAnsi="仿宋_GB2312" w:cs="仿宋_GB2312" w:eastAsia="仿宋_GB2312"/>
                <w:sz w:val="16"/>
              </w:rPr>
              <w:t>4、工程质量：合格</w:t>
            </w:r>
          </w:p>
          <w:p>
            <w:pPr>
              <w:pStyle w:val="null3"/>
            </w:pPr>
            <w:r>
              <w:rPr>
                <w:rFonts w:ascii="仿宋_GB2312" w:hAnsi="仿宋_GB2312" w:cs="仿宋_GB2312" w:eastAsia="仿宋_GB2312"/>
                <w:sz w:val="16"/>
              </w:rPr>
              <w:t>5、项目内容：</w:t>
            </w:r>
            <w:r>
              <w:rPr>
                <w:rFonts w:ascii="仿宋_GB2312" w:hAnsi="仿宋_GB2312" w:cs="仿宋_GB2312" w:eastAsia="仿宋_GB2312"/>
                <w:sz w:val="16"/>
              </w:rPr>
              <w:t>新建室外消防水池</w:t>
            </w:r>
            <w:r>
              <w:rPr>
                <w:rFonts w:ascii="仿宋_GB2312" w:hAnsi="仿宋_GB2312" w:cs="仿宋_GB2312" w:eastAsia="仿宋_GB2312"/>
                <w:sz w:val="16"/>
              </w:rPr>
              <w:t>169.29㎡一座，水泵房一座、发电机房一座，及配套的消防给排水，电气安装工程（详见工程量清单）。</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6"/>
                <w:color w:val="000000"/>
              </w:rPr>
              <w:t>1、项目质量验收评定达到合格；</w:t>
            </w:r>
          </w:p>
          <w:p>
            <w:pPr>
              <w:pStyle w:val="null3"/>
            </w:pPr>
            <w:r>
              <w:rPr>
                <w:rFonts w:ascii="仿宋_GB2312" w:hAnsi="仿宋_GB2312" w:cs="仿宋_GB2312" w:eastAsia="仿宋_GB2312"/>
                <w:sz w:val="16"/>
              </w:rPr>
              <w:t>2、</w:t>
            </w:r>
            <w:r>
              <w:rPr>
                <w:rFonts w:ascii="仿宋_GB2312" w:hAnsi="仿宋_GB2312" w:cs="仿宋_GB2312" w:eastAsia="仿宋_GB2312"/>
                <w:sz w:val="16"/>
                <w:color w:val="000000"/>
              </w:rPr>
              <w:t>供应商须对本项目质量保证作出具体的文字性承诺；</w:t>
            </w:r>
          </w:p>
          <w:p>
            <w:pPr>
              <w:pStyle w:val="null3"/>
            </w:pPr>
            <w:r>
              <w:rPr>
                <w:rFonts w:ascii="仿宋_GB2312" w:hAnsi="仿宋_GB2312" w:cs="仿宋_GB2312" w:eastAsia="仿宋_GB2312"/>
                <w:sz w:val="16"/>
              </w:rPr>
              <w:t>3、完成消防合格性检测，最终顺利通过验收或消防论证。</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合格</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须提供2024年至今任意一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具有独立承担民事责任能力的法人、其他组织或自然人</w:t>
            </w:r>
          </w:p>
        </w:tc>
        <w:tc>
          <w:tcPr>
            <w:tcW w:type="dxa" w:w="3322"/>
          </w:tcPr>
          <w:p>
            <w:pPr>
              <w:pStyle w:val="null3"/>
            </w:pPr>
            <w:r>
              <w:rPr>
                <w:rFonts w:ascii="仿宋_GB2312" w:hAnsi="仿宋_GB2312" w:cs="仿宋_GB2312" w:eastAsia="仿宋_GB2312"/>
              </w:rPr>
              <w:t>提供合法有效年报合格的统一社会信用代码营业执照或事业单位法人证书等国家规定的相关证明，自然人参与的提供其身份证明；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资质证书</w:t>
            </w:r>
          </w:p>
        </w:tc>
        <w:tc>
          <w:tcPr>
            <w:tcW w:type="dxa" w:w="3322"/>
          </w:tcPr>
          <w:p>
            <w:pPr>
              <w:pStyle w:val="null3"/>
            </w:pPr>
            <w:r>
              <w:rPr>
                <w:rFonts w:ascii="仿宋_GB2312" w:hAnsi="仿宋_GB2312" w:cs="仿宋_GB2312" w:eastAsia="仿宋_GB2312"/>
              </w:rPr>
              <w:t>需具有建设行政主管部门核发的消防设施工程专业承包二级及以上或建筑工程施工总承包三级及以上资质；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安全生产许可证</w:t>
            </w:r>
          </w:p>
        </w:tc>
        <w:tc>
          <w:tcPr>
            <w:tcW w:type="dxa" w:w="3322"/>
          </w:tcPr>
          <w:p>
            <w:pPr>
              <w:pStyle w:val="null3"/>
            </w:pPr>
            <w:r>
              <w:rPr>
                <w:rFonts w:ascii="仿宋_GB2312" w:hAnsi="仿宋_GB2312" w:cs="仿宋_GB2312" w:eastAsia="仿宋_GB2312"/>
              </w:rPr>
              <w:t>须具有建设行政主管部门核发有效的安全生产许可证；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备机电工程专业或建筑工程专业二级及以上（含二级）注册建造师执业资格和有效的安全生产考核合格证书；（可提供证书复印件或有可识别的二维码证书复印件并加盖公章），且无在建工程（须提供无在建工程的相关证明材料或承诺书）；</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财务报告</w:t>
            </w:r>
          </w:p>
        </w:tc>
        <w:tc>
          <w:tcPr>
            <w:tcW w:type="dxa" w:w="3322"/>
          </w:tcPr>
          <w:p>
            <w:pPr>
              <w:pStyle w:val="null3"/>
            </w:pPr>
            <w:r>
              <w:rPr>
                <w:rFonts w:ascii="仿宋_GB2312" w:hAnsi="仿宋_GB2312" w:cs="仿宋_GB2312" w:eastAsia="仿宋_GB2312"/>
              </w:rPr>
              <w:t>须提供2024年至今任意一年经审计的财务报告，审计报告应当经过注册会计师行业统一监管平台备案赋码（成立时间至提交投标文件截止时间不足一年的可提供成立后任意时段的资产负债表），或其基本存款账户开户银行出具的资信证明及基本存款账户开户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税收的良好记录</w:t>
            </w:r>
          </w:p>
        </w:tc>
        <w:tc>
          <w:tcPr>
            <w:tcW w:type="dxa" w:w="3322"/>
          </w:tcPr>
          <w:p>
            <w:pPr>
              <w:pStyle w:val="null3"/>
            </w:pPr>
            <w:r>
              <w:rPr>
                <w:rFonts w:ascii="仿宋_GB2312" w:hAnsi="仿宋_GB2312" w:cs="仿宋_GB2312" w:eastAsia="仿宋_GB2312"/>
              </w:rPr>
              <w:t>须提供依法缴纳税收的良好记录（提供投标截止时间前六个月内任意一个月份的缴纳凭据复印件并加盖单位公章，依法免税或开标前一年内零申报的供应商应提供相关证明文件）；</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社会保障资金的良好记录</w:t>
            </w:r>
          </w:p>
        </w:tc>
        <w:tc>
          <w:tcPr>
            <w:tcW w:type="dxa" w:w="3322"/>
          </w:tcPr>
          <w:p>
            <w:pPr>
              <w:pStyle w:val="null3"/>
            </w:pPr>
            <w:r>
              <w:rPr>
                <w:rFonts w:ascii="仿宋_GB2312" w:hAnsi="仿宋_GB2312" w:cs="仿宋_GB2312" w:eastAsia="仿宋_GB2312"/>
              </w:rPr>
              <w:t>须提供依法缴纳社会保障资金的良好记录（提供投标截止时间前六个月内任意一个月份的缴纳凭据复印件并加盖单位公章）；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网站截图</w:t>
            </w:r>
          </w:p>
        </w:tc>
        <w:tc>
          <w:tcPr>
            <w:tcW w:type="dxa" w:w="3322"/>
          </w:tcPr>
          <w:p>
            <w:pPr>
              <w:pStyle w:val="null3"/>
            </w:pPr>
            <w:r>
              <w:rPr>
                <w:rFonts w:ascii="仿宋_GB2312" w:hAnsi="仿宋_GB2312" w:cs="仿宋_GB2312" w:eastAsia="仿宋_GB2312"/>
              </w:rPr>
              <w:t>投标截止日前不得为“信用中国”网站（www.creditchina.gov.cn）中列入失信被执行人、重大税收违法失信主体名单和政府采购严重违法失信名单的供应商；不得为“中国政府采购网”（www.ccgp.gov.cn）政府采购严重违法失信行为信息记录中被财政部门禁止参加政府采购活动的供应商。附网站相关截图并加盖单位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提供近三年内在经营活动中无重大违法记录的书面声明；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保证金转账凭证或保函复印件</w:t>
            </w:r>
          </w:p>
        </w:tc>
        <w:tc>
          <w:tcPr>
            <w:tcW w:type="dxa" w:w="3322"/>
          </w:tcPr>
          <w:p>
            <w:pPr>
              <w:pStyle w:val="null3"/>
            </w:pPr>
            <w:r>
              <w:rPr>
                <w:rFonts w:ascii="仿宋_GB2312" w:hAnsi="仿宋_GB2312" w:cs="仿宋_GB2312" w:eastAsia="仿宋_GB2312"/>
              </w:rPr>
              <w:t>提供磋商保证金银行转账凭证及基本账户信息证明资料复印件或金融机构、担保机构出具的保函复印件，复印件均须加盖公章；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提供单位负责人为同一人或者存在直接控股、管理关系的不同供应商，不得参加同一合同项下的政府采购活动的书面声明；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履行本合同所必需的设备和专业技术能力的说明及承诺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与营业执照一致</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其他应说明的事项.docx 残疾人福利性单位声明函 报价函 标的清单 供应商类似项目业绩一览表 响应函 主要人员简历表 陕西省政府采购供应商拒绝政府采购领域商业贿赂承诺书.docx 监狱企业的证明文件 磋商方案.docx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磋商响应文件签字、盖章</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其他应说明的事项.docx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内容无重大缺漏项，报价唯一，且不高于本项目最高限价。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其他应说明的事项.docx 报价函 标的清单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磋商响应文件有效期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报价函 标的清单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工程质量</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强制优先采购产品承诺函 响应文件封面 供应商应提交的相关资格证明材料.docx 项目管理机构组成表 其他应说明的事项.docx 残疾人福利性单位声明函 报价函 标的清单 供应商类似项目业绩一览表 响应函 主要人员简历表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质量管理体系与措施</w:t>
            </w:r>
          </w:p>
        </w:tc>
        <w:tc>
          <w:tcPr>
            <w:tcW w:type="dxa" w:w="2492"/>
          </w:tcPr>
          <w:p>
            <w:pPr>
              <w:pStyle w:val="null3"/>
            </w:pPr>
            <w:r>
              <w:rPr>
                <w:rFonts w:ascii="仿宋_GB2312" w:hAnsi="仿宋_GB2312" w:cs="仿宋_GB2312" w:eastAsia="仿宋_GB2312"/>
              </w:rPr>
              <w:t>①质量管理目标②管理机构职责分工③质量管理制度④质量保证措施。方案全面 、有效的计8 分 ，方案不完善或有缺陷（不完善或有缺陷是指：方案粗略 、逻辑混乱 、描述过于简单 、与项目特点不匹配 、凭空编造、逻辑漏洞、出现常识性错误 、套用其他项目方案、存在不可能实现的夸大情形 、存在不适用项目实际情况的情形）每项扣1分 ，方案缺漏项或只有标题没有实质性内容的每项扣2分，扣完为止。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安全管理体系与措施</w:t>
            </w:r>
          </w:p>
        </w:tc>
        <w:tc>
          <w:tcPr>
            <w:tcW w:type="dxa" w:w="2492"/>
          </w:tcPr>
          <w:p>
            <w:pPr>
              <w:pStyle w:val="null3"/>
            </w:pPr>
            <w:r>
              <w:rPr>
                <w:rFonts w:ascii="仿宋_GB2312" w:hAnsi="仿宋_GB2312" w:cs="仿宋_GB2312" w:eastAsia="仿宋_GB2312"/>
              </w:rPr>
              <w:t>①安全管理目标②安全管理机构职责分工③安全管理制度④安全保证措施 。方案全面 、有效的计8 分 ，方案不完善或有缺陷（不完善或有缺陷是指：方案粗略 、逻辑混乱 、描述过于简单 、 与项目特点不匹配 、 凭空编造 、逻辑漏洞 、 出现常识性错误 、 套用其他项目方案 、存在不可能实现的夸大情形 、 存在不适用项 目实际情况的情形）每项扣1 分 ，方案缺漏项或只有标题没有实质性内容的每项扣 2分 ，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环境保护管理体系与措施</w:t>
            </w:r>
          </w:p>
        </w:tc>
        <w:tc>
          <w:tcPr>
            <w:tcW w:type="dxa" w:w="2492"/>
          </w:tcPr>
          <w:p>
            <w:pPr>
              <w:pStyle w:val="null3"/>
            </w:pPr>
            <w:r>
              <w:rPr>
                <w:rFonts w:ascii="仿宋_GB2312" w:hAnsi="仿宋_GB2312" w:cs="仿宋_GB2312" w:eastAsia="仿宋_GB2312"/>
              </w:rPr>
              <w:t>①环境保护管理目标②环境保护管理机构 职责分工③环境保护管理制度④环境保护保证措 施 。方案合理完整的计 8 分 ，方案不完善或有缺陷 （不完善或有缺陷是指： 方案粗略 、逻辑混乱 、描述过于简单 、与项 目特点不匹配 、 凭空编造 、逻辑 漏洞 、 出现常识性错误 、套用其他项目方案 、存在不可能实现的夸大情形 、存在不适用项目实际情况 的情形）每项扣1 分 ，方案缺漏项或只有标题没有 实质性内容的每项扣 2 分 ，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w:t>
            </w:r>
          </w:p>
        </w:tc>
        <w:tc>
          <w:tcPr>
            <w:tcW w:type="dxa" w:w="2492"/>
          </w:tcPr>
          <w:p>
            <w:pPr>
              <w:pStyle w:val="null3"/>
            </w:pPr>
            <w:r>
              <w:rPr>
                <w:rFonts w:ascii="仿宋_GB2312" w:hAnsi="仿宋_GB2312" w:cs="仿宋_GB2312" w:eastAsia="仿宋_GB2312"/>
              </w:rPr>
              <w:t>①总工期及节点工期安排②施工进度计划安排③进度保证措施 ④资源保障与优化配置。方案合理完整的计 8分 ，方案不完善或有缺陷（不完善或有缺陷是指：方案粗略、逻辑混乱、描述过于简单 、与项目特点不匹配、 凭空编造 、逻辑漏洞 、 出现常识性错误 、套用其他项目方案 、存在不可能实现的夸大情形 、存在不适 用项目实际情况的情形） 每项扣 1 分 ，方案缺漏项或只有标题没有实质性内容的每项扣 2 分 ，扣完为止。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施工方案与技术措施</w:t>
            </w:r>
          </w:p>
        </w:tc>
        <w:tc>
          <w:tcPr>
            <w:tcW w:type="dxa" w:w="2492"/>
          </w:tcPr>
          <w:p>
            <w:pPr>
              <w:pStyle w:val="null3"/>
            </w:pPr>
            <w:r>
              <w:rPr>
                <w:rFonts w:ascii="仿宋_GB2312" w:hAnsi="仿宋_GB2312" w:cs="仿宋_GB2312" w:eastAsia="仿宋_GB2312"/>
              </w:rPr>
              <w:t>①对项目总体概况表述②施工部署及措施③对项 目主要及关键方案的表述④施工平面布置 。方案合理完善的计12分 ，方案不完善或有缺陷（不完善 或有缺陷是指： 方案粗略 、逻辑混乱 、描述过于简 单 、与项目特点不匹配 、凭空编造 、逻辑漏洞 、出现常识性错误 、套用其他项目方案 、存在不可能实现的夸大情形 、存在不适用项目实际情况的情形） 每项扣1 分 ，方案缺漏项或只有标题没有实质性内容的每项扣3分 ， 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资源配备计划</w:t>
            </w:r>
          </w:p>
        </w:tc>
        <w:tc>
          <w:tcPr>
            <w:tcW w:type="dxa" w:w="2492"/>
          </w:tcPr>
          <w:p>
            <w:pPr>
              <w:pStyle w:val="null3"/>
            </w:pPr>
            <w:r>
              <w:rPr>
                <w:rFonts w:ascii="仿宋_GB2312" w:hAnsi="仿宋_GB2312" w:cs="仿宋_GB2312" w:eastAsia="仿宋_GB2312"/>
              </w:rPr>
              <w:t>供应商针对本项 目制定资源配备计划包含： ①劳动力计划②主要材料供应计划③施工机械设备配备计划。方案合理完整的计 6 分 ， 方案不完善或有缺陷 （不完善或有缺陷是指：方案粗略 、逻辑混乱 、描 述过于简单 、与项目特点不匹配 、 凭空编造 、逻辑 漏洞 、 出现常识性错误 、套用其他项目方案 、存在不可能实现的夸大情形 、存在不适用项目实际情况 的情形） 每项扣 1 分 ，方案缺漏项或只有标题没有实质性内容的每项扣 2 分 ， 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施工承诺</w:t>
            </w:r>
          </w:p>
        </w:tc>
        <w:tc>
          <w:tcPr>
            <w:tcW w:type="dxa" w:w="2492"/>
          </w:tcPr>
          <w:p>
            <w:pPr>
              <w:pStyle w:val="null3"/>
            </w:pPr>
            <w:r>
              <w:rPr>
                <w:rFonts w:ascii="仿宋_GB2312" w:hAnsi="仿宋_GB2312" w:cs="仿宋_GB2312" w:eastAsia="仿宋_GB2312"/>
              </w:rPr>
              <w:t>①施工过程中的相关承诺②投入材料质量承诺③质量保修期服务承诺④服务响应时间 。服务承诺合理 、可行的计 4 分 ，方案不完善或有缺陷（不完善或有缺陷是 指 ：方案粗略 、逻辑混乱 、描述过于简单 、与项 目 特点不匹配 、 凭空编造 、逻辑漏洞 、 出现常识性错误 、套用其他项目方案 、存在不可能实现的夸大情 形 、存在不适用项目实际情况的情形） 每项扣 0.5 分 ，方案缺漏项或只有标题没有实质性内容的每项扣 1 分 ， 扣完为止。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近三年完成的类似业绩一项得2分，最多得6分（提供2023年7月1日至今类似工程；投标文件中须附类似工程业绩中标通知书或合同协议书或竣工验收证明材料复印件或扫描件，并加盖公章）。</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tc>
      </w:tr>
      <w:tr>
        <w:tc>
          <w:tcPr>
            <w:tcW w:type="dxa" w:w="831"/>
            <w:vMerge/>
          </w:tcPr>
          <w:p/>
        </w:tc>
        <w:tc>
          <w:tcPr>
            <w:tcW w:type="dxa" w:w="1661"/>
          </w:tcPr>
          <w:p>
            <w:pPr>
              <w:pStyle w:val="null3"/>
            </w:pPr>
            <w:r>
              <w:rPr>
                <w:rFonts w:ascii="仿宋_GB2312" w:hAnsi="仿宋_GB2312" w:cs="仿宋_GB2312" w:eastAsia="仿宋_GB2312"/>
              </w:rPr>
              <w:t>项目机构组成</w:t>
            </w:r>
          </w:p>
        </w:tc>
        <w:tc>
          <w:tcPr>
            <w:tcW w:type="dxa" w:w="2492"/>
          </w:tcPr>
          <w:p>
            <w:pPr>
              <w:pStyle w:val="null3"/>
            </w:pPr>
            <w:r>
              <w:rPr>
                <w:rFonts w:ascii="仿宋_GB2312" w:hAnsi="仿宋_GB2312" w:cs="仿宋_GB2312" w:eastAsia="仿宋_GB2312"/>
              </w:rPr>
              <w:t>具有五大员（质量员、安全员、施工员、材料员、资料员）上岗证书（安全员须含安全生产考核合格证）的每证得1分；有相应职称证（初级及以上均可）的每证加1分，共计10分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磋商方案.docx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5）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①评标基准价的确定：经对各供应商资格审查合格后，将有效投标（响应）价格最低的作为评标基准价，此项得满分；投标（响应）报价大于最高限价的，为无效报价，应作为无效标处理； ②根据下列公式计算出各供应商的投标（响应）报价与评标基准价的差异率。 其他供应商报价得分=(评标基准价／投标（响应）报价)×30%×100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详见附件：磋商方案.docx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详见附件：其他应说明的事项.docx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