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版本号：ZCSP-临渭区-2026-0015020260626001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2026年临渭区蔺店镇关中手工锅盔千转磨坊项目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ZCSP-临渭区-2026-00150</w:t>
      </w:r>
      <w:r>
        <w:br/>
      </w:r>
      <w:r>
        <w:br/>
      </w:r>
      <w:r>
        <w:br/>
      </w:r>
    </w:p>
    <w:p>
      <w:pPr>
        <w:pStyle w:val="null3"/>
        <w:jc w:val="center"/>
        <w:outlineLvl w:val="2"/>
      </w:pPr>
      <w:r>
        <w:rPr>
          <w:rFonts w:ascii="仿宋_GB2312" w:hAnsi="仿宋_GB2312" w:cs="仿宋_GB2312" w:eastAsia="仿宋_GB2312"/>
          <w:sz w:val="28"/>
          <w:b/>
        </w:rPr>
        <w:t>陕西省渭南市临渭区蔺店镇人民政府</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陕西省渭南市临渭区蔺店镇人民政府</w:t>
      </w:r>
      <w:r>
        <w:rPr>
          <w:rFonts w:ascii="仿宋_GB2312" w:hAnsi="仿宋_GB2312" w:cs="仿宋_GB2312" w:eastAsia="仿宋_GB2312"/>
        </w:rPr>
        <w:t>委托，拟对</w:t>
      </w:r>
      <w:r>
        <w:rPr>
          <w:rFonts w:ascii="仿宋_GB2312" w:hAnsi="仿宋_GB2312" w:cs="仿宋_GB2312" w:eastAsia="仿宋_GB2312"/>
        </w:rPr>
        <w:t>2026年临渭区蔺店镇关中手工锅盔千转磨坊项目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2026年临渭区蔺店镇关中手工锅盔千转磨坊项目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为带动当地经济发展，提高村集体经济组织收益，实施2026年临渭区蔺店镇关中手工锅盔千转磨坊项目，项目内容为新建厂房，包括生产加工车间、仓储车间、包装车间、冷库，配套室内外硬化、水电设施等。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采购包1（2026年临渭区蔺店镇关中手工锅盔千转磨坊项目）：属于专门面向中小企业采购。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1、法定代表人身份证明书或法定代表人授权委托书：法定代表人参与磋商时需提供法定代表人身份证明书；被授权人参与磋商时需提供法定代表人身份证明书及法定代表人授权委托书；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2、企业资质：供应商须具备建筑工程施工总承包三级（含三级）及以上资质，并具有有效的安全生产许可证；</w:t>
      </w:r>
    </w:p>
    <w:p>
      <w:pPr>
        <w:pStyle w:val="null3"/>
      </w:pPr>
      <w:r>
        <w:rPr>
          <w:rFonts w:ascii="仿宋_GB2312" w:hAnsi="仿宋_GB2312" w:cs="仿宋_GB2312" w:eastAsia="仿宋_GB2312"/>
        </w:rPr>
        <w:t>3、项目经理：拟派项目经理须具备建筑工程二级（含二级）及以上注册建造师执业资格，并具有有效的安全生产考核合格证，且无在建工程；</w:t>
      </w:r>
    </w:p>
    <w:p>
      <w:pPr>
        <w:pStyle w:val="null3"/>
      </w:pPr>
      <w:r>
        <w:rPr>
          <w:rFonts w:ascii="仿宋_GB2312" w:hAnsi="仿宋_GB2312" w:cs="仿宋_GB2312" w:eastAsia="仿宋_GB2312"/>
        </w:rPr>
        <w:t>4、磋商保证金交纳凭证：磋商保证金交纳凭证；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陕西省渭南市临渭区蔺店镇人民政府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渭南市临渭区蔺店镇人民政府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冯彦昊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0913-2860103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陕西省西安市高新区唐延路11号禾盛京广中心E座17层1704A室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13571518412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开户名称：华兴天成项目咨询有限公司</w:t>
            </w:r>
          </w:p>
          <w:p>
            <w:pPr>
              <w:pStyle w:val="null3"/>
            </w:pPr>
            <w:r>
              <w:rPr>
                <w:rFonts w:ascii="仿宋_GB2312" w:hAnsi="仿宋_GB2312" w:cs="仿宋_GB2312" w:eastAsia="仿宋_GB2312"/>
              </w:rPr>
              <w:t>开户银行：西安银行股份有限公司未来支行</w:t>
            </w:r>
          </w:p>
          <w:p>
            <w:pPr>
              <w:pStyle w:val="null3"/>
            </w:pPr>
            <w:r>
              <w:rPr>
                <w:rFonts w:ascii="仿宋_GB2312" w:hAnsi="仿宋_GB2312" w:cs="仿宋_GB2312" w:eastAsia="仿宋_GB2312"/>
              </w:rPr>
              <w:t>银行账号：291011580000051615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陕西省渭南市临渭区蔺店镇人民政府</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陕西省渭南市临渭区蔺店镇人民政府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陕西省渭南市临渭区蔺店镇人民政府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施工现场临时用电安全技术规范》、《安全防范工程技术规范》、《施工现场临时用电安全技术规范》、《工程建设标准强制性条文》、《砌体结构通用规范》、《混凝土结构通用规范》、《给水排水构筑物工程施工及验收规范》 、《室外排水设计标准》、《建筑地基基础设计规范》 、国家、行业、地方其它现行执行规范、规程、标准。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联系人：王敏</w:t>
      </w:r>
    </w:p>
    <w:p>
      <w:pPr>
        <w:pStyle w:val="null3"/>
      </w:pPr>
      <w:r>
        <w:rPr>
          <w:rFonts w:ascii="仿宋_GB2312" w:hAnsi="仿宋_GB2312" w:cs="仿宋_GB2312" w:eastAsia="仿宋_GB2312"/>
        </w:rPr>
        <w:t>联系电话：13571518412</w:t>
      </w:r>
    </w:p>
    <w:p>
      <w:pPr>
        <w:pStyle w:val="null3"/>
      </w:pPr>
      <w:r>
        <w:rPr>
          <w:rFonts w:ascii="仿宋_GB2312" w:hAnsi="仿宋_GB2312" w:cs="仿宋_GB2312" w:eastAsia="仿宋_GB2312"/>
        </w:rPr>
        <w:t>地址：陕西省西安市高新区唐延路11号禾盛京广中心E座17层1704A室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3,100,000.00</w:t>
      </w:r>
    </w:p>
    <w:p>
      <w:pPr>
        <w:pStyle w:val="null3"/>
      </w:pPr>
      <w:r>
        <w:rPr>
          <w:rFonts w:ascii="仿宋_GB2312" w:hAnsi="仿宋_GB2312" w:cs="仿宋_GB2312" w:eastAsia="仿宋_GB2312"/>
        </w:rPr>
        <w:t>采购包最高限价（元）: 3,100,000.00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2026年临渭区蔺店镇关中手工锅盔千转磨坊项目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标的名称：2026年临渭区蔺店镇关中手工锅盔千转磨坊项目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包括新建厂房，包括生产加工车间、仓储车间、包装车间、冷库，配套室外硬化、水电设施等</w:t>
            </w:r>
            <w:r>
              <w:rPr>
                <w:rFonts w:ascii="仿宋_GB2312" w:hAnsi="仿宋_GB2312" w:cs="仿宋_GB2312" w:eastAsia="仿宋_GB2312"/>
                <w:sz w:val="20"/>
              </w:rPr>
              <w:t>，具体详见工程量清单</w:t>
            </w:r>
            <w:r>
              <w:rPr>
                <w:rFonts w:ascii="仿宋_GB2312" w:hAnsi="仿宋_GB2312" w:cs="仿宋_GB2312" w:eastAsia="仿宋_GB2312"/>
                <w:sz w:val="2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《建筑工程施工质量验收统一标准》、《施工现场临时用电安全技术规范》、 《安全防范工程技术规范》、《施工现场临时用电安全技术规范》、《工程建设标准强制性条文》、《砌体结构通用规范》、《混凝土结构通用规范》、《给水排水构筑物工程施工及验收规范》 、《室外排水设计标准》、《建筑地基基础设计规范》 、国家、行业、地方其它现行执行规范、规程、标准。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 （2）工程地点：渭南市临渭区蔺店镇。 （3）质量标准：合格，达到国家现行技术标准。（4）质保期：质量保修期一年，质量保修期自工程竣工验收合格之日起计算。（5）付款方式：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6）工程项目建设相关要求：本项目严格执行国家相关标准、行业标准、地方标准等。 （7）本工程应按图纸、工程量清单及磋商文件完成全部内容。（8）本项目担任项目经理的建造师、项目技术负责人、施工员、专职安全员、质量员、材料员等施工现场关键岗位人员，必须与投标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中标（成交）结果公告发布后3个工作日内提供叁套纸质投标文件（经编标工具生成的文件直接打印并加盖公章）和叁套纸质最终版《工程量清单表》，递交的纸质版文件内容确保与线上电子文件保持一致，不允许修改和补充。2.根据《政府采购法实施条例》释义，银行、保险、石油石化、电力、电信等有行业特殊情况的，允许法人的分支机构参加政府采购活动。3.根据关于印发中小企业划型标准规定的通知 （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4.预算编制费取费依据：参照陕价行发[2014]88号文件规定计取。代理服务费及预算编制费由中标（成交）供应商在领取中标（成交）通知书前向采购代理机构一次性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须提供合法有效，具有独立承担民事责任的能力的证明材料。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2） 税收缴纳证明：提供响应文件递交截止时间前一年内任意一个月的缴费凭据；依法免税的应提供相关文件证明；（3）社会保障资金缴纳证明：提供响应文件递交截止时间前一年内任意一个月的社保缴费凭据或社保机构开具的社会保险参保缴费情况证明；依法不需要缴纳社会保障资金的供应商应提供相关文件证明；注：按照陕西省财政厅关于进一步优化政府采购营商环境有关事项的通知（陕财办采〔2023〕4号）中对供应商参与政府采购活动建立“承诺+信用管理”的准入管理制度要求，以上三项内容可根据本磋商文件格式要求出具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本项目专门面向中小企业采购，供应商应为中型、小型或微型企业，供应商提供中小企业声明函，本项目所属行业：建筑业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拟派项目经理须具备建筑工程二级（含二级）及以上注册建造师执业资格，并具有有效的安全生产考核合格证，且无在建工程；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技术服务合同条款及其他商务要求应答表.docx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供应商名称应与营业执照、资质证书、安全生产许可证等证件相一致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满足磋商文件实质性技术及商务要求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政府采购供应商拒绝政府采购领域商业贿赂承诺书.docx 响应文件封面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（一）评审内容：①工期目标；②施工进度计划； ③工期保障措施。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（一）评审内容：①质量目标；②质量管理体系； ③施工质量保障措施。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①安全目标；②安全生产管理体系；③安全生产保证措施。（二）评审标准： （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①文明施工及环境保护管理体系； ②文明施工及环境保护措施。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增加一人得1分，本项最高得6分；（2）项目管理人员中，每具有一个相关专业中级职称人员得0.5分，高级职称人员得1分，最多得3分。 注：须提供人员相关证件，不提供或完全背离评审标准得0分。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供应商近年（2023年6月至今）每具有1项类似业绩得1分，最多得5分，未提供得0分。（提供合同扫描件，以合同签订时间为准）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满足磋商文件要求且最后报价最低的价格为磋商基准价得35分； 其他供应商的价格分按下列公式计算： 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