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版本号：ZC2026-HW-104.1B320260723001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2026中央政法转移支付装备采购(四次)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ZC2026-HW-104.1B3</w:t>
      </w:r>
      <w:r>
        <w:br/>
      </w:r>
      <w:r>
        <w:br/>
      </w:r>
      <w:r>
        <w:br/>
      </w:r>
    </w:p>
    <w:p>
      <w:pPr>
        <w:pStyle w:val="null3"/>
        <w:jc w:val="center"/>
        <w:outlineLvl w:val="2"/>
      </w:pPr>
      <w:r>
        <w:rPr>
          <w:rFonts w:ascii="仿宋_GB2312" w:hAnsi="仿宋_GB2312" w:cs="仿宋_GB2312" w:eastAsia="仿宋_GB2312"/>
          <w:sz w:val="28"/>
          <w:b/>
        </w:rPr>
        <w:t>西安市公安局长安分局</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西安市公安局长安分局</w:t>
      </w:r>
      <w:r>
        <w:rPr>
          <w:rFonts w:ascii="仿宋_GB2312" w:hAnsi="仿宋_GB2312" w:cs="仿宋_GB2312" w:eastAsia="仿宋_GB2312"/>
        </w:rPr>
        <w:t>委托，拟对</w:t>
      </w:r>
      <w:r>
        <w:rPr>
          <w:rFonts w:ascii="仿宋_GB2312" w:hAnsi="仿宋_GB2312" w:cs="仿宋_GB2312" w:eastAsia="仿宋_GB2312"/>
        </w:rPr>
        <w:t>2026中央政法转移支付装备采购(四次)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ZC2026-HW-104.1B3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2026中央政法转移支付装备采购(四次)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2026中央政法转移支付装备采购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企业信用：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p>
      <w:pPr>
        <w:pStyle w:val="null3"/>
      </w:pPr>
      <w:r>
        <w:rPr>
          <w:rFonts w:ascii="仿宋_GB2312" w:hAnsi="仿宋_GB2312" w:cs="仿宋_GB2312" w:eastAsia="仿宋_GB2312"/>
        </w:rPr>
        <w:t>3、非联合体投标：本项目不接受联合体投标； （注：以投标文件中提供的声明为准）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西安市公安局长安分局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西长安街2366号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西安市公安局长安分局经办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029-86750668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西安市高新区高新三路9号信息港大厦5楼506室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毛美莹、刘静静、毛鑫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029-88856058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采购包1：373,300.00元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中标金额为基数，参照《国家计委关于印发&lt;招标代理服务收费管理暂行办法&gt;的通知》（计价格[2002]1980号）规定的货物类标准以差额定率累进制计算收取，由各合同包中标供应商在领取中标通知书前一次性足额支付给采购代理机构</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西安市公安局长安分局</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西安市公安局长安分局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西安市公安局长安分局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联系人：毛美莹、刘静静、毛鑫</w:t>
      </w:r>
    </w:p>
    <w:p>
      <w:pPr>
        <w:pStyle w:val="null3"/>
      </w:pPr>
      <w:r>
        <w:rPr>
          <w:rFonts w:ascii="仿宋_GB2312" w:hAnsi="仿宋_GB2312" w:cs="仿宋_GB2312" w:eastAsia="仿宋_GB2312"/>
        </w:rPr>
        <w:t>联系电话：029-88856058</w:t>
      </w:r>
    </w:p>
    <w:p>
      <w:pPr>
        <w:pStyle w:val="null3"/>
      </w:pPr>
      <w:r>
        <w:rPr>
          <w:rFonts w:ascii="仿宋_GB2312" w:hAnsi="仿宋_GB2312" w:cs="仿宋_GB2312" w:eastAsia="仿宋_GB2312"/>
        </w:rPr>
        <w:t>地址：西安市高新区高新三路9号信息港大厦5楼506室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2026中央政法转移支付装备采购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373,300.00</w:t>
      </w:r>
    </w:p>
    <w:p>
      <w:pPr>
        <w:pStyle w:val="null3"/>
      </w:pPr>
      <w:r>
        <w:rPr>
          <w:rFonts w:ascii="仿宋_GB2312" w:hAnsi="仿宋_GB2312" w:cs="仿宋_GB2312" w:eastAsia="仿宋_GB2312"/>
        </w:rPr>
        <w:t>采购包最高限价（元）: 373,300.00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2026中央政法转移支付装备采购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373,300.00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标的名称：2026中央政法转移支付装备采购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FF"/>
              </w:rPr>
              <w:t>一、</w:t>
            </w:r>
            <w:r>
              <w:rPr>
                <w:rFonts w:ascii="仿宋_GB2312" w:hAnsi="仿宋_GB2312" w:cs="仿宋_GB2312" w:eastAsia="仿宋_GB2312"/>
                <w:sz w:val="21"/>
                <w:b/>
                <w:color w:val="0000FF"/>
              </w:rPr>
              <w:t>技术要求</w:t>
            </w:r>
            <w:r>
              <w:rPr>
                <w:rFonts w:ascii="仿宋_GB2312" w:hAnsi="仿宋_GB2312" w:cs="仿宋_GB2312" w:eastAsia="仿宋_GB2312"/>
                <w:sz w:val="21"/>
                <w:b/>
                <w:color w:val="0000FF"/>
              </w:rPr>
              <w:t>：</w:t>
            </w:r>
          </w:p>
          <w:p>
            <w:pPr>
              <w:pStyle w:val="null3"/>
            </w:pPr>
            <w:r>
              <w:rPr>
                <w:rFonts w:ascii="仿宋_GB2312" w:hAnsi="仿宋_GB2312" w:cs="仿宋_GB2312" w:eastAsia="仿宋_GB2312"/>
                <w:sz w:val="21"/>
                <w:color w:val="0000FF"/>
              </w:rPr>
              <w:t>1.采购清单</w:t>
            </w:r>
          </w:p>
          <w:tbl>
            <w:tblPr>
              <w:tblInd w:type="dxa" w:w="120"/>
              <w:tblBorders>
                <w:top w:val="none" w:color="000000" w:sz="4"/>
                <w:left w:val="none" w:color="000000" w:sz="4"/>
                <w:bottom w:val="none" w:color="000000" w:sz="4"/>
                <w:right w:val="none" w:color="000000" w:sz="4"/>
                <w:insideH w:val="none"/>
                <w:insideV w:val="none"/>
              </w:tblBorders>
            </w:tblPr>
            <w:tblGrid>
              <w:gridCol w:w="149"/>
              <w:gridCol w:w="662"/>
              <w:gridCol w:w="1463"/>
              <w:gridCol w:w="277"/>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序号</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名称</w:t>
                  </w:r>
                </w:p>
              </w:tc>
              <w:tc>
                <w:tcPr>
                  <w:tcW w:type="dxa" w:w="1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招标参数</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数量</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作战鞋（中筒）</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1、特点：轻便、耐磨、防滑、适用于日常训练以及户外执勤；</w:t>
                  </w:r>
                </w:p>
                <w:p>
                  <w:pPr>
                    <w:pStyle w:val="null3"/>
                    <w:jc w:val="left"/>
                  </w:pPr>
                  <w:r>
                    <w:rPr>
                      <w:rFonts w:ascii="仿宋_GB2312" w:hAnsi="仿宋_GB2312" w:cs="仿宋_GB2312" w:eastAsia="仿宋_GB2312"/>
                      <w:sz w:val="21"/>
                      <w:color w:val="0000FF"/>
                    </w:rPr>
                    <w:t>2、帮面：</w:t>
                  </w:r>
                  <w:r>
                    <w:rPr>
                      <w:rFonts w:ascii="仿宋_GB2312" w:hAnsi="仿宋_GB2312" w:cs="仿宋_GB2312" w:eastAsia="仿宋_GB2312"/>
                      <w:sz w:val="21"/>
                      <w:color w:val="0000FF"/>
                    </w:rPr>
                    <w:t>KPU</w:t>
                  </w:r>
                  <w:r>
                    <w:rPr>
                      <w:rFonts w:ascii="仿宋_GB2312" w:hAnsi="仿宋_GB2312" w:cs="仿宋_GB2312" w:eastAsia="仿宋_GB2312"/>
                      <w:sz w:val="21"/>
                      <w:color w:val="0000FF"/>
                    </w:rPr>
                    <w:t>+网</w:t>
                  </w:r>
                  <w:r>
                    <w:rPr>
                      <w:rFonts w:ascii="仿宋_GB2312" w:hAnsi="仿宋_GB2312" w:cs="仿宋_GB2312" w:eastAsia="仿宋_GB2312"/>
                      <w:sz w:val="21"/>
                      <w:color w:val="0000FF"/>
                    </w:rPr>
                    <w:t>布</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3、鞋底：高耐磨橡胶大底；</w:t>
                  </w:r>
                </w:p>
                <w:p>
                  <w:pPr>
                    <w:pStyle w:val="null3"/>
                    <w:jc w:val="left"/>
                  </w:pPr>
                  <w:r>
                    <w:rPr>
                      <w:rFonts w:ascii="仿宋_GB2312" w:hAnsi="仿宋_GB2312" w:cs="仿宋_GB2312" w:eastAsia="仿宋_GB2312"/>
                      <w:sz w:val="21"/>
                      <w:color w:val="0000FF"/>
                    </w:rPr>
                    <w:t>4、耐用性指标：</w:t>
                  </w:r>
                </w:p>
                <w:p>
                  <w:pPr>
                    <w:pStyle w:val="null3"/>
                    <w:jc w:val="left"/>
                  </w:pPr>
                  <w:r>
                    <w:rPr>
                      <w:rFonts w:ascii="仿宋_GB2312" w:hAnsi="仿宋_GB2312" w:cs="仿宋_GB2312" w:eastAsia="仿宋_GB2312"/>
                      <w:sz w:val="21"/>
                      <w:color w:val="0000FF"/>
                    </w:rPr>
                    <w:t>①耐折性能：裂纹长度≤8mm；</w:t>
                  </w:r>
                </w:p>
                <w:p>
                  <w:pPr>
                    <w:pStyle w:val="null3"/>
                    <w:jc w:val="left"/>
                  </w:pPr>
                  <w:r>
                    <w:rPr>
                      <w:rFonts w:ascii="仿宋_GB2312" w:hAnsi="仿宋_GB2312" w:cs="仿宋_GB2312" w:eastAsia="仿宋_GB2312"/>
                      <w:sz w:val="21"/>
                      <w:color w:val="0000FF"/>
                    </w:rPr>
                    <w:t>②耐刺穿性能：≥1300N；</w:t>
                  </w:r>
                </w:p>
                <w:p>
                  <w:pPr>
                    <w:pStyle w:val="null3"/>
                    <w:jc w:val="left"/>
                  </w:pPr>
                  <w:r>
                    <w:rPr>
                      <w:rFonts w:ascii="仿宋_GB2312" w:hAnsi="仿宋_GB2312" w:cs="仿宋_GB2312" w:eastAsia="仿宋_GB2312"/>
                      <w:sz w:val="21"/>
                      <w:color w:val="0000FF"/>
                    </w:rPr>
                    <w:t>③耐折次数10万次无裂痕。</w:t>
                  </w:r>
                </w:p>
                <w:p>
                  <w:pPr>
                    <w:pStyle w:val="null3"/>
                    <w:jc w:val="left"/>
                  </w:pPr>
                  <w:r>
                    <w:rPr>
                      <w:rFonts w:ascii="仿宋_GB2312" w:hAnsi="仿宋_GB2312" w:cs="仿宋_GB2312" w:eastAsia="仿宋_GB2312"/>
                      <w:sz w:val="21"/>
                      <w:color w:val="0000FF"/>
                    </w:rPr>
                    <w:t>5、鞋码：38码-46码。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200双</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特战靴（高腰）</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w:t>
                  </w:r>
                  <w:r>
                    <w:rPr>
                      <w:rFonts w:ascii="仿宋_GB2312" w:hAnsi="仿宋_GB2312" w:cs="仿宋_GB2312" w:eastAsia="仿宋_GB2312"/>
                      <w:sz w:val="21"/>
                      <w:color w:val="0000FF"/>
                    </w:rPr>
                    <w:t>材质：</w:t>
                  </w:r>
                  <w:r>
                    <w:rPr>
                      <w:rFonts w:ascii="仿宋_GB2312" w:hAnsi="仿宋_GB2312" w:cs="仿宋_GB2312" w:eastAsia="仿宋_GB2312"/>
                      <w:sz w:val="21"/>
                      <w:color w:val="0000FF"/>
                    </w:rPr>
                    <w:t>超细纤维合成皮</w:t>
                  </w:r>
                  <w:r>
                    <w:rPr>
                      <w:rFonts w:ascii="仿宋_GB2312" w:hAnsi="仿宋_GB2312" w:cs="仿宋_GB2312" w:eastAsia="仿宋_GB2312"/>
                      <w:sz w:val="21"/>
                      <w:color w:val="0000FF"/>
                    </w:rPr>
                    <w:t>，</w:t>
                  </w:r>
                  <w:r>
                    <w:rPr>
                      <w:rFonts w:ascii="仿宋_GB2312" w:hAnsi="仿宋_GB2312" w:cs="仿宋_GB2312" w:eastAsia="仿宋_GB2312"/>
                      <w:sz w:val="21"/>
                      <w:color w:val="0000FF"/>
                    </w:rPr>
                    <w:t>KPU</w:t>
                  </w:r>
                  <w:r>
                    <w:rPr>
                      <w:rFonts w:ascii="仿宋_GB2312" w:hAnsi="仿宋_GB2312" w:cs="仿宋_GB2312" w:eastAsia="仿宋_GB2312"/>
                      <w:sz w:val="21"/>
                      <w:color w:val="0000FF"/>
                    </w:rPr>
                    <w:t>+网</w:t>
                  </w:r>
                  <w:r>
                    <w:rPr>
                      <w:rFonts w:ascii="仿宋_GB2312" w:hAnsi="仿宋_GB2312" w:cs="仿宋_GB2312" w:eastAsia="仿宋_GB2312"/>
                      <w:sz w:val="21"/>
                      <w:color w:val="0000FF"/>
                    </w:rPr>
                    <w:t>布</w:t>
                  </w:r>
                  <w:r>
                    <w:rPr>
                      <w:rFonts w:ascii="仿宋_GB2312" w:hAnsi="仿宋_GB2312" w:cs="仿宋_GB2312" w:eastAsia="仿宋_GB2312"/>
                      <w:sz w:val="21"/>
                      <w:color w:val="0000FF"/>
                    </w:rPr>
                    <w:t>，鞋底为耐磨橡胶大底；</w:t>
                  </w:r>
                </w:p>
                <w:p>
                  <w:pPr>
                    <w:pStyle w:val="null3"/>
                    <w:jc w:val="left"/>
                  </w:pPr>
                  <w:r>
                    <w:rPr>
                      <w:rFonts w:ascii="仿宋_GB2312" w:hAnsi="仿宋_GB2312" w:cs="仿宋_GB2312" w:eastAsia="仿宋_GB2312"/>
                      <w:sz w:val="21"/>
                      <w:color w:val="0000FF"/>
                    </w:rPr>
                    <w:t>2、耐用性指标：</w:t>
                  </w:r>
                </w:p>
                <w:p>
                  <w:pPr>
                    <w:pStyle w:val="null3"/>
                    <w:jc w:val="left"/>
                  </w:pPr>
                  <w:r>
                    <w:rPr>
                      <w:rFonts w:ascii="仿宋_GB2312" w:hAnsi="仿宋_GB2312" w:cs="仿宋_GB2312" w:eastAsia="仿宋_GB2312"/>
                      <w:sz w:val="21"/>
                      <w:color w:val="0000FF"/>
                    </w:rPr>
                    <w:t>①耐折性能：裂纹长度≤8mm；</w:t>
                  </w:r>
                </w:p>
                <w:p>
                  <w:pPr>
                    <w:pStyle w:val="null3"/>
                    <w:jc w:val="left"/>
                  </w:pPr>
                  <w:r>
                    <w:rPr>
                      <w:rFonts w:ascii="仿宋_GB2312" w:hAnsi="仿宋_GB2312" w:cs="仿宋_GB2312" w:eastAsia="仿宋_GB2312"/>
                      <w:sz w:val="21"/>
                      <w:color w:val="0000FF"/>
                    </w:rPr>
                    <w:t>②耐刺穿性能：≥1300N；</w:t>
                  </w:r>
                </w:p>
                <w:p>
                  <w:pPr>
                    <w:pStyle w:val="null3"/>
                    <w:jc w:val="left"/>
                  </w:pPr>
                  <w:r>
                    <w:rPr>
                      <w:rFonts w:ascii="仿宋_GB2312" w:hAnsi="仿宋_GB2312" w:cs="仿宋_GB2312" w:eastAsia="仿宋_GB2312"/>
                      <w:sz w:val="21"/>
                      <w:color w:val="0000FF"/>
                    </w:rPr>
                    <w:t>③耐磨性能：磨痕长度≤7mm。</w:t>
                  </w:r>
                </w:p>
                <w:p>
                  <w:pPr>
                    <w:pStyle w:val="null3"/>
                    <w:jc w:val="left"/>
                  </w:pPr>
                  <w:r>
                    <w:rPr>
                      <w:rFonts w:ascii="仿宋_GB2312" w:hAnsi="仿宋_GB2312" w:cs="仿宋_GB2312" w:eastAsia="仿宋_GB2312"/>
                      <w:sz w:val="21"/>
                      <w:color w:val="0000FF"/>
                    </w:rPr>
                    <w:t>3、具备抗菌透气性能，内里材质，</w:t>
                  </w:r>
                  <w:r>
                    <w:rPr>
                      <w:rFonts w:ascii="仿宋_GB2312" w:hAnsi="仿宋_GB2312" w:cs="仿宋_GB2312" w:eastAsia="仿宋_GB2312"/>
                      <w:sz w:val="21"/>
                      <w:color w:val="0000FF"/>
                    </w:rPr>
                    <w:t>黑色涤纶长丝针织绒布</w:t>
                  </w:r>
                  <w:r>
                    <w:rPr>
                      <w:rFonts w:ascii="仿宋_GB2312" w:hAnsi="仿宋_GB2312" w:cs="仿宋_GB2312" w:eastAsia="仿宋_GB2312"/>
                      <w:sz w:val="21"/>
                      <w:color w:val="0000FF"/>
                    </w:rPr>
                    <w:t>+聚氨酯海绵+特丽可得复合</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color w:val="0000FF"/>
                    </w:rPr>
                    <w:t>4、颜色：黑色；</w:t>
                  </w:r>
                </w:p>
                <w:p>
                  <w:pPr>
                    <w:pStyle w:val="null3"/>
                    <w:jc w:val="left"/>
                  </w:pPr>
                  <w:r>
                    <w:rPr>
                      <w:rFonts w:ascii="仿宋_GB2312" w:hAnsi="仿宋_GB2312" w:cs="仿宋_GB2312" w:eastAsia="仿宋_GB2312"/>
                      <w:sz w:val="21"/>
                      <w:color w:val="0000FF"/>
                    </w:rPr>
                    <w:t>5、码数：34码-47码。</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100双</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战术服（春秋）</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1、材质：  面料为涤棉大格子款，采用杜邦T400弹力纱，成分为80%涤纶+20%棉、杜邦特氟龙三防处理工艺,面料要求高强度、高耐磨性、高抗撕裂性能，高纬弹,不变形、不掉色；</w:t>
                  </w:r>
                </w:p>
                <w:p>
                  <w:pPr>
                    <w:pStyle w:val="null3"/>
                    <w:jc w:val="left"/>
                  </w:pPr>
                  <w:r>
                    <w:rPr>
                      <w:rFonts w:ascii="仿宋_GB2312" w:hAnsi="仿宋_GB2312" w:cs="仿宋_GB2312" w:eastAsia="仿宋_GB2312"/>
                      <w:sz w:val="21"/>
                      <w:color w:val="0000FF"/>
                    </w:rPr>
                    <w:t>2、面料物理性能指标：</w:t>
                  </w:r>
                </w:p>
                <w:p>
                  <w:pPr>
                    <w:pStyle w:val="null3"/>
                    <w:jc w:val="left"/>
                  </w:pPr>
                  <w:r>
                    <w:rPr>
                      <w:rFonts w:ascii="仿宋_GB2312" w:hAnsi="仿宋_GB2312" w:cs="仿宋_GB2312" w:eastAsia="仿宋_GB2312"/>
                      <w:sz w:val="21"/>
                      <w:color w:val="0000FF"/>
                    </w:rPr>
                    <w:t>水洗尺寸变化率：</w:t>
                  </w:r>
                  <w:r>
                    <w:rPr>
                      <w:rFonts w:ascii="仿宋_GB2312" w:hAnsi="仿宋_GB2312" w:cs="仿宋_GB2312" w:eastAsia="仿宋_GB2312"/>
                      <w:sz w:val="21"/>
                      <w:color w:val="0000FF"/>
                    </w:rPr>
                    <w:t>4N,40℃水洗，悬挂晾干，水洗1次，直向横向≤1%。</w:t>
                  </w:r>
                </w:p>
                <w:p>
                  <w:pPr>
                    <w:pStyle w:val="null3"/>
                    <w:jc w:val="left"/>
                  </w:pPr>
                  <w:r>
                    <w:rPr>
                      <w:rFonts w:ascii="仿宋_GB2312" w:hAnsi="仿宋_GB2312" w:cs="仿宋_GB2312" w:eastAsia="仿宋_GB2312"/>
                      <w:sz w:val="21"/>
                      <w:color w:val="0000FF"/>
                    </w:rPr>
                    <w:t>3、色牢度：</w:t>
                  </w:r>
                </w:p>
                <w:p>
                  <w:pPr>
                    <w:pStyle w:val="null3"/>
                    <w:jc w:val="left"/>
                  </w:pPr>
                  <w:r>
                    <w:rPr>
                      <w:rFonts w:ascii="仿宋_GB2312" w:hAnsi="仿宋_GB2312" w:cs="仿宋_GB2312" w:eastAsia="仿宋_GB2312"/>
                      <w:sz w:val="21"/>
                      <w:color w:val="0000FF"/>
                    </w:rPr>
                    <w:t>①面料耐水色牢度：变色≥4级；</w:t>
                  </w:r>
                </w:p>
                <w:p>
                  <w:pPr>
                    <w:pStyle w:val="null3"/>
                    <w:jc w:val="left"/>
                  </w:pPr>
                  <w:r>
                    <w:rPr>
                      <w:rFonts w:ascii="仿宋_GB2312" w:hAnsi="仿宋_GB2312" w:cs="仿宋_GB2312" w:eastAsia="仿宋_GB2312"/>
                      <w:sz w:val="21"/>
                      <w:color w:val="0000FF"/>
                    </w:rPr>
                    <w:t>②面料耐摩擦色牢度：干摩擦沾色≥4级；</w:t>
                  </w:r>
                </w:p>
                <w:p>
                  <w:pPr>
                    <w:pStyle w:val="null3"/>
                    <w:jc w:val="left"/>
                  </w:pPr>
                  <w:r>
                    <w:rPr>
                      <w:rFonts w:ascii="仿宋_GB2312" w:hAnsi="仿宋_GB2312" w:cs="仿宋_GB2312" w:eastAsia="仿宋_GB2312"/>
                      <w:sz w:val="21"/>
                      <w:color w:val="0000FF"/>
                    </w:rPr>
                    <w:t>③耐光色牢度：≥4-5级。</w:t>
                  </w:r>
                </w:p>
                <w:p>
                  <w:pPr>
                    <w:pStyle w:val="null3"/>
                    <w:jc w:val="left"/>
                  </w:pPr>
                  <w:r>
                    <w:rPr>
                      <w:rFonts w:ascii="仿宋_GB2312" w:hAnsi="仿宋_GB2312" w:cs="仿宋_GB2312" w:eastAsia="仿宋_GB2312"/>
                      <w:sz w:val="21"/>
                      <w:color w:val="0000FF"/>
                    </w:rPr>
                    <w:t>4、工艺指标：</w:t>
                  </w:r>
                </w:p>
                <w:p>
                  <w:pPr>
                    <w:pStyle w:val="null3"/>
                    <w:jc w:val="left"/>
                  </w:pPr>
                  <w:r>
                    <w:rPr>
                      <w:rFonts w:ascii="仿宋_GB2312" w:hAnsi="仿宋_GB2312" w:cs="仿宋_GB2312" w:eastAsia="仿宋_GB2312"/>
                      <w:sz w:val="21"/>
                      <w:color w:val="0000FF"/>
                    </w:rPr>
                    <w:t>①性能：纰裂测试 （GB/T 13772.2-2018）,负荷60N时径向纬向≤ 1.0MM；</w:t>
                  </w:r>
                </w:p>
                <w:p>
                  <w:pPr>
                    <w:pStyle w:val="null3"/>
                    <w:jc w:val="left"/>
                  </w:pPr>
                  <w:r>
                    <w:rPr>
                      <w:rFonts w:ascii="仿宋_GB2312" w:hAnsi="仿宋_GB2312" w:cs="仿宋_GB2312" w:eastAsia="仿宋_GB2312"/>
                      <w:sz w:val="21"/>
                      <w:color w:val="0000FF"/>
                    </w:rPr>
                    <w:t>②高强拉链：具有自锁功能</w:t>
                  </w:r>
                </w:p>
                <w:p>
                  <w:pPr>
                    <w:pStyle w:val="null3"/>
                    <w:jc w:val="left"/>
                  </w:pPr>
                  <w:r>
                    <w:rPr>
                      <w:rFonts w:ascii="仿宋_GB2312" w:hAnsi="仿宋_GB2312" w:cs="仿宋_GB2312" w:eastAsia="仿宋_GB2312"/>
                      <w:sz w:val="21"/>
                      <w:color w:val="0000FF"/>
                    </w:rPr>
                    <w:t>5、安全性能：</w:t>
                  </w:r>
                </w:p>
                <w:p>
                  <w:pPr>
                    <w:pStyle w:val="null3"/>
                    <w:jc w:val="left"/>
                  </w:pPr>
                  <w:r>
                    <w:rPr>
                      <w:rFonts w:ascii="仿宋_GB2312" w:hAnsi="仿宋_GB2312" w:cs="仿宋_GB2312" w:eastAsia="仿宋_GB2312"/>
                      <w:sz w:val="21"/>
                      <w:color w:val="0000FF"/>
                    </w:rPr>
                    <w:t>①PH值：4.0~8.5；</w:t>
                  </w:r>
                </w:p>
                <w:p>
                  <w:pPr>
                    <w:pStyle w:val="null3"/>
                    <w:jc w:val="left"/>
                  </w:pPr>
                  <w:r>
                    <w:rPr>
                      <w:rFonts w:ascii="仿宋_GB2312" w:hAnsi="仿宋_GB2312" w:cs="仿宋_GB2312" w:eastAsia="仿宋_GB2312"/>
                      <w:sz w:val="21"/>
                      <w:color w:val="0000FF"/>
                    </w:rPr>
                    <w:t>②甲醛含量：≤20mg/kg；</w:t>
                  </w:r>
                </w:p>
                <w:p>
                  <w:pPr>
                    <w:pStyle w:val="null3"/>
                    <w:jc w:val="left"/>
                  </w:pPr>
                  <w:r>
                    <w:rPr>
                      <w:rFonts w:ascii="仿宋_GB2312" w:hAnsi="仿宋_GB2312" w:cs="仿宋_GB2312" w:eastAsia="仿宋_GB2312"/>
                      <w:sz w:val="21"/>
                      <w:color w:val="0000FF"/>
                    </w:rPr>
                    <w:t>③可分解致癌芳香胺染料：禁用</w:t>
                  </w:r>
                </w:p>
                <w:p>
                  <w:pPr>
                    <w:pStyle w:val="null3"/>
                    <w:jc w:val="left"/>
                  </w:pPr>
                  <w:r>
                    <w:rPr>
                      <w:rFonts w:ascii="仿宋_GB2312" w:hAnsi="仿宋_GB2312" w:cs="仿宋_GB2312" w:eastAsia="仿宋_GB2312"/>
                      <w:sz w:val="21"/>
                      <w:color w:val="0000FF"/>
                    </w:rPr>
                    <w:t>④异味：无</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防刺服</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w:t>
                  </w:r>
                  <w:r>
                    <w:rPr>
                      <w:rFonts w:ascii="仿宋_GB2312" w:hAnsi="仿宋_GB2312" w:cs="仿宋_GB2312" w:eastAsia="仿宋_GB2312"/>
                      <w:sz w:val="21"/>
                      <w:color w:val="0000FF"/>
                    </w:rPr>
                    <w:t>防刺服组成结构：通常由防刺服外套、防刺层、防刺层保护套组成。</w:t>
                  </w:r>
                </w:p>
                <w:p>
                  <w:pPr>
                    <w:pStyle w:val="null3"/>
                    <w:jc w:val="left"/>
                  </w:pP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2、</w:t>
                  </w:r>
                  <w:r>
                    <w:rPr>
                      <w:rFonts w:ascii="仿宋_GB2312" w:hAnsi="仿宋_GB2312" w:cs="仿宋_GB2312" w:eastAsia="仿宋_GB2312"/>
                      <w:sz w:val="21"/>
                      <w:color w:val="0000FF"/>
                    </w:rPr>
                    <w:t>符合《</w:t>
                  </w:r>
                  <w:r>
                    <w:rPr>
                      <w:rFonts w:ascii="仿宋_GB2312" w:hAnsi="仿宋_GB2312" w:cs="仿宋_GB2312" w:eastAsia="仿宋_GB2312"/>
                      <w:sz w:val="21"/>
                      <w:color w:val="0000FF"/>
                    </w:rPr>
                    <w:t>GA68-2024警用防刺服》A类金属材质警用防刺服中的有关要求，采用匀质防刺层，肩、腰部采用锦丝搭扣带搭接，可调节肩、腰部尺寸。防刺服外套材料为尼龙布料，里料为透气网格布料；防刺层结构为4层各为0.15mm厚的金属板，通过热合工艺封装在保护套内；</w:t>
                  </w:r>
                </w:p>
                <w:p>
                  <w:pPr>
                    <w:pStyle w:val="null3"/>
                    <w:jc w:val="left"/>
                  </w:pPr>
                  <w:r>
                    <w:rPr>
                      <w:rFonts w:ascii="仿宋_GB2312" w:hAnsi="仿宋_GB2312" w:cs="仿宋_GB2312" w:eastAsia="仿宋_GB2312"/>
                      <w:sz w:val="21"/>
                      <w:color w:val="0000FF"/>
                    </w:rPr>
                    <w:t>3、材料应无毒，无刺激性异味，穿着灵活，易于穿脱。穿着后不能使人体两臂的自由运动及跪、跳、蹲、俯仰、转体等动作受到限制。防刺服的外套与防刺层、防刺层外套应能分离；</w:t>
                  </w:r>
                </w:p>
                <w:p>
                  <w:pPr>
                    <w:pStyle w:val="null3"/>
                    <w:jc w:val="left"/>
                  </w:pPr>
                  <w:r>
                    <w:rPr>
                      <w:rFonts w:ascii="仿宋_GB2312" w:hAnsi="仿宋_GB2312" w:cs="仿宋_GB2312" w:eastAsia="仿宋_GB2312"/>
                      <w:sz w:val="21"/>
                      <w:color w:val="0000FF"/>
                    </w:rPr>
                    <w:t>4、外观要求：防刺服外套应无破损、浮线、漏针等缺陷。防刺层材料表面无破洞、深坑、划伤、皱褶、裂痕缺口、边角毛刺等缺陷，金属材料应具有防锈能力，非金属材料应均匀平整匀质防刺层同一层防刺材料应均匀平整一致，无局部隆起、皱褶等缺陷由多层防刺材料组成的防刺层，各层规格尺寸应一致。防刺层保护套上应标明刺入面或贴身面。防刺服上应有清晰永久性的产品标志，防刺服标志的位置应在外套后背内侧领口下方100mm±5mm居中处和防刺层保护套的刺入面上。防刺服标志上的内容应包括：a)制造厂名称或商标；b)产品名称和代号；c)产品编号；d)执行标准号；e)生产日期(年、月)；f)有效期；g)使用说明及注意事项；h)警示说明“防刺服不能防弹”,字体应比其他字体大1.5倍；</w:t>
                  </w:r>
                </w:p>
                <w:p>
                  <w:pPr>
                    <w:pStyle w:val="null3"/>
                    <w:jc w:val="left"/>
                  </w:pPr>
                  <w:r>
                    <w:rPr>
                      <w:rFonts w:ascii="仿宋_GB2312" w:hAnsi="仿宋_GB2312" w:cs="仿宋_GB2312" w:eastAsia="仿宋_GB2312"/>
                      <w:sz w:val="21"/>
                      <w:color w:val="0000FF"/>
                    </w:rPr>
                    <w:t>5、颜色：防刺服外套颜色为藏蓝色，防刺层保护套为黑色；</w:t>
                  </w:r>
                </w:p>
                <w:p>
                  <w:pPr>
                    <w:pStyle w:val="null3"/>
                    <w:jc w:val="left"/>
                  </w:pPr>
                  <w:r>
                    <w:rPr>
                      <w:rFonts w:ascii="仿宋_GB2312" w:hAnsi="仿宋_GB2312" w:cs="仿宋_GB2312" w:eastAsia="仿宋_GB2312"/>
                      <w:sz w:val="21"/>
                      <w:color w:val="0000FF"/>
                    </w:rPr>
                    <w:t>▲6、具备防水性能，保护套四边应密封良好防刺层保护套材料的抗静水压等级应能达到GB/T4744-2013中规定的5级；</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▲7、防护面积：防刺层的防护面积≥0.25m²；整衣质量（不含保护套）：≤1.8kg；</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▲8、防刺层厚度：≤16.5mm；</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★9、防刺性能：A类防刺服应用D₁刀具，测试体以36J±0.5J撞击能量对防刺服前、后各进行5次有效穿刺情况下，防刺服不应出现穿透；</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▲10、耐浸水性能：常温条件下，防刺服在自来水中浸泡1h后，A类防刺服应用D₁刀具，测试体以24J±0.5J撞击能量对防刺服前、后各进行3次有效穿刺情况下，防刺服不应出现穿透；</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11、温度适应性：将防刺服放入温度为+55℃±2℃恒温箱内保持4h后，A类防刺服应用D₁刀具、测试体以24J±0.5J撞击能量对防刺服前、后各进行5次有效穿刺情况下，防刺服不应出现穿透，将防刺服放入温度为-20℃±2℃恒温箱内保持4h后，A类防刺服应用D₁刀具、测试体以24J±0.5J撞击能量对防刺服前、后各进行3次有效穿刺情况下，防刺服不应出现穿透；</w:t>
                  </w:r>
                </w:p>
                <w:p>
                  <w:pPr>
                    <w:pStyle w:val="null3"/>
                    <w:jc w:val="left"/>
                  </w:pPr>
                  <w:r>
                    <w:rPr>
                      <w:rFonts w:ascii="仿宋_GB2312" w:hAnsi="仿宋_GB2312" w:cs="仿宋_GB2312" w:eastAsia="仿宋_GB2312"/>
                      <w:sz w:val="21"/>
                      <w:color w:val="0000FF"/>
                    </w:rPr>
                    <w:t>▲12、弯曲度：防刺服在外力作用下弯曲20mm时的作用力应≤180N；</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b/>
                      <w:color w:val="0000FF"/>
                    </w:rPr>
                    <w:t>提供第三方检测机构出具的产品检测报告</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15件</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背负式喷雾驱散器</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1、容积：6000ml；</w:t>
                  </w:r>
                </w:p>
                <w:p>
                  <w:pPr>
                    <w:pStyle w:val="null3"/>
                    <w:jc w:val="left"/>
                  </w:pPr>
                  <w:r>
                    <w:rPr>
                      <w:rFonts w:ascii="仿宋_GB2312" w:hAnsi="仿宋_GB2312" w:cs="仿宋_GB2312" w:eastAsia="仿宋_GB2312"/>
                      <w:sz w:val="21"/>
                      <w:color w:val="0000FF"/>
                    </w:rPr>
                    <w:t>2、喷射状态：射流状；</w:t>
                  </w:r>
                </w:p>
                <w:p>
                  <w:pPr>
                    <w:pStyle w:val="null3"/>
                    <w:jc w:val="left"/>
                  </w:pPr>
                  <w:r>
                    <w:rPr>
                      <w:rFonts w:ascii="仿宋_GB2312" w:hAnsi="仿宋_GB2312" w:cs="仿宋_GB2312" w:eastAsia="仿宋_GB2312"/>
                      <w:sz w:val="21"/>
                      <w:color w:val="0000FF"/>
                    </w:rPr>
                    <w:t>3、催泪剂成分：OC/CS；</w:t>
                  </w:r>
                </w:p>
                <w:p>
                  <w:pPr>
                    <w:pStyle w:val="null3"/>
                    <w:jc w:val="left"/>
                  </w:pPr>
                  <w:r>
                    <w:rPr>
                      <w:rFonts w:ascii="仿宋_GB2312" w:hAnsi="仿宋_GB2312" w:cs="仿宋_GB2312" w:eastAsia="仿宋_GB2312"/>
                      <w:sz w:val="21"/>
                      <w:color w:val="0000FF"/>
                    </w:rPr>
                    <w:t>4、工作气压：≥1.2MPa；</w:t>
                  </w:r>
                </w:p>
                <w:p>
                  <w:pPr>
                    <w:pStyle w:val="null3"/>
                    <w:jc w:val="left"/>
                  </w:pPr>
                  <w:r>
                    <w:rPr>
                      <w:rFonts w:ascii="仿宋_GB2312" w:hAnsi="仿宋_GB2312" w:cs="仿宋_GB2312" w:eastAsia="仿宋_GB2312"/>
                      <w:sz w:val="21"/>
                      <w:color w:val="0000FF"/>
                    </w:rPr>
                    <w:t>5、射程：≥30m；</w:t>
                  </w:r>
                </w:p>
                <w:p>
                  <w:pPr>
                    <w:pStyle w:val="null3"/>
                    <w:jc w:val="left"/>
                  </w:pPr>
                  <w:r>
                    <w:rPr>
                      <w:rFonts w:ascii="仿宋_GB2312" w:hAnsi="仿宋_GB2312" w:cs="仿宋_GB2312" w:eastAsia="仿宋_GB2312"/>
                      <w:sz w:val="21"/>
                      <w:color w:val="0000FF"/>
                    </w:rPr>
                    <w:t>6、作用空间：≥2000㎡；</w:t>
                  </w:r>
                </w:p>
                <w:p>
                  <w:pPr>
                    <w:pStyle w:val="null3"/>
                    <w:jc w:val="left"/>
                  </w:pPr>
                  <w:r>
                    <w:rPr>
                      <w:rFonts w:ascii="仿宋_GB2312" w:hAnsi="仿宋_GB2312" w:cs="仿宋_GB2312" w:eastAsia="仿宋_GB2312"/>
                      <w:sz w:val="21"/>
                      <w:color w:val="0000FF"/>
                    </w:rPr>
                    <w:t>7、喷射时间：连续喷射50~60S；</w:t>
                  </w:r>
                </w:p>
                <w:p>
                  <w:pPr>
                    <w:pStyle w:val="null3"/>
                    <w:jc w:val="left"/>
                  </w:pPr>
                  <w:r>
                    <w:rPr>
                      <w:rFonts w:ascii="仿宋_GB2312" w:hAnsi="仿宋_GB2312" w:cs="仿宋_GB2312" w:eastAsia="仿宋_GB2312"/>
                      <w:sz w:val="21"/>
                      <w:color w:val="0000FF"/>
                    </w:rPr>
                    <w:t>8、整机重量：净重(含背负套)≤10kg；</w:t>
                  </w:r>
                </w:p>
                <w:p>
                  <w:pPr>
                    <w:pStyle w:val="null3"/>
                    <w:jc w:val="left"/>
                  </w:pPr>
                  <w:r>
                    <w:rPr>
                      <w:rFonts w:ascii="仿宋_GB2312" w:hAnsi="仿宋_GB2312" w:cs="仿宋_GB2312" w:eastAsia="仿宋_GB2312"/>
                      <w:sz w:val="21"/>
                      <w:color w:val="0000FF"/>
                    </w:rPr>
                    <w:t>9、外包装：拉杆移动铝合金箱；</w:t>
                  </w:r>
                </w:p>
                <w:p>
                  <w:pPr>
                    <w:pStyle w:val="null3"/>
                    <w:jc w:val="left"/>
                  </w:pPr>
                  <w:r>
                    <w:rPr>
                      <w:rFonts w:ascii="仿宋_GB2312" w:hAnsi="仿宋_GB2312" w:cs="仿宋_GB2312" w:eastAsia="仿宋_GB2312"/>
                      <w:sz w:val="21"/>
                      <w:color w:val="0000FF"/>
                    </w:rPr>
                    <w:t>10、工作温度：-30℃-55℃环境正常使用；</w:t>
                  </w:r>
                </w:p>
                <w:p>
                  <w:pPr>
                    <w:pStyle w:val="null3"/>
                    <w:jc w:val="left"/>
                  </w:pPr>
                  <w:r>
                    <w:rPr>
                      <w:rFonts w:ascii="仿宋_GB2312" w:hAnsi="仿宋_GB2312" w:cs="仿宋_GB2312" w:eastAsia="仿宋_GB2312"/>
                      <w:sz w:val="21"/>
                      <w:color w:val="0000FF"/>
                    </w:rPr>
                    <w:t>11、配置≥5件；</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多功能移动照明</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1、产品由照明模块、电源模块及储物模块3部分组成；</w:t>
                  </w:r>
                </w:p>
                <w:p>
                  <w:pPr>
                    <w:pStyle w:val="null3"/>
                    <w:jc w:val="left"/>
                  </w:pPr>
                  <w:r>
                    <w:rPr>
                      <w:rFonts w:ascii="仿宋_GB2312" w:hAnsi="仿宋_GB2312" w:cs="仿宋_GB2312" w:eastAsia="仿宋_GB2312"/>
                      <w:sz w:val="21"/>
                      <w:color w:val="0000FF"/>
                    </w:rPr>
                    <w:t>2、重量≤13kg，尺寸≤300mm×250mm×700mm；</w:t>
                  </w:r>
                </w:p>
                <w:p>
                  <w:pPr>
                    <w:pStyle w:val="null3"/>
                    <w:jc w:val="left"/>
                  </w:pPr>
                  <w:r>
                    <w:rPr>
                      <w:rFonts w:ascii="仿宋_GB2312" w:hAnsi="仿宋_GB2312" w:cs="仿宋_GB2312" w:eastAsia="仿宋_GB2312"/>
                      <w:sz w:val="21"/>
                      <w:color w:val="0000FF"/>
                    </w:rPr>
                    <w:t>3、灯头角度：可以0-270°调节；</w:t>
                  </w:r>
                </w:p>
                <w:p>
                  <w:pPr>
                    <w:pStyle w:val="null3"/>
                    <w:jc w:val="left"/>
                  </w:pPr>
                  <w:r>
                    <w:rPr>
                      <w:rFonts w:ascii="仿宋_GB2312" w:hAnsi="仿宋_GB2312" w:cs="仿宋_GB2312" w:eastAsia="仿宋_GB2312"/>
                      <w:sz w:val="21"/>
                      <w:color w:val="0000FF"/>
                    </w:rPr>
                    <w:t>4、输出接口：具有2个220v五孔插座接口、一个12v输出接口、3个USB输出接口及1个Type-C输出接口；</w:t>
                  </w:r>
                </w:p>
                <w:p>
                  <w:pPr>
                    <w:pStyle w:val="null3"/>
                    <w:jc w:val="left"/>
                  </w:pPr>
                  <w:r>
                    <w:rPr>
                      <w:rFonts w:ascii="仿宋_GB2312" w:hAnsi="仿宋_GB2312" w:cs="仿宋_GB2312" w:eastAsia="仿宋_GB2312"/>
                      <w:sz w:val="21"/>
                      <w:color w:val="0000FF"/>
                    </w:rPr>
                    <w:t>5、输出功率：220v接口输出功率≥1000瓦；USB接口输出功率≥24瓦；Type-C接口输出功率≥35瓦；</w:t>
                  </w:r>
                </w:p>
                <w:p>
                  <w:pPr>
                    <w:pStyle w:val="null3"/>
                    <w:jc w:val="left"/>
                  </w:pPr>
                  <w:r>
                    <w:rPr>
                      <w:rFonts w:ascii="仿宋_GB2312" w:hAnsi="仿宋_GB2312" w:cs="仿宋_GB2312" w:eastAsia="仿宋_GB2312"/>
                      <w:sz w:val="21"/>
                      <w:color w:val="0000FF"/>
                    </w:rPr>
                    <w:t>6、显示屏：可以显示电量信息；</w:t>
                  </w:r>
                </w:p>
                <w:p>
                  <w:pPr>
                    <w:pStyle w:val="null3"/>
                    <w:jc w:val="left"/>
                  </w:pPr>
                  <w:r>
                    <w:rPr>
                      <w:rFonts w:ascii="仿宋_GB2312" w:hAnsi="仿宋_GB2312" w:cs="仿宋_GB2312" w:eastAsia="仿宋_GB2312"/>
                      <w:sz w:val="21"/>
                      <w:color w:val="0000FF"/>
                    </w:rPr>
                    <w:t>7、设备具有泛光和聚光功能，分别可以独立开启和关闭；</w:t>
                  </w:r>
                </w:p>
                <w:p>
                  <w:pPr>
                    <w:pStyle w:val="null3"/>
                    <w:jc w:val="left"/>
                  </w:pPr>
                  <w:r>
                    <w:rPr>
                      <w:rFonts w:ascii="仿宋_GB2312" w:hAnsi="仿宋_GB2312" w:cs="仿宋_GB2312" w:eastAsia="仿宋_GB2312"/>
                      <w:sz w:val="21"/>
                      <w:color w:val="0000FF"/>
                    </w:rPr>
                    <w:t>8、灯功率：聚光≥45W、泛光≥100W；</w:t>
                  </w:r>
                </w:p>
                <w:p>
                  <w:pPr>
                    <w:pStyle w:val="null3"/>
                    <w:jc w:val="left"/>
                  </w:pPr>
                  <w:r>
                    <w:rPr>
                      <w:rFonts w:ascii="仿宋_GB2312" w:hAnsi="仿宋_GB2312" w:cs="仿宋_GB2312" w:eastAsia="仿宋_GB2312"/>
                      <w:sz w:val="21"/>
                      <w:color w:val="0000FF"/>
                    </w:rPr>
                    <w:t>★9、灯头：灯头升高高度≥2.2m输出聚光光通量≥3500LM  泛光光通量≥14000LM；</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▲10、照度：聚光5米处，光斑中心照度≥600LX；聚光10米处，光斑中心照度≥120LX；泛光5米处，光斑中心照度≥500LX；泛光10米处，光斑中心照度≥100LX；</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11、充电时间：≤5小时</w:t>
                  </w:r>
                </w:p>
                <w:p>
                  <w:pPr>
                    <w:pStyle w:val="null3"/>
                    <w:jc w:val="left"/>
                  </w:pPr>
                  <w:r>
                    <w:rPr>
                      <w:rFonts w:ascii="仿宋_GB2312" w:hAnsi="仿宋_GB2312" w:cs="仿宋_GB2312" w:eastAsia="仿宋_GB2312"/>
                      <w:sz w:val="21"/>
                      <w:color w:val="0000FF"/>
                    </w:rPr>
                    <w:t>▲12、续航时间：泛光强光工作时间≥10小时；泛光弱光工作时间≥72小时；</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★13、储物空间体积≥240mm×130mm×250mm；</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14、限位功能：灯头升高到最高高度，1小时内下滑最大高度≤2cm；</w:t>
                  </w:r>
                </w:p>
                <w:p>
                  <w:pPr>
                    <w:pStyle w:val="null3"/>
                    <w:jc w:val="left"/>
                  </w:pPr>
                  <w:r>
                    <w:rPr>
                      <w:rFonts w:ascii="仿宋_GB2312" w:hAnsi="仿宋_GB2312" w:cs="仿宋_GB2312" w:eastAsia="仿宋_GB2312"/>
                      <w:sz w:val="21"/>
                      <w:color w:val="0000FF"/>
                    </w:rPr>
                    <w:t>15、供电方式：直流供电，即可采用220V变压器充电电，也可选配太阳能板充电；</w:t>
                  </w:r>
                </w:p>
                <w:p>
                  <w:pPr>
                    <w:pStyle w:val="null3"/>
                    <w:jc w:val="left"/>
                  </w:pPr>
                  <w:r>
                    <w:rPr>
                      <w:rFonts w:ascii="仿宋_GB2312" w:hAnsi="仿宋_GB2312" w:cs="仿宋_GB2312" w:eastAsia="仿宋_GB2312"/>
                      <w:sz w:val="21"/>
                      <w:color w:val="0000FF"/>
                    </w:rPr>
                    <w:t>▲16、温控功能：设备具备智能温控，可自行根据温度调节风扇转速；</w:t>
                  </w:r>
                  <w:r>
                    <w:rPr>
                      <w:rFonts w:ascii="仿宋_GB2312" w:hAnsi="仿宋_GB2312" w:cs="仿宋_GB2312" w:eastAsia="仿宋_GB2312"/>
                      <w:sz w:val="21"/>
                      <w:b/>
                      <w:color w:val="0000FF"/>
                    </w:rPr>
                    <w:t>（须在检测报告中体现）</w:t>
                  </w:r>
                </w:p>
                <w:p>
                  <w:pPr>
                    <w:pStyle w:val="null3"/>
                    <w:jc w:val="left"/>
                  </w:pPr>
                  <w:r>
                    <w:rPr>
                      <w:rFonts w:ascii="仿宋_GB2312" w:hAnsi="仿宋_GB2312" w:cs="仿宋_GB2312" w:eastAsia="仿宋_GB2312"/>
                      <w:sz w:val="21"/>
                      <w:color w:val="0000FF"/>
                    </w:rPr>
                    <w:t>17、适应温度：-20°到55°；</w:t>
                  </w:r>
                </w:p>
                <w:p>
                  <w:pPr>
                    <w:pStyle w:val="null3"/>
                    <w:jc w:val="left"/>
                  </w:pPr>
                  <w:r>
                    <w:rPr>
                      <w:rFonts w:ascii="仿宋_GB2312" w:hAnsi="仿宋_GB2312" w:cs="仿宋_GB2312" w:eastAsia="仿宋_GB2312"/>
                      <w:sz w:val="21"/>
                      <w:color w:val="0000FF"/>
                    </w:rPr>
                    <w:t>18、抗摔能力：带包装0.5m高，六个面跌落，功能不受影响；</w:t>
                  </w:r>
                </w:p>
                <w:p>
                  <w:pPr>
                    <w:pStyle w:val="null3"/>
                    <w:jc w:val="left"/>
                  </w:pPr>
                  <w:r>
                    <w:rPr>
                      <w:rFonts w:ascii="仿宋_GB2312" w:hAnsi="仿宋_GB2312" w:cs="仿宋_GB2312" w:eastAsia="仿宋_GB2312"/>
                      <w:sz w:val="21"/>
                      <w:color w:val="0000FF"/>
                    </w:rPr>
                    <w:t>19、外壳防护等级：≥IPX5；</w:t>
                  </w:r>
                </w:p>
                <w:p>
                  <w:pPr>
                    <w:pStyle w:val="null3"/>
                    <w:jc w:val="left"/>
                  </w:pPr>
                  <w:r>
                    <w:rPr>
                      <w:rFonts w:ascii="仿宋_GB2312" w:hAnsi="仿宋_GB2312" w:cs="仿宋_GB2312" w:eastAsia="仿宋_GB2312"/>
                      <w:sz w:val="21"/>
                      <w:b/>
                      <w:color w:val="0000FF"/>
                    </w:rPr>
                    <w:t>提供第三方检测机构出具的产品检测报告</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电子听音器</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1、设备支持屏幕显示声音波形，并支持波形扫描速率四档可调；</w:t>
                  </w:r>
                </w:p>
                <w:p>
                  <w:pPr>
                    <w:pStyle w:val="null3"/>
                    <w:jc w:val="left"/>
                  </w:pPr>
                  <w:r>
                    <w:rPr>
                      <w:rFonts w:ascii="仿宋_GB2312" w:hAnsi="仿宋_GB2312" w:cs="仿宋_GB2312" w:eastAsia="仿宋_GB2312"/>
                      <w:sz w:val="21"/>
                      <w:color w:val="0000FF"/>
                    </w:rPr>
                    <w:t>2、设备采用中文菜单界面，直观、操作简单；</w:t>
                  </w:r>
                </w:p>
                <w:p>
                  <w:pPr>
                    <w:pStyle w:val="null3"/>
                    <w:jc w:val="left"/>
                  </w:pPr>
                  <w:r>
                    <w:rPr>
                      <w:rFonts w:ascii="仿宋_GB2312" w:hAnsi="仿宋_GB2312" w:cs="仿宋_GB2312" w:eastAsia="仿宋_GB2312"/>
                      <w:sz w:val="21"/>
                      <w:color w:val="0000FF"/>
                    </w:rPr>
                    <w:t>3、设备可通过按键调节探测信号音量大小以及波形扫描速率</w:t>
                  </w:r>
                </w:p>
                <w:p>
                  <w:pPr>
                    <w:pStyle w:val="null3"/>
                    <w:jc w:val="left"/>
                  </w:pPr>
                  <w:r>
                    <w:rPr>
                      <w:rFonts w:ascii="仿宋_GB2312" w:hAnsi="仿宋_GB2312" w:cs="仿宋_GB2312" w:eastAsia="仿宋_GB2312"/>
                      <w:sz w:val="21"/>
                      <w:color w:val="0000FF"/>
                    </w:rPr>
                    <w:t>4、无遮挡物探测距离：</w:t>
                  </w:r>
                </w:p>
                <w:p>
                  <w:pPr>
                    <w:pStyle w:val="null3"/>
                    <w:jc w:val="left"/>
                  </w:pPr>
                  <w:r>
                    <w:rPr>
                      <w:rFonts w:ascii="仿宋_GB2312" w:hAnsi="仿宋_GB2312" w:cs="仿宋_GB2312" w:eastAsia="仿宋_GB2312"/>
                      <w:sz w:val="21"/>
                      <w:color w:val="0000FF"/>
                    </w:rPr>
                    <w:t>机械指针式计时器</w:t>
                  </w:r>
                  <w:r>
                    <w:rPr>
                      <w:rFonts w:ascii="仿宋_GB2312" w:hAnsi="仿宋_GB2312" w:cs="仿宋_GB2312" w:eastAsia="仿宋_GB2312"/>
                      <w:sz w:val="21"/>
                      <w:color w:val="0000FF"/>
                    </w:rPr>
                    <w:t>≥3.5m</w:t>
                  </w:r>
                </w:p>
                <w:p>
                  <w:pPr>
                    <w:pStyle w:val="null3"/>
                    <w:jc w:val="left"/>
                  </w:pPr>
                  <w:r>
                    <w:rPr>
                      <w:rFonts w:ascii="仿宋_GB2312" w:hAnsi="仿宋_GB2312" w:cs="仿宋_GB2312" w:eastAsia="仿宋_GB2312"/>
                      <w:sz w:val="21"/>
                      <w:color w:val="0000FF"/>
                    </w:rPr>
                    <w:t>电子指针式计时器</w:t>
                  </w:r>
                  <w:r>
                    <w:rPr>
                      <w:rFonts w:ascii="仿宋_GB2312" w:hAnsi="仿宋_GB2312" w:cs="仿宋_GB2312" w:eastAsia="仿宋_GB2312"/>
                      <w:sz w:val="21"/>
                      <w:color w:val="0000FF"/>
                    </w:rPr>
                    <w:t>≥0.8m</w:t>
                  </w:r>
                </w:p>
                <w:p>
                  <w:pPr>
                    <w:pStyle w:val="null3"/>
                    <w:jc w:val="left"/>
                  </w:pPr>
                  <w:r>
                    <w:rPr>
                      <w:rFonts w:ascii="仿宋_GB2312" w:hAnsi="仿宋_GB2312" w:cs="仿宋_GB2312" w:eastAsia="仿宋_GB2312"/>
                      <w:sz w:val="21"/>
                      <w:color w:val="0000FF"/>
                    </w:rPr>
                    <w:t>电子数显式计时器</w:t>
                  </w:r>
                  <w:r>
                    <w:rPr>
                      <w:rFonts w:ascii="仿宋_GB2312" w:hAnsi="仿宋_GB2312" w:cs="仿宋_GB2312" w:eastAsia="仿宋_GB2312"/>
                      <w:sz w:val="21"/>
                      <w:color w:val="0000FF"/>
                    </w:rPr>
                    <w:t>≥0.8m</w:t>
                  </w:r>
                </w:p>
                <w:p>
                  <w:pPr>
                    <w:pStyle w:val="null3"/>
                    <w:jc w:val="left"/>
                  </w:pPr>
                  <w:r>
                    <w:rPr>
                      <w:rFonts w:ascii="仿宋_GB2312" w:hAnsi="仿宋_GB2312" w:cs="仿宋_GB2312" w:eastAsia="仿宋_GB2312"/>
                      <w:sz w:val="21"/>
                      <w:color w:val="0000FF"/>
                    </w:rPr>
                    <w:t>5、穿透性要求：</w:t>
                  </w:r>
                </w:p>
                <w:p>
                  <w:pPr>
                    <w:pStyle w:val="null3"/>
                    <w:jc w:val="left"/>
                  </w:pPr>
                  <w:r>
                    <w:rPr>
                      <w:rFonts w:ascii="仿宋_GB2312" w:hAnsi="仿宋_GB2312" w:cs="仿宋_GB2312" w:eastAsia="仿宋_GB2312"/>
                      <w:sz w:val="21"/>
                      <w:color w:val="0000FF"/>
                    </w:rPr>
                    <w:t>机械指针式计时器：分别以</w:t>
                  </w:r>
                  <w:r>
                    <w:rPr>
                      <w:rFonts w:ascii="仿宋_GB2312" w:hAnsi="仿宋_GB2312" w:cs="仿宋_GB2312" w:eastAsia="仿宋_GB2312"/>
                      <w:sz w:val="21"/>
                      <w:color w:val="0000FF"/>
                    </w:rPr>
                    <w:t>100mm厚聚乙烯泡沫及200mm厚70gA4打印纸作为遮挡物，可探测到机械指针式定时器发出的声音信号；</w:t>
                  </w:r>
                </w:p>
                <w:p>
                  <w:pPr>
                    <w:pStyle w:val="null3"/>
                    <w:jc w:val="left"/>
                  </w:pPr>
                  <w:r>
                    <w:rPr>
                      <w:rFonts w:ascii="仿宋_GB2312" w:hAnsi="仿宋_GB2312" w:cs="仿宋_GB2312" w:eastAsia="仿宋_GB2312"/>
                      <w:sz w:val="21"/>
                      <w:color w:val="0000FF"/>
                    </w:rPr>
                    <w:t>电子指针式计时器</w:t>
                  </w:r>
                  <w:r>
                    <w:rPr>
                      <w:rFonts w:ascii="仿宋_GB2312" w:hAnsi="仿宋_GB2312" w:cs="仿宋_GB2312" w:eastAsia="仿宋_GB2312"/>
                      <w:sz w:val="21"/>
                      <w:color w:val="0000FF"/>
                    </w:rPr>
                    <w:t>/电子数显式计时器：分别以100mm厚聚乙烯泡沫及100mm厚70gA4打印纸作为遮挡物，可探测到电子指针式定时器/电子数显式计时器发出的声音信号；</w:t>
                  </w:r>
                </w:p>
                <w:p>
                  <w:pPr>
                    <w:pStyle w:val="null3"/>
                    <w:jc w:val="left"/>
                  </w:pPr>
                  <w:r>
                    <w:rPr>
                      <w:rFonts w:ascii="仿宋_GB2312" w:hAnsi="仿宋_GB2312" w:cs="仿宋_GB2312" w:eastAsia="仿宋_GB2312"/>
                      <w:sz w:val="21"/>
                      <w:color w:val="0000FF"/>
                    </w:rPr>
                    <w:t>6、设备具有无线监听：在无遮挡和电磁干扰情况下，距探测主机30m处可通过无线耳机进行监听；</w:t>
                  </w:r>
                </w:p>
                <w:p>
                  <w:pPr>
                    <w:pStyle w:val="null3"/>
                    <w:jc w:val="left"/>
                  </w:pPr>
                  <w:r>
                    <w:rPr>
                      <w:rFonts w:ascii="仿宋_GB2312" w:hAnsi="仿宋_GB2312" w:cs="仿宋_GB2312" w:eastAsia="仿宋_GB2312"/>
                      <w:sz w:val="21"/>
                      <w:color w:val="0000FF"/>
                    </w:rPr>
                    <w:t>7、内置电池满电时，可连续工作时间≥10小时；</w:t>
                  </w:r>
                </w:p>
                <w:p>
                  <w:pPr>
                    <w:pStyle w:val="null3"/>
                    <w:jc w:val="left"/>
                  </w:pPr>
                  <w:r>
                    <w:rPr>
                      <w:rFonts w:ascii="仿宋_GB2312" w:hAnsi="仿宋_GB2312" w:cs="仿宋_GB2312" w:eastAsia="仿宋_GB2312"/>
                      <w:sz w:val="21"/>
                      <w:color w:val="0000FF"/>
                    </w:rPr>
                    <w:t>8、整机质量：≤1.2kg</w:t>
                  </w:r>
                </w:p>
                <w:p>
                  <w:pPr>
                    <w:pStyle w:val="null3"/>
                    <w:jc w:val="left"/>
                  </w:pPr>
                  <w:r>
                    <w:rPr>
                      <w:rFonts w:ascii="仿宋_GB2312" w:hAnsi="仿宋_GB2312" w:cs="仿宋_GB2312" w:eastAsia="仿宋_GB2312"/>
                      <w:sz w:val="21"/>
                      <w:color w:val="0000FF"/>
                    </w:rPr>
                    <w:t>9、</w:t>
                  </w:r>
                  <w:r>
                    <w:rPr>
                      <w:rFonts w:ascii="仿宋_GB2312" w:hAnsi="仿宋_GB2312" w:cs="仿宋_GB2312" w:eastAsia="仿宋_GB2312"/>
                      <w:sz w:val="21"/>
                      <w:color w:val="0000FF"/>
                    </w:rPr>
                    <w:t>外壳防护等级：</w:t>
                  </w:r>
                  <w:r>
                    <w:rPr>
                      <w:rFonts w:ascii="仿宋_GB2312" w:hAnsi="仿宋_GB2312" w:cs="仿宋_GB2312" w:eastAsia="仿宋_GB2312"/>
                      <w:sz w:val="21"/>
                      <w:color w:val="0000FF"/>
                    </w:rPr>
                    <w:t>≥IP65</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伸缩检查镜</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1、探头图像传感器：高分辨率≥1/3英寸CCD高清探头，DSP颜色处理，水平清晰度：≥800TVL，最低照度：≤0.01lux，信噪比：≥45dB；</w:t>
                  </w:r>
                </w:p>
                <w:p>
                  <w:pPr>
                    <w:pStyle w:val="null3"/>
                    <w:jc w:val="left"/>
                  </w:pPr>
                  <w:r>
                    <w:rPr>
                      <w:rFonts w:ascii="仿宋_GB2312" w:hAnsi="仿宋_GB2312" w:cs="仿宋_GB2312" w:eastAsia="仿宋_GB2312"/>
                      <w:sz w:val="21"/>
                      <w:color w:val="0000FF"/>
                    </w:rPr>
                    <w:t>2、摄像头分辨率：≥1600×1200，镜头视场角：≥125°，可调节角度：镜头可垂直方向≥300°，水平方向≥360°轴向旋转，控制方式：电动遥控调节，红外辅助光照射距离：≥3米；红外辅助光照射面积：可视面积≥80%；红外辅助光波长：≥940nm;无红曝红外灯开启式，肉眼应观察不到红外灯发光现象；</w:t>
                  </w:r>
                </w:p>
                <w:p>
                  <w:pPr>
                    <w:pStyle w:val="null3"/>
                    <w:jc w:val="left"/>
                  </w:pPr>
                  <w:r>
                    <w:rPr>
                      <w:rFonts w:ascii="仿宋_GB2312" w:hAnsi="仿宋_GB2312" w:cs="仿宋_GB2312" w:eastAsia="仿宋_GB2312"/>
                      <w:sz w:val="21"/>
                      <w:color w:val="0000FF"/>
                    </w:rPr>
                    <w:t>3、视频显示器：≥7英寸彩色高清晰液晶显示屏，显示器转角：上下180度，可调角度，亮度：≥350cd/㎡，图像输出方式：USB2.0、HDMI高清输出接口；</w:t>
                  </w:r>
                </w:p>
                <w:p>
                  <w:pPr>
                    <w:pStyle w:val="null3"/>
                    <w:jc w:val="left"/>
                  </w:pPr>
                  <w:r>
                    <w:rPr>
                      <w:rFonts w:ascii="仿宋_GB2312" w:hAnsi="仿宋_GB2312" w:cs="仿宋_GB2312" w:eastAsia="仿宋_GB2312"/>
                      <w:sz w:val="21"/>
                      <w:color w:val="0000FF"/>
                    </w:rPr>
                    <w:t>4、照明光源及碳纤维杆伸缩杆：不小于6颗红外线LED辅助光源，可在全黑环境下工作，伸缩管延展可达5m；</w:t>
                  </w:r>
                </w:p>
                <w:p>
                  <w:pPr>
                    <w:pStyle w:val="null3"/>
                    <w:jc w:val="left"/>
                  </w:pPr>
                  <w:r>
                    <w:rPr>
                      <w:rFonts w:ascii="仿宋_GB2312" w:hAnsi="仿宋_GB2312" w:cs="仿宋_GB2312" w:eastAsia="仿宋_GB2312"/>
                      <w:sz w:val="21"/>
                      <w:color w:val="0000FF"/>
                    </w:rPr>
                    <w:t>5、存储记忆：视频AVI≥1080×960，图片JPG≥1600×1200，存储卡：不小于32GTF卡（可扩充至128GB）；</w:t>
                  </w:r>
                </w:p>
                <w:p>
                  <w:pPr>
                    <w:pStyle w:val="null3"/>
                    <w:jc w:val="left"/>
                  </w:pPr>
                  <w:r>
                    <w:rPr>
                      <w:rFonts w:ascii="仿宋_GB2312" w:hAnsi="仿宋_GB2312" w:cs="仿宋_GB2312" w:eastAsia="仿宋_GB2312"/>
                      <w:sz w:val="21"/>
                      <w:color w:val="0000FF"/>
                    </w:rPr>
                    <w:t>6、充电电池：标称电压12V，容量≥5Ah，工作时间：可连续工作≥5小时；</w:t>
                  </w:r>
                </w:p>
                <w:p>
                  <w:pPr>
                    <w:pStyle w:val="null3"/>
                    <w:jc w:val="left"/>
                  </w:pPr>
                  <w:r>
                    <w:rPr>
                      <w:rFonts w:ascii="仿宋_GB2312" w:hAnsi="仿宋_GB2312" w:cs="仿宋_GB2312" w:eastAsia="仿宋_GB2312"/>
                      <w:sz w:val="21"/>
                      <w:color w:val="0000FF"/>
                    </w:rPr>
                    <w:t>7、防护等级:≥IP68</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1套</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警用喷雾</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1、喷射器长度约：≤180mm，筒身最大外径：≤40mm；</w:t>
                  </w:r>
                </w:p>
                <w:p>
                  <w:pPr>
                    <w:pStyle w:val="null3"/>
                    <w:jc w:val="left"/>
                  </w:pPr>
                  <w:r>
                    <w:rPr>
                      <w:rFonts w:ascii="仿宋_GB2312" w:hAnsi="仿宋_GB2312" w:cs="仿宋_GB2312" w:eastAsia="仿宋_GB2312"/>
                      <w:sz w:val="21"/>
                      <w:color w:val="0000FF"/>
                    </w:rPr>
                    <w:t>2、喷射器溶液体积：约70ML±1ML；</w:t>
                  </w:r>
                </w:p>
                <w:p>
                  <w:pPr>
                    <w:pStyle w:val="null3"/>
                    <w:jc w:val="left"/>
                  </w:pPr>
                  <w:r>
                    <w:rPr>
                      <w:rFonts w:ascii="仿宋_GB2312" w:hAnsi="仿宋_GB2312" w:cs="仿宋_GB2312" w:eastAsia="仿宋_GB2312"/>
                      <w:sz w:val="21"/>
                      <w:color w:val="0000FF"/>
                    </w:rPr>
                    <w:t>3、有效喷射距离：≥4m；有效喷射时间：≥7s；</w:t>
                  </w:r>
                </w:p>
                <w:p>
                  <w:pPr>
                    <w:pStyle w:val="null3"/>
                    <w:jc w:val="left"/>
                  </w:pPr>
                  <w:r>
                    <w:rPr>
                      <w:rFonts w:ascii="仿宋_GB2312" w:hAnsi="仿宋_GB2312" w:cs="仿宋_GB2312" w:eastAsia="仿宋_GB2312"/>
                      <w:sz w:val="21"/>
                      <w:color w:val="0000FF"/>
                    </w:rPr>
                    <w:t>4、经过稳定性，承压安全性，跌落可靠性试验后，不解体、不泄漏、不爆裂；</w:t>
                  </w:r>
                </w:p>
                <w:p>
                  <w:pPr>
                    <w:pStyle w:val="null3"/>
                    <w:jc w:val="left"/>
                  </w:pPr>
                  <w:r>
                    <w:rPr>
                      <w:rFonts w:ascii="仿宋_GB2312" w:hAnsi="仿宋_GB2312" w:cs="仿宋_GB2312" w:eastAsia="仿宋_GB2312"/>
                      <w:sz w:val="21"/>
                      <w:color w:val="0000FF"/>
                    </w:rPr>
                    <w:t>5、符合GA884-2018《催泪喷射器》标准要求</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640个</w:t>
                  </w:r>
                </w:p>
              </w:tc>
            </w:tr>
          </w:tbl>
          <w:p>
            <w:pPr>
              <w:pStyle w:val="null3"/>
            </w:pPr>
            <w:r>
              <w:rPr>
                <w:rFonts w:ascii="仿宋_GB2312" w:hAnsi="仿宋_GB2312" w:cs="仿宋_GB2312" w:eastAsia="仿宋_GB2312"/>
                <w:sz w:val="21"/>
                <w:b/>
                <w:color w:val="0000FF"/>
              </w:rPr>
              <w:t>备注：本项目核心产品为：警用喷雾。</w:t>
            </w:r>
          </w:p>
          <w:p>
            <w:pPr>
              <w:pStyle w:val="null3"/>
              <w:jc w:val="both"/>
            </w:pPr>
            <w:r>
              <w:rPr>
                <w:rFonts w:ascii="仿宋_GB2312" w:hAnsi="仿宋_GB2312" w:cs="仿宋_GB2312" w:eastAsia="仿宋_GB2312"/>
                <w:sz w:val="21"/>
                <w:color w:val="0000FF"/>
              </w:rPr>
              <w:t>如通过初审的有效供应商拟供核心产品的品牌相同，按照《政府采购货物和服务招标投标管理办法》</w:t>
            </w:r>
            <w:r>
              <w:rPr>
                <w:rFonts w:ascii="仿宋_GB2312" w:hAnsi="仿宋_GB2312" w:cs="仿宋_GB2312" w:eastAsia="仿宋_GB2312"/>
                <w:sz w:val="21"/>
                <w:color w:val="0000FF"/>
              </w:rPr>
              <w:t>(第87号令)规定，提供相同核心品牌产品且通过资格审查、符合性审查的不同供应商参加同一合同项下投标的，按一家供应商计算，评审后得分最高的同品牌供应商获得中标人推荐资格</w:t>
            </w:r>
            <w:r>
              <w:rPr>
                <w:rFonts w:ascii="仿宋_GB2312" w:hAnsi="仿宋_GB2312" w:cs="仿宋_GB2312" w:eastAsia="仿宋_GB2312"/>
                <w:sz w:val="21"/>
                <w:color w:val="0000FF"/>
              </w:rPr>
              <w:t>；</w:t>
            </w:r>
            <w:r>
              <w:rPr>
                <w:rFonts w:ascii="仿宋_GB2312" w:hAnsi="仿宋_GB2312" w:cs="仿宋_GB2312" w:eastAsia="仿宋_GB2312"/>
                <w:sz w:val="21"/>
                <w:color w:val="0000FF"/>
              </w:rPr>
              <w:t>评审得分相同的，以</w:t>
            </w:r>
            <w:r>
              <w:rPr>
                <w:rFonts w:ascii="仿宋_GB2312" w:hAnsi="仿宋_GB2312" w:cs="仿宋_GB2312" w:eastAsia="仿宋_GB2312"/>
                <w:sz w:val="21"/>
                <w:color w:val="0000FF"/>
              </w:rPr>
              <w:t>“售后服务</w:t>
            </w:r>
            <w:r>
              <w:rPr>
                <w:rFonts w:ascii="仿宋_GB2312" w:hAnsi="仿宋_GB2312" w:cs="仿宋_GB2312" w:eastAsia="仿宋_GB2312"/>
                <w:sz w:val="21"/>
                <w:color w:val="0000FF"/>
              </w:rPr>
              <w:t>、培训方案</w:t>
            </w:r>
            <w:r>
              <w:rPr>
                <w:rFonts w:ascii="仿宋_GB2312" w:hAnsi="仿宋_GB2312" w:cs="仿宋_GB2312" w:eastAsia="仿宋_GB2312"/>
                <w:sz w:val="21"/>
                <w:color w:val="0000FF"/>
              </w:rPr>
              <w:t>”得分</w:t>
            </w:r>
            <w:r>
              <w:rPr>
                <w:rFonts w:ascii="仿宋_GB2312" w:hAnsi="仿宋_GB2312" w:cs="仿宋_GB2312" w:eastAsia="仿宋_GB2312"/>
                <w:sz w:val="21"/>
                <w:color w:val="0000FF"/>
              </w:rPr>
              <w:t>高的优先，其他同品牌供应商不作为中标候选人。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西安市公安局长安分局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合同签订，项目完成且经验收合格后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1、甲方须在乙方提出书面验收申请之日起 10日内，组织验收工作。验收由甲方指定单位及人员进行验收，验收合格后出具书面验收合格证明，作为对产品的最终认可。2、验收依据：单证齐全，应有产品合格证、质量证明、使用说明、保修保质证明、发票和其他应当具有的单证。3、质量标准：符合国家法律、法规对该产品规定的国家标准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本项目属于支持本国产品采购项目。 根据《国务院办公厅关于在政府采购中实施本国产品标准及相关政策的通知》（国办发〔2025〕34号）规定：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③供应商应根据招标文件第六章投标文件格式，出具符合要求的《关于符合本国产品标准的声明函》，否则视同非本国产品。供应商提供虚假《声明函》、虚假证明文件谋取中标、成交的，依照《政府采购法》等法律法规规定追究相应责任。 本项目采购包中含有多种产品，供应商除提供《关于符合本国产品标准的声明函》外，另须提供《关于符合本国产品成本占比的声明函》，未提供或提供不全的不享受价格扣除。 本项目评分标准：报价得分=（基准价/参评报价）×分值；享受价格扣除的：供应商参评价格=总报价×[1-（小微价格扣除比例+本国产品价格扣除比例）]</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资格审查资料.docx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投标人提交的相关说明和证明材料，应当加盖投标人（法定名称）电子印章，相关供应商应于30分钟内（含30分钟）按评标委员会要求提供相应证明材料，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其他资料.docx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符合“第三章 招标项目技术、服务、商务及其他要求 3.4商务要求”条款，不得出现负偏离。</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符合“第三章 招标项目技术、服务、商务及其他要求 第3.3条 技术要求”标★项技术参数要求，不得出现负偏离。</w:t>
            </w:r>
          </w:p>
        </w:tc>
        <w:tc>
          <w:tcPr>
            <w:tcW w:type="dxa" w:w="1661"/>
          </w:tcPr>
          <w:p>
            <w:pPr>
              <w:pStyle w:val="null3"/>
            </w:pPr>
            <w:r>
              <w:rPr>
                <w:rFonts w:ascii="仿宋_GB2312" w:hAnsi="仿宋_GB2312" w:cs="仿宋_GB2312" w:eastAsia="仿宋_GB2312"/>
              </w:rPr>
              <w:t>技术偏差表.docx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第三章“采购清单”中的标“▲”项参数共9项、每项4分，参数完全满足得36分，每有一项不满足（或负偏离）扣4分，扣完为止。 注：供应商需提供技术参数中要求提供的证明材料，予以证明技术要求的响应性；未提供的和虽提供但无法佐证者，均不得分。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根据供应商提供的实施方案进行评审，实施方案包含①备货、供货方案②安装调试和检验验收方案③货物运输方案④整体进度计划。 实施方案须全面，实施步骤清晰、合理有针对性，满足项目需求，每提供一项内容得2分，共计8分，每项内容每存在1项缺陷的，从2分中扣除0.5分，扣完为止。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供应商针对本项目提供所投产品质量保证措施。包括①质量保证措施；②产品出现质量问题的应急方案。③质量监督机制。 质量保障措施全面详细、阐述条理清晰详尽、符合本项目采购需求，能保障本项目实施，每提供一项内容得2分，共计6分，每项内容每存在1项缺陷的，从2分中扣除0.5分，扣完为止。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根据供应商提供的培训方案，包括但不限于①日常操作培训②维护保养培训③培训时间及时长进行评审。 内容全面详细、阐述条理清晰详尽、符合本项目采购需求，能有效保障本项目实施，每提供一项内容得1分，共计3分，每项内容每存在1项缺陷的，从1分中扣除0.2分，扣完为止。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进行评审，包括但不限于：①售后服务响应及处理周期；②售后应急措施；③售后服务人员配备。内容全面详细、阐述条理清晰详尽、符合本项目采购需求，能有效保障本项目实施，每提供一项内容得1分，共计3分，每项内容每存在1项缺陷的，从1分中扣除0.2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提供2023年1月1日至投标文件递交截止时间止投标人类似项目合同案例（警用服装或警用设备类），每提供一个得5分，满分10分。 注：需提供业绩合同复印件并加盖投标人公章，日期以合同签订日期为准，未提供或所提供证明材料不符合要求的不得分。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1.供应商提供所投产品国家节能产品认证且证书且在有效期内的，得2分，2.提供所投产品中国环境标志产品认证证书且在有效期内的，得2分。 注：需提供相关认证证书或在证明材料复印件并加盖供应商公章，未提供不得分。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 一按照下列公式计算：投标报价得分=（评标基准价/投标报价） ×分值； 注：1、享受价格扣除的：供应商参评价格=投标报价×[1-（小微价格扣除比例+本国产品价格扣除比例）]； 2、不享受价格扣除的：供应商参评价格=投标报价； 3、小微企业、监狱企业、残疾人福利性单位的价格给予10%的扣除，用扣除后的价格参与评审； 4、根据《国务院办公厅关于在政府采购中实施本国产品标准及相关政策的通知》（国办发〔2025〕34号）规定：①政府采购活动中既有本国产品又有非本国产品参与竞争的，依法对本国产品给予价格评审优惠，对本国产品的报价给予20%的价格扣除，用扣除后的价格参与评审。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③投标人应根据招标文件第六章 投标文件格式附件，出具符合要求的《关于符合本国产品标准的声明函》，否则视同非本国产品。投标人提供虚假《声明函》、虚假证明文件谋取中标、成交的，依照《政府采购法》等法律法规规定追究相应责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本国产品声明函.docx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详见附件：本国产品声明函.docx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详见附件：技术偏差表.docx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详见附件：合同样稿.docx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