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0" w:lineRule="exact"/>
        <w:jc w:val="both"/>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FZC2026-060</w:t>
      </w:r>
    </w:p>
    <w:p>
      <w:pPr>
        <w:pStyle w:val="12"/>
        <w:ind w:left="0" w:leftChars="0"/>
        <w:jc w:val="center"/>
        <w:rPr>
          <w:rFonts w:hint="eastAsia" w:ascii="宋体" w:hAnsi="宋体" w:eastAsia="宋体" w:cs="宋体"/>
          <w:b/>
          <w:bCs w:val="0"/>
          <w:color w:val="333333"/>
          <w:kern w:val="0"/>
          <w:sz w:val="52"/>
          <w:szCs w:val="52"/>
          <w:lang w:val="en-US" w:eastAsia="zh-CN"/>
        </w:rPr>
      </w:pPr>
      <w:r>
        <w:rPr>
          <w:rFonts w:hint="eastAsia" w:ascii="宋体" w:hAnsi="宋体" w:eastAsia="宋体" w:cs="宋体"/>
          <w:b/>
          <w:bCs w:val="0"/>
          <w:color w:val="333333"/>
          <w:kern w:val="0"/>
          <w:sz w:val="52"/>
          <w:szCs w:val="52"/>
          <w:lang w:val="en-US" w:eastAsia="zh-CN"/>
        </w:rPr>
        <w:t xml:space="preserve"> </w:t>
      </w:r>
    </w:p>
    <w:p>
      <w:pPr>
        <w:pStyle w:val="12"/>
        <w:ind w:left="0" w:leftChars="0"/>
        <w:jc w:val="center"/>
        <w:rPr>
          <w:rFonts w:hint="eastAsia" w:ascii="宋体" w:hAnsi="宋体" w:eastAsia="宋体" w:cs="宋体"/>
          <w:b/>
          <w:bCs w:val="0"/>
          <w:color w:val="333333"/>
          <w:kern w:val="0"/>
          <w:sz w:val="52"/>
          <w:szCs w:val="52"/>
          <w:lang w:val="en-US" w:eastAsia="zh-CN"/>
        </w:rPr>
      </w:pPr>
    </w:p>
    <w:p>
      <w:pPr>
        <w:pStyle w:val="12"/>
        <w:ind w:left="0" w:leftChars="0"/>
        <w:jc w:val="center"/>
        <w:rPr>
          <w:rFonts w:hint="eastAsia" w:ascii="宋体" w:hAnsi="宋体" w:eastAsia="宋体" w:cs="宋体"/>
          <w:b/>
          <w:bCs w:val="0"/>
          <w:color w:val="333333"/>
          <w:kern w:val="0"/>
          <w:sz w:val="52"/>
          <w:szCs w:val="52"/>
          <w:lang w:val="en-US" w:eastAsia="zh-CN"/>
        </w:rPr>
      </w:pPr>
    </w:p>
    <w:p>
      <w:pPr>
        <w:jc w:val="center"/>
        <w:rPr>
          <w:rFonts w:hint="eastAsia" w:ascii="方正小标宋简体" w:hAnsi="方正小标宋简体" w:eastAsia="方正小标宋简体" w:cs="方正小标宋简体"/>
          <w:b w:val="0"/>
          <w:bCs/>
          <w:color w:val="000000"/>
          <w:sz w:val="52"/>
          <w:szCs w:val="52"/>
          <w:lang w:val="en-US" w:eastAsia="zh-CN"/>
        </w:rPr>
      </w:pPr>
      <w:r>
        <w:rPr>
          <w:rFonts w:hint="eastAsia" w:ascii="方正小标宋简体" w:hAnsi="方正小标宋简体" w:eastAsia="方正小标宋简体" w:cs="方正小标宋简体"/>
          <w:b w:val="0"/>
          <w:bCs/>
          <w:color w:val="000000"/>
          <w:sz w:val="52"/>
          <w:szCs w:val="52"/>
          <w:lang w:val="en-US" w:eastAsia="zh-CN"/>
        </w:rPr>
        <w:t>已交楼未进行消防验收项目（检测标段）</w:t>
      </w:r>
    </w:p>
    <w:p>
      <w:pPr>
        <w:jc w:val="center"/>
        <w:rPr>
          <w:rFonts w:hint="eastAsia" w:ascii="方正小标宋简体" w:hAnsi="方正小标宋简体" w:eastAsia="方正小标宋简体" w:cs="方正小标宋简体"/>
          <w:b w:val="0"/>
          <w:bCs/>
          <w:color w:val="000000"/>
          <w:sz w:val="52"/>
          <w:szCs w:val="52"/>
        </w:rPr>
      </w:pPr>
      <w:r>
        <w:rPr>
          <w:rFonts w:hint="eastAsia" w:ascii="方正小标宋简体" w:hAnsi="方正小标宋简体" w:eastAsia="方正小标宋简体" w:cs="方正小标宋简体"/>
          <w:b w:val="0"/>
          <w:bCs/>
          <w:color w:val="000000"/>
          <w:sz w:val="52"/>
          <w:szCs w:val="52"/>
        </w:rPr>
        <w:t>竞争性磋商文件</w:t>
      </w:r>
    </w:p>
    <w:p>
      <w:pPr>
        <w:jc w:val="center"/>
        <w:rPr>
          <w:rFonts w:hint="eastAsia" w:ascii="宋体" w:hAnsi="宋体" w:eastAsia="宋体" w:cs="宋体"/>
          <w:b/>
          <w:bCs/>
          <w:sz w:val="36"/>
          <w:szCs w:val="44"/>
        </w:rPr>
      </w:pPr>
    </w:p>
    <w:p>
      <w:pPr>
        <w:pStyle w:val="12"/>
        <w:ind w:left="0" w:leftChars="0"/>
        <w:rPr>
          <w:rFonts w:hint="eastAsia" w:ascii="宋体" w:hAnsi="宋体" w:eastAsia="宋体" w:cs="宋体"/>
        </w:rPr>
      </w:pPr>
    </w:p>
    <w:p>
      <w:pPr>
        <w:pStyle w:val="12"/>
        <w:ind w:left="0" w:leftChars="0"/>
        <w:rPr>
          <w:rFonts w:hint="eastAsia" w:ascii="宋体" w:hAnsi="宋体" w:eastAsia="宋体" w:cs="宋体"/>
          <w:lang w:eastAsia="zh-CN"/>
        </w:rPr>
      </w:pPr>
    </w:p>
    <w:p>
      <w:pPr>
        <w:ind w:firstLine="321" w:firstLineChars="100"/>
        <w:jc w:val="center"/>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rPr>
      </w:pPr>
    </w:p>
    <w:p>
      <w:pPr>
        <w:jc w:val="both"/>
        <w:rPr>
          <w:rFonts w:hint="eastAsia" w:ascii="宋体" w:hAnsi="宋体" w:eastAsia="宋体" w:cs="宋体"/>
          <w:b/>
          <w:bCs/>
          <w:sz w:val="32"/>
          <w:szCs w:val="44"/>
        </w:rPr>
      </w:pPr>
      <w:r>
        <w:rPr>
          <w:rFonts w:hint="eastAsia" w:ascii="宋体" w:hAnsi="宋体" w:eastAsia="宋体" w:cs="宋体"/>
          <w:b/>
          <w:bCs/>
          <w:sz w:val="32"/>
          <w:szCs w:val="44"/>
          <w:lang w:val="en-US" w:eastAsia="zh-CN"/>
        </w:rPr>
        <w:t xml:space="preserve">             采购单位：</w:t>
      </w:r>
      <w:r>
        <w:rPr>
          <w:rFonts w:hint="eastAsia" w:ascii="宋体" w:hAnsi="宋体" w:cs="宋体"/>
          <w:b/>
          <w:bCs/>
          <w:sz w:val="32"/>
          <w:szCs w:val="44"/>
          <w:lang w:val="en-US" w:eastAsia="zh-CN"/>
        </w:rPr>
        <w:t>富县住房和城乡建设局</w:t>
      </w:r>
    </w:p>
    <w:p>
      <w:pPr>
        <w:jc w:val="center"/>
        <w:rPr>
          <w:rFonts w:hint="eastAsia" w:ascii="宋体" w:hAnsi="宋体" w:eastAsia="宋体" w:cs="宋体"/>
          <w:b/>
          <w:sz w:val="36"/>
        </w:rPr>
      </w:pPr>
      <w:r>
        <w:rPr>
          <w:rFonts w:hint="eastAsia" w:ascii="宋体" w:hAnsi="宋体" w:eastAsia="宋体" w:cs="宋体"/>
          <w:b/>
          <w:bCs/>
          <w:sz w:val="32"/>
          <w:szCs w:val="44"/>
        </w:rPr>
        <w:t>采购代理机构：</w:t>
      </w:r>
      <w:r>
        <w:rPr>
          <w:rFonts w:hint="eastAsia" w:ascii="宋体" w:hAnsi="宋体" w:eastAsia="宋体" w:cs="宋体"/>
          <w:b/>
          <w:bCs/>
          <w:sz w:val="32"/>
          <w:szCs w:val="44"/>
          <w:lang w:val="en-US" w:eastAsia="zh-CN"/>
        </w:rPr>
        <w:t>富县政府采购管理中心</w:t>
      </w:r>
    </w:p>
    <w:p>
      <w:pPr>
        <w:tabs>
          <w:tab w:val="left" w:pos="3642"/>
        </w:tabs>
        <w:ind w:firstLine="3540" w:firstLineChars="1102"/>
        <w:jc w:val="left"/>
        <w:rPr>
          <w:rFonts w:hint="eastAsia" w:ascii="宋体" w:hAnsi="宋体" w:eastAsia="宋体" w:cs="宋体"/>
          <w:b/>
          <w:sz w:val="36"/>
        </w:rPr>
      </w:pPr>
      <w:r>
        <w:rPr>
          <w:rFonts w:hint="eastAsia" w:ascii="宋体" w:hAnsi="宋体" w:eastAsia="宋体" w:cs="宋体"/>
          <w:b/>
          <w:sz w:val="32"/>
          <w:szCs w:val="32"/>
        </w:rPr>
        <w:t>二〇二</w:t>
      </w:r>
      <w:r>
        <w:rPr>
          <w:rFonts w:hint="eastAsia" w:ascii="宋体" w:hAnsi="宋体" w:cs="宋体"/>
          <w:b/>
          <w:sz w:val="32"/>
          <w:szCs w:val="32"/>
          <w:lang w:val="en-US" w:eastAsia="zh-CN"/>
        </w:rPr>
        <w:t>六</w:t>
      </w:r>
      <w:r>
        <w:rPr>
          <w:rFonts w:hint="eastAsia" w:ascii="宋体" w:hAnsi="宋体" w:eastAsia="宋体" w:cs="宋体"/>
          <w:b/>
          <w:sz w:val="32"/>
          <w:szCs w:val="32"/>
        </w:rPr>
        <w:t>年</w:t>
      </w:r>
      <w:r>
        <w:rPr>
          <w:rFonts w:hint="eastAsia" w:ascii="宋体" w:hAnsi="宋体" w:cs="宋体"/>
          <w:b/>
          <w:sz w:val="32"/>
          <w:szCs w:val="32"/>
          <w:lang w:val="en-US" w:eastAsia="zh-CN"/>
        </w:rPr>
        <w:t>六</w:t>
      </w:r>
      <w:r>
        <w:rPr>
          <w:rFonts w:hint="eastAsia" w:ascii="宋体" w:hAnsi="宋体" w:eastAsia="宋体" w:cs="宋体"/>
          <w:b/>
          <w:sz w:val="32"/>
          <w:szCs w:val="32"/>
        </w:rPr>
        <w:t>月</w:t>
      </w:r>
    </w:p>
    <w:p>
      <w:pPr>
        <w:jc w:val="center"/>
        <w:rPr>
          <w:rFonts w:hint="eastAsia" w:ascii="宋体" w:hAnsi="宋体" w:eastAsia="宋体" w:cs="宋体"/>
          <w:b/>
          <w:sz w:val="36"/>
        </w:rPr>
      </w:pPr>
    </w:p>
    <w:p>
      <w:pPr>
        <w:pStyle w:val="2"/>
        <w:rPr>
          <w:rFonts w:hint="eastAsia" w:ascii="宋体" w:hAnsi="宋体" w:eastAsia="宋体" w:cs="宋体"/>
          <w:color w:val="auto"/>
          <w:sz w:val="40"/>
          <w:szCs w:val="40"/>
        </w:rPr>
        <w:sectPr>
          <w:headerReference r:id="rId5" w:type="default"/>
          <w:footerReference r:id="rId6" w:type="default"/>
          <w:pgSz w:w="11906" w:h="16838"/>
          <w:pgMar w:top="1417" w:right="1417" w:bottom="1417" w:left="1417" w:header="851" w:footer="992" w:gutter="0"/>
          <w:lnNumType w:countBy="0" w:restart="continuous"/>
          <w:cols w:space="720" w:num="1"/>
          <w:docGrid w:type="lines" w:linePitch="315" w:charSpace="0"/>
        </w:sectPr>
      </w:pPr>
    </w:p>
    <w:p>
      <w:pPr>
        <w:pStyle w:val="2"/>
        <w:rPr>
          <w:rFonts w:hint="eastAsia" w:ascii="宋体" w:hAnsi="宋体" w:eastAsia="宋体" w:cs="宋体"/>
          <w:color w:val="auto"/>
        </w:rPr>
      </w:pPr>
      <w:r>
        <w:rPr>
          <w:rFonts w:hint="eastAsia" w:ascii="宋体" w:hAnsi="宋体" w:eastAsia="宋体" w:cs="宋体"/>
          <w:color w:val="auto"/>
          <w:sz w:val="40"/>
          <w:szCs w:val="40"/>
        </w:rPr>
        <w:t>目  录</w:t>
      </w:r>
    </w:p>
    <w:p>
      <w:pPr>
        <w:ind w:firstLine="420"/>
        <w:rPr>
          <w:rFonts w:hint="eastAsia" w:ascii="宋体" w:hAnsi="宋体" w:eastAsia="宋体" w:cs="宋体"/>
          <w:color w:val="auto"/>
        </w:rPr>
      </w:pPr>
    </w:p>
    <w:p>
      <w:pPr>
        <w:ind w:firstLine="420"/>
        <w:rPr>
          <w:rFonts w:hint="eastAsia" w:ascii="宋体" w:hAnsi="宋体" w:eastAsia="宋体" w:cs="宋体"/>
          <w:color w:val="auto"/>
        </w:rPr>
      </w:pP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竞争性磋商公告</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第四部分  商务及合同主要条款</w:t>
      </w:r>
    </w:p>
    <w:p>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 xml:space="preserve">第五部分  响应文件格式 </w:t>
      </w:r>
      <w:r>
        <w:rPr>
          <w:rFonts w:hint="eastAsia" w:ascii="宋体" w:hAnsi="宋体" w:eastAsia="宋体" w:cs="宋体"/>
          <w:b/>
          <w:color w:val="auto"/>
          <w:sz w:val="30"/>
          <w:szCs w:val="30"/>
        </w:rPr>
        <w:t xml:space="preserve">   </w:t>
      </w: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center"/>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pPr>
    </w:p>
    <w:p>
      <w:pPr>
        <w:spacing w:beforeAutospacing="0" w:afterAutospacing="0" w:line="480" w:lineRule="exact"/>
        <w:jc w:val="both"/>
        <w:outlineLvl w:val="0"/>
        <w:rPr>
          <w:rFonts w:hint="eastAsia" w:ascii="宋体" w:hAnsi="宋体" w:eastAsia="宋体" w:cs="宋体"/>
          <w:b/>
          <w:bCs/>
          <w:color w:val="auto"/>
          <w:sz w:val="22"/>
          <w:szCs w:val="22"/>
          <w:shd w:val="clear" w:color="auto" w:fill="FFFFFF"/>
        </w:rPr>
        <w:sectPr>
          <w:footerReference r:id="rId7" w:type="default"/>
          <w:pgSz w:w="11906" w:h="16838"/>
          <w:pgMar w:top="1417" w:right="1417" w:bottom="1417" w:left="1417" w:header="851" w:footer="992" w:gutter="0"/>
          <w:lnNumType w:countBy="0" w:restart="continuous"/>
          <w:pgNumType w:start="1"/>
          <w:cols w:space="720" w:num="1"/>
          <w:docGrid w:type="lines" w:linePitch="315" w:charSpace="0"/>
        </w:sectPr>
      </w:pPr>
    </w:p>
    <w:p>
      <w:pPr>
        <w:spacing w:beforeAutospacing="0" w:afterAutospacing="0" w:line="480" w:lineRule="exact"/>
        <w:jc w:val="center"/>
        <w:outlineLvl w:val="0"/>
        <w:rPr>
          <w:rFonts w:hint="eastAsia" w:ascii="宋体" w:hAnsi="宋体" w:eastAsia="宋体" w:cs="宋体"/>
          <w:b/>
          <w:color w:val="auto"/>
          <w:sz w:val="36"/>
          <w:szCs w:val="36"/>
        </w:rPr>
      </w:pPr>
      <w:r>
        <w:rPr>
          <w:rFonts w:hint="eastAsia" w:ascii="宋体" w:hAnsi="宋体" w:eastAsia="宋体" w:cs="宋体"/>
          <w:b/>
          <w:bCs/>
          <w:color w:val="auto"/>
          <w:sz w:val="36"/>
          <w:szCs w:val="36"/>
          <w:shd w:val="clear" w:color="auto" w:fill="FFFFFF"/>
        </w:rPr>
        <w:t> </w:t>
      </w:r>
      <w:bookmarkStart w:id="0" w:name="_Toc10990"/>
      <w:r>
        <w:rPr>
          <w:rFonts w:hint="eastAsia" w:ascii="宋体" w:hAnsi="宋体" w:eastAsia="宋体" w:cs="宋体"/>
          <w:b/>
          <w:color w:val="auto"/>
          <w:sz w:val="36"/>
          <w:szCs w:val="36"/>
        </w:rPr>
        <w:t>第一部分  竞争性磋商公告</w:t>
      </w:r>
      <w:bookmarkEnd w:id="0"/>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黑体" w:hAnsi="黑体" w:eastAsia="黑体" w:cs="黑体"/>
          <w:b w:val="0"/>
          <w:bCs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项目概况</w:t>
      </w:r>
    </w:p>
    <w:p>
      <w:pPr>
        <w:adjustRightInd w:val="0"/>
        <w:snapToGrid w:val="0"/>
        <w:spacing w:line="560" w:lineRule="exact"/>
        <w:ind w:firstLine="480" w:firstLineChars="200"/>
        <w:rPr>
          <w:rFonts w:hint="eastAsia" w:cs="宋体"/>
          <w:i w:val="0"/>
          <w:iCs w:val="0"/>
          <w:caps w:val="0"/>
          <w:color w:val="auto"/>
          <w:spacing w:val="0"/>
          <w:sz w:val="24"/>
          <w:szCs w:val="24"/>
          <w:shd w:val="clear" w:color="auto" w:fill="FFFFFF"/>
          <w:lang w:val="en-US" w:eastAsia="zh-CN"/>
        </w:rPr>
      </w:pPr>
      <w:r>
        <w:rPr>
          <w:rFonts w:hint="eastAsia" w:cs="宋体"/>
          <w:i w:val="0"/>
          <w:iCs w:val="0"/>
          <w:caps w:val="0"/>
          <w:color w:val="000000"/>
          <w:spacing w:val="0"/>
          <w:sz w:val="24"/>
          <w:szCs w:val="24"/>
          <w:shd w:val="clear" w:color="auto" w:fill="FFFFFF"/>
          <w:lang w:val="en-US" w:eastAsia="zh-CN"/>
        </w:rPr>
        <w:t>已交楼未进行消防验收项目（检测标段）</w:t>
      </w:r>
      <w:r>
        <w:rPr>
          <w:rFonts w:hint="eastAsia" w:ascii="宋体" w:hAnsi="宋体" w:eastAsia="宋体" w:cs="宋体"/>
          <w:i w:val="0"/>
          <w:iCs w:val="0"/>
          <w:caps w:val="0"/>
          <w:color w:val="000000"/>
          <w:spacing w:val="0"/>
          <w:sz w:val="24"/>
          <w:szCs w:val="24"/>
          <w:shd w:val="clear" w:color="auto" w:fill="FFFFFF"/>
        </w:rPr>
        <w:t>的潜在供应商应在全国公共资源交易平台（陕西省.延安市）获取采</w:t>
      </w:r>
      <w:r>
        <w:rPr>
          <w:rFonts w:hint="eastAsia" w:ascii="宋体" w:hAnsi="宋体" w:eastAsia="宋体" w:cs="宋体"/>
          <w:i w:val="0"/>
          <w:iCs w:val="0"/>
          <w:caps w:val="0"/>
          <w:color w:val="auto"/>
          <w:spacing w:val="0"/>
          <w:sz w:val="24"/>
          <w:szCs w:val="24"/>
          <w:shd w:val="clear" w:color="auto" w:fill="FFFFFF"/>
        </w:rPr>
        <w:t>购文件</w:t>
      </w:r>
      <w:r>
        <w:rPr>
          <w:rFonts w:hint="eastAsia" w:ascii="宋体" w:hAnsi="宋体" w:eastAsia="宋体" w:cs="宋体"/>
          <w:i w:val="0"/>
          <w:iCs w:val="0"/>
          <w:caps w:val="0"/>
          <w:color w:val="auto"/>
          <w:spacing w:val="0"/>
          <w:sz w:val="24"/>
          <w:szCs w:val="24"/>
          <w:highlight w:val="none"/>
          <w:shd w:val="clear" w:color="auto" w:fill="FFFFFF"/>
        </w:rPr>
        <w:t>，</w:t>
      </w:r>
      <w:r>
        <w:rPr>
          <w:rFonts w:hint="eastAsia" w:cs="宋体"/>
          <w:i w:val="0"/>
          <w:iCs w:val="0"/>
          <w:caps w:val="0"/>
          <w:color w:val="auto"/>
          <w:spacing w:val="0"/>
          <w:sz w:val="24"/>
          <w:szCs w:val="24"/>
          <w:shd w:val="clear" w:color="auto" w:fill="FFFFFF"/>
          <w:lang w:val="en-US" w:eastAsia="zh-CN"/>
        </w:rPr>
        <w:t>并于</w:t>
      </w:r>
      <w:r>
        <w:rPr>
          <w:rFonts w:hint="eastAsia" w:ascii="宋体" w:hAnsi="宋体" w:eastAsia="宋体" w:cs="宋体"/>
          <w:i w:val="0"/>
          <w:iCs w:val="0"/>
          <w:caps w:val="0"/>
          <w:color w:val="auto"/>
          <w:spacing w:val="0"/>
          <w:sz w:val="24"/>
          <w:szCs w:val="24"/>
          <w:shd w:val="clear" w:color="auto" w:fill="FFFFFF"/>
          <w:lang w:val="en-US" w:eastAsia="zh-CN"/>
        </w:rPr>
        <w:t>2026年</w:t>
      </w:r>
      <w:r>
        <w:rPr>
          <w:rFonts w:hint="eastAsia" w:ascii="宋体" w:hAnsi="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val="en-US" w:eastAsia="zh-CN"/>
        </w:rPr>
        <w:t>月</w:t>
      </w:r>
      <w:r>
        <w:rPr>
          <w:rFonts w:hint="eastAsia" w:ascii="宋体" w:hAnsi="宋体" w:cs="宋体"/>
          <w:i w:val="0"/>
          <w:iCs w:val="0"/>
          <w:caps w:val="0"/>
          <w:color w:val="auto"/>
          <w:spacing w:val="0"/>
          <w:sz w:val="24"/>
          <w:szCs w:val="24"/>
          <w:shd w:val="clear" w:color="auto" w:fill="FFFFFF"/>
          <w:lang w:val="en-US" w:eastAsia="zh-CN"/>
        </w:rPr>
        <w:t>22</w:t>
      </w:r>
      <w:r>
        <w:rPr>
          <w:rFonts w:hint="eastAsia" w:ascii="宋体" w:hAnsi="宋体" w:eastAsia="宋体" w:cs="宋体"/>
          <w:i w:val="0"/>
          <w:iCs w:val="0"/>
          <w:caps w:val="0"/>
          <w:color w:val="auto"/>
          <w:spacing w:val="0"/>
          <w:sz w:val="24"/>
          <w:szCs w:val="24"/>
          <w:shd w:val="clear" w:color="auto" w:fill="FFFFFF"/>
          <w:lang w:val="en-US" w:eastAsia="zh-CN"/>
        </w:rPr>
        <w:t xml:space="preserve">日 </w:t>
      </w:r>
      <w:r>
        <w:rPr>
          <w:rFonts w:hint="eastAsia" w:ascii="宋体" w:hAnsi="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lang w:val="en-US" w:eastAsia="zh-CN"/>
        </w:rPr>
        <w:t>时</w:t>
      </w:r>
      <w:r>
        <w:rPr>
          <w:rFonts w:hint="eastAsia" w:ascii="宋体" w:hAnsi="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val="en-US" w:eastAsia="zh-CN"/>
        </w:rPr>
        <w:t>0分00秒 （</w:t>
      </w:r>
      <w:r>
        <w:rPr>
          <w:rFonts w:hint="eastAsia" w:cs="宋体"/>
          <w:i w:val="0"/>
          <w:iCs w:val="0"/>
          <w:caps w:val="0"/>
          <w:color w:val="auto"/>
          <w:spacing w:val="0"/>
          <w:sz w:val="24"/>
          <w:szCs w:val="24"/>
          <w:shd w:val="clear" w:color="auto" w:fill="FFFFFF"/>
          <w:lang w:val="en-US" w:eastAsia="zh-CN"/>
        </w:rPr>
        <w:t>北京时间）前提交响应文件。</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cs="宋体"/>
          <w:i w:val="0"/>
          <w:iCs w:val="0"/>
          <w:caps w:val="0"/>
          <w:color w:val="000000"/>
          <w:spacing w:val="0"/>
          <w:sz w:val="24"/>
          <w:szCs w:val="24"/>
          <w:shd w:val="clear" w:color="auto" w:fill="FFFFFF"/>
          <w:lang w:val="en-US" w:eastAsia="zh-CN"/>
        </w:rPr>
      </w:pPr>
      <w:r>
        <w:rPr>
          <w:rStyle w:val="21"/>
          <w:rFonts w:hint="eastAsia" w:ascii="黑体" w:hAnsi="黑体" w:eastAsia="黑体" w:cs="黑体"/>
          <w:b w:val="0"/>
          <w:bCs w:val="0"/>
          <w:i w:val="0"/>
          <w:iCs w:val="0"/>
          <w:caps w:val="0"/>
          <w:color w:val="000000"/>
          <w:spacing w:val="0"/>
          <w:sz w:val="24"/>
          <w:szCs w:val="24"/>
          <w:shd w:val="clear" w:color="auto" w:fill="FFFFFF"/>
          <w:lang w:val="en-US" w:eastAsia="zh-CN"/>
        </w:rPr>
        <w:t>一、项目基本情况</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项目编号</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cs="宋体"/>
          <w:i w:val="0"/>
          <w:iCs w:val="0"/>
          <w:caps w:val="0"/>
          <w:color w:val="000000"/>
          <w:spacing w:val="0"/>
          <w:sz w:val="24"/>
          <w:szCs w:val="24"/>
          <w:shd w:val="clear" w:color="auto" w:fill="FFFFFF"/>
          <w:lang w:val="en-US" w:eastAsia="zh-CN"/>
        </w:rPr>
        <w:t>FZC2026-060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rPr>
        <w:t>项目名称：</w:t>
      </w:r>
      <w:r>
        <w:rPr>
          <w:rFonts w:hint="eastAsia" w:cs="宋体"/>
          <w:i w:val="0"/>
          <w:iCs w:val="0"/>
          <w:caps w:val="0"/>
          <w:color w:val="000000"/>
          <w:spacing w:val="0"/>
          <w:sz w:val="24"/>
          <w:szCs w:val="24"/>
          <w:shd w:val="clear" w:color="auto" w:fill="FFFFFF"/>
          <w:lang w:val="en-US" w:eastAsia="zh-CN"/>
        </w:rPr>
        <w:t>已交楼未进行消防验收项目（检测标段）</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采购方式：竞争性磋商</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预算金额：</w:t>
      </w:r>
      <w:r>
        <w:rPr>
          <w:rFonts w:hint="eastAsia" w:cs="宋体"/>
          <w:i w:val="0"/>
          <w:iCs w:val="0"/>
          <w:caps w:val="0"/>
          <w:color w:val="000000"/>
          <w:spacing w:val="0"/>
          <w:sz w:val="24"/>
          <w:szCs w:val="24"/>
          <w:shd w:val="clear" w:color="auto" w:fill="FFFFFF"/>
          <w:lang w:val="en-US" w:eastAsia="zh-CN"/>
        </w:rPr>
        <w:t>899262.00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采购需求：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w:t>
      </w:r>
      <w:r>
        <w:rPr>
          <w:rFonts w:hint="eastAsia" w:cs="宋体"/>
          <w:i w:val="0"/>
          <w:iCs w:val="0"/>
          <w:caps w:val="0"/>
          <w:color w:val="000000"/>
          <w:spacing w:val="0"/>
          <w:sz w:val="24"/>
          <w:szCs w:val="24"/>
          <w:shd w:val="clear" w:color="auto" w:fill="FFFFFF"/>
          <w:lang w:val="en-US" w:eastAsia="zh-CN"/>
        </w:rPr>
        <w:t>已交楼未进行消防验收项目（检测标段）</w:t>
      </w:r>
      <w:r>
        <w:rPr>
          <w:rFonts w:hint="eastAsia" w:ascii="宋体" w:hAnsi="宋体" w:eastAsia="宋体" w:cs="宋体"/>
          <w:i w:val="0"/>
          <w:iCs w:val="0"/>
          <w:caps w:val="0"/>
          <w:color w:val="000000"/>
          <w:spacing w:val="0"/>
          <w:sz w:val="24"/>
          <w:szCs w:val="24"/>
          <w:shd w:val="clear" w:color="auto" w:fill="FFFFFF"/>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合同包预算金额：</w:t>
      </w:r>
      <w:r>
        <w:rPr>
          <w:rFonts w:hint="eastAsia" w:cs="宋体"/>
          <w:i w:val="0"/>
          <w:iCs w:val="0"/>
          <w:caps w:val="0"/>
          <w:color w:val="000000"/>
          <w:spacing w:val="0"/>
          <w:sz w:val="24"/>
          <w:szCs w:val="24"/>
          <w:shd w:val="clear" w:color="auto" w:fill="FFFFFF"/>
          <w:lang w:val="en-US" w:eastAsia="zh-CN"/>
        </w:rPr>
        <w:t>899262.00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firstLine="480" w:firstLineChars="200"/>
        <w:jc w:val="both"/>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合同包最高限价：</w:t>
      </w:r>
      <w:r>
        <w:rPr>
          <w:rFonts w:hint="eastAsia" w:cs="宋体"/>
          <w:i w:val="0"/>
          <w:iCs w:val="0"/>
          <w:caps w:val="0"/>
          <w:color w:val="000000"/>
          <w:spacing w:val="0"/>
          <w:sz w:val="24"/>
          <w:szCs w:val="24"/>
          <w:shd w:val="clear" w:color="auto" w:fill="FFFFFF"/>
          <w:lang w:val="en-US" w:eastAsia="zh-CN"/>
        </w:rPr>
        <w:t>899262.00</w:t>
      </w:r>
    </w:p>
    <w:tbl>
      <w:tblPr>
        <w:tblStyle w:val="19"/>
        <w:tblW w:w="4994"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60"/>
        <w:gridCol w:w="1706"/>
        <w:gridCol w:w="2279"/>
        <w:gridCol w:w="1171"/>
        <w:gridCol w:w="1309"/>
        <w:gridCol w:w="1473"/>
        <w:gridCol w:w="147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28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品目号</w:t>
            </w:r>
          </w:p>
        </w:tc>
        <w:tc>
          <w:tcPr>
            <w:tcW w:w="8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品目名称</w:t>
            </w:r>
          </w:p>
        </w:tc>
        <w:tc>
          <w:tcPr>
            <w:tcW w:w="114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采购标的</w:t>
            </w:r>
          </w:p>
        </w:tc>
        <w:tc>
          <w:tcPr>
            <w:tcW w:w="58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数量（单位）</w:t>
            </w:r>
          </w:p>
        </w:tc>
        <w:tc>
          <w:tcPr>
            <w:tcW w:w="6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技术规格、参数及要求</w:t>
            </w:r>
          </w:p>
        </w:tc>
        <w:tc>
          <w:tcPr>
            <w:tcW w:w="7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品目预算(元)</w:t>
            </w:r>
          </w:p>
        </w:tc>
        <w:tc>
          <w:tcPr>
            <w:tcW w:w="7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792" w:hRule="atLeast"/>
        </w:trPr>
        <w:tc>
          <w:tcPr>
            <w:tcW w:w="281"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1-1</w:t>
            </w:r>
          </w:p>
        </w:tc>
        <w:tc>
          <w:tcPr>
            <w:tcW w:w="855"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i w:val="0"/>
                <w:iCs w:val="0"/>
                <w:caps w:val="0"/>
                <w:color w:val="FF0000"/>
                <w:spacing w:val="0"/>
                <w:kern w:val="0"/>
                <w:sz w:val="24"/>
                <w:szCs w:val="24"/>
                <w:shd w:val="clear" w:color="auto" w:fill="FFFFFF"/>
                <w:lang w:val="en-US" w:eastAsia="zh-CN" w:bidi="ar-SA"/>
              </w:rPr>
            </w:pPr>
            <w:r>
              <w:rPr>
                <w:rFonts w:ascii="微软雅黑" w:hAnsi="微软雅黑" w:eastAsia="微软雅黑" w:cs="微软雅黑"/>
                <w:i w:val="0"/>
                <w:iCs w:val="0"/>
                <w:caps w:val="0"/>
                <w:color w:val="222222"/>
                <w:spacing w:val="0"/>
                <w:sz w:val="21"/>
                <w:szCs w:val="21"/>
              </w:rPr>
              <w:t>其他专业技术服务</w:t>
            </w:r>
          </w:p>
        </w:tc>
        <w:tc>
          <w:tcPr>
            <w:tcW w:w="114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i w:val="0"/>
                <w:iCs w:val="0"/>
                <w:caps w:val="0"/>
                <w:color w:val="FF0000"/>
                <w:spacing w:val="0"/>
                <w:kern w:val="0"/>
                <w:sz w:val="24"/>
                <w:szCs w:val="24"/>
                <w:shd w:val="clear" w:color="auto" w:fill="FFFFFF"/>
                <w:lang w:val="en-US" w:eastAsia="zh-CN" w:bidi="ar-SA"/>
              </w:rPr>
            </w:pPr>
            <w:r>
              <w:rPr>
                <w:rFonts w:ascii="微软雅黑" w:hAnsi="微软雅黑" w:eastAsia="微软雅黑" w:cs="微软雅黑"/>
                <w:i w:val="0"/>
                <w:iCs w:val="0"/>
                <w:caps w:val="0"/>
                <w:color w:val="222222"/>
                <w:spacing w:val="0"/>
                <w:sz w:val="21"/>
                <w:szCs w:val="21"/>
              </w:rPr>
              <w:t>已交楼未进行消防验收项目（检测标段）</w:t>
            </w:r>
          </w:p>
        </w:tc>
        <w:tc>
          <w:tcPr>
            <w:tcW w:w="58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1(项)</w:t>
            </w:r>
          </w:p>
        </w:tc>
        <w:tc>
          <w:tcPr>
            <w:tcW w:w="6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440" w:lineRule="exact"/>
              <w:ind w:left="0" w:right="0"/>
              <w:jc w:val="center"/>
              <w:textAlignment w:val="auto"/>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详见采购文件</w:t>
            </w:r>
          </w:p>
        </w:tc>
        <w:tc>
          <w:tcPr>
            <w:tcW w:w="7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right"/>
              <w:textAlignment w:val="auto"/>
              <w:rPr>
                <w:rFonts w:hint="default" w:ascii="宋体" w:hAnsi="宋体" w:eastAsia="宋体" w:cs="宋体"/>
                <w:color w:val="000000"/>
                <w:sz w:val="24"/>
                <w:szCs w:val="24"/>
                <w:lang w:val="en-US"/>
              </w:rPr>
            </w:pPr>
            <w:r>
              <w:rPr>
                <w:rFonts w:hint="eastAsia" w:cs="宋体"/>
                <w:i w:val="0"/>
                <w:iCs w:val="0"/>
                <w:caps w:val="0"/>
                <w:color w:val="000000"/>
                <w:spacing w:val="0"/>
                <w:sz w:val="24"/>
                <w:szCs w:val="24"/>
                <w:shd w:val="clear" w:color="auto" w:fill="FFFFFF"/>
                <w:lang w:val="en-US" w:eastAsia="zh-CN"/>
              </w:rPr>
              <w:t>899262.00</w:t>
            </w:r>
          </w:p>
        </w:tc>
        <w:tc>
          <w:tcPr>
            <w:tcW w:w="73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Autospacing="0" w:afterAutospacing="0" w:line="440" w:lineRule="exact"/>
              <w:ind w:left="0" w:right="0"/>
              <w:jc w:val="center"/>
              <w:textAlignment w:val="auto"/>
              <w:rPr>
                <w:rFonts w:hint="default" w:ascii="宋体" w:hAnsi="宋体" w:eastAsia="宋体" w:cs="宋体"/>
                <w:color w:val="000000"/>
                <w:sz w:val="24"/>
                <w:szCs w:val="24"/>
                <w:lang w:val="en-US"/>
              </w:rPr>
            </w:pPr>
            <w:r>
              <w:rPr>
                <w:rFonts w:hint="eastAsia" w:cs="宋体"/>
                <w:i w:val="0"/>
                <w:iCs w:val="0"/>
                <w:caps w:val="0"/>
                <w:color w:val="000000"/>
                <w:spacing w:val="0"/>
                <w:sz w:val="24"/>
                <w:szCs w:val="24"/>
                <w:shd w:val="clear" w:color="auto" w:fill="FFFFFF"/>
                <w:lang w:val="en-US" w:eastAsia="zh-CN"/>
              </w:rPr>
              <w:t>899262.00</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本合同包不接受联合体投标</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i w:val="0"/>
          <w:iCs w:val="0"/>
          <w:caps w:val="0"/>
          <w:color w:val="FF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服务</w:t>
      </w:r>
      <w:r>
        <w:rPr>
          <w:rFonts w:hint="eastAsia" w:ascii="宋体" w:hAnsi="宋体" w:eastAsia="宋体" w:cs="宋体"/>
          <w:i w:val="0"/>
          <w:iCs w:val="0"/>
          <w:caps w:val="0"/>
          <w:color w:val="000000"/>
          <w:spacing w:val="0"/>
          <w:sz w:val="24"/>
          <w:szCs w:val="24"/>
          <w:shd w:val="clear" w:color="auto" w:fill="FFFFFF"/>
        </w:rPr>
        <w:t>期限</w:t>
      </w:r>
      <w:r>
        <w:rPr>
          <w:rFonts w:hint="eastAsia" w:ascii="宋体" w:hAnsi="宋体" w:eastAsia="宋体" w:cs="宋体"/>
          <w:i w:val="0"/>
          <w:iCs w:val="0"/>
          <w:caps w:val="0"/>
          <w:color w:val="000000"/>
          <w:spacing w:val="0"/>
          <w:sz w:val="24"/>
          <w:szCs w:val="24"/>
          <w:shd w:val="clear" w:color="auto" w:fill="FFFFFF"/>
          <w:lang w:val="en-US" w:eastAsia="zh-CN"/>
        </w:rPr>
        <w:t>：</w:t>
      </w:r>
      <w:r>
        <w:rPr>
          <w:rFonts w:hint="eastAsia" w:cs="宋体"/>
          <w:i w:val="0"/>
          <w:iCs w:val="0"/>
          <w:caps w:val="0"/>
          <w:color w:val="000000"/>
          <w:spacing w:val="0"/>
          <w:sz w:val="24"/>
          <w:szCs w:val="24"/>
          <w:shd w:val="clear" w:color="auto" w:fill="FFFFFF"/>
          <w:lang w:val="en-US" w:eastAsia="zh-CN"/>
        </w:rPr>
        <w:t>合</w:t>
      </w:r>
      <w:r>
        <w:rPr>
          <w:rFonts w:hint="eastAsia" w:ascii="宋体" w:hAnsi="宋体" w:eastAsia="宋体" w:cs="宋体"/>
          <w:i w:val="0"/>
          <w:iCs w:val="0"/>
          <w:caps w:val="0"/>
          <w:color w:val="000000"/>
          <w:spacing w:val="0"/>
          <w:sz w:val="24"/>
          <w:szCs w:val="24"/>
          <w:shd w:val="clear" w:color="auto" w:fill="FFFFFF"/>
        </w:rPr>
        <w:t>同签订并具备进场条件后3-7个日历 天完成现场检测，5-10个日历天完成现场评估(建筑面积超 5万m²或多楼栋项目双方另行约定工期);现场完工后7个工作日内提交全套正式报告(纸质版+ 电子版)。</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Style w:val="21"/>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二、申请人的资格要求：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1.满足《中华人民共和国政府采购法》第二十二条规定;</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2.落实政府采购政策需满足的资格要求：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合同包1</w:t>
      </w:r>
      <w:r>
        <w:rPr>
          <w:rFonts w:hint="eastAsia" w:cs="宋体"/>
          <w:i w:val="0"/>
          <w:iCs w:val="0"/>
          <w:caps w:val="0"/>
          <w:color w:val="333333"/>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已交楼未进行消防验收项目（检测标段）</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落实政府采购政策需满足的资格要求如下: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2.1《政府采购促进中小企业发展管理办法》（财库〔2020〕46号）；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2.2《财政部 司法部关于政府采购支持监狱企业发展有关问题的通知》（财库〔2014〕68号）；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2.3《财政部 民政部 中国残疾人联合会关于促进残疾人就业政府采购政策的通知》（财库〔2017〕141号）；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2.4《国务院办公厅关于建立政府强制采购节能产品制度的通知》(国办发〔2007〕51号)；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2.5《财政部 发展改革委 生态环境部 市场监管总局关于调整优化节能产品、环境标志产品政府采购执行机制的通知》（财库〔2019〕9号）；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《财政部 农业农村部 国家乡村振兴局关于运用政府采购政策支持乡村产业振兴的通知》（财库〔2021〕19号）；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7</w:t>
      </w:r>
      <w:r>
        <w:rPr>
          <w:rFonts w:hint="eastAsia" w:ascii="宋体" w:hAnsi="宋体" w:eastAsia="宋体" w:cs="宋体"/>
          <w:i w:val="0"/>
          <w:iCs w:val="0"/>
          <w:caps w:val="0"/>
          <w:color w:val="333333"/>
          <w:spacing w:val="0"/>
          <w:sz w:val="24"/>
          <w:szCs w:val="24"/>
          <w:shd w:val="clear" w:color="auto" w:fill="FFFFFF"/>
        </w:rPr>
        <w:t>《陕西省财政厅关于加快推进我省中小企业政府采购信用融资工作的通知》（陕财办采〔2020〕15号）；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8</w:t>
      </w:r>
      <w:r>
        <w:rPr>
          <w:rFonts w:hint="eastAsia" w:ascii="宋体" w:hAnsi="宋体" w:eastAsia="宋体" w:cs="宋体"/>
          <w:i w:val="0"/>
          <w:iCs w:val="0"/>
          <w:caps w:val="0"/>
          <w:color w:val="333333"/>
          <w:spacing w:val="0"/>
          <w:sz w:val="24"/>
          <w:szCs w:val="24"/>
          <w:shd w:val="clear" w:color="auto" w:fill="FFFFFF"/>
        </w:rPr>
        <w:t>《关于进一步加大政府采购支持中小企业力度的通知》(财库〔2022〕19号)；</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2.</w:t>
      </w:r>
      <w:r>
        <w:rPr>
          <w:rFonts w:hint="eastAsia" w:ascii="宋体" w:hAnsi="宋体" w:eastAsia="宋体" w:cs="宋体"/>
          <w:i w:val="0"/>
          <w:iCs w:val="0"/>
          <w:caps w:val="0"/>
          <w:color w:val="333333"/>
          <w:spacing w:val="0"/>
          <w:sz w:val="24"/>
          <w:szCs w:val="24"/>
          <w:shd w:val="clear" w:color="auto" w:fill="FFFFFF"/>
          <w:lang w:val="en-US" w:eastAsia="zh-CN"/>
        </w:rPr>
        <w:t>9</w:t>
      </w:r>
      <w:r>
        <w:rPr>
          <w:rFonts w:hint="eastAsia" w:ascii="宋体" w:hAnsi="宋体" w:eastAsia="宋体" w:cs="宋体"/>
          <w:i w:val="0"/>
          <w:iCs w:val="0"/>
          <w:caps w:val="0"/>
          <w:color w:val="333333"/>
          <w:spacing w:val="0"/>
          <w:sz w:val="24"/>
          <w:szCs w:val="24"/>
          <w:shd w:val="clear" w:color="auto" w:fill="FFFFFF"/>
        </w:rPr>
        <w:t>《陕西省财政厅关于印发&lt;陕西省中小企业政府采购信用融资办法&gt;的通知》（陕财办采〔2018〕23号）相关政策、业务流程、办理平台；</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0</w:t>
      </w:r>
      <w:r>
        <w:rPr>
          <w:rFonts w:hint="eastAsia" w:ascii="宋体" w:hAnsi="宋体" w:eastAsia="宋体" w:cs="宋体"/>
          <w:i w:val="0"/>
          <w:iCs w:val="0"/>
          <w:caps w:val="0"/>
          <w:color w:val="333333"/>
          <w:spacing w:val="0"/>
          <w:sz w:val="24"/>
          <w:szCs w:val="24"/>
          <w:shd w:val="clear" w:color="auto" w:fill="FFFFFF"/>
        </w:rPr>
        <w:t>《陕西省财政厅关于进一步落实政府采购支持中小企业相关政策的通知》(陕财办采(2023)3号)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333333"/>
          <w:spacing w:val="0"/>
          <w:sz w:val="24"/>
          <w:szCs w:val="24"/>
          <w:shd w:val="clear" w:color="auto" w:fill="FFFFFF"/>
          <w:lang w:eastAsia="zh-CN"/>
        </w:rPr>
      </w:pPr>
      <w:r>
        <w:rPr>
          <w:rFonts w:hint="eastAsia" w:ascii="宋体" w:hAnsi="宋体" w:eastAsia="宋体" w:cs="宋体"/>
          <w:i w:val="0"/>
          <w:iCs w:val="0"/>
          <w:caps w:val="0"/>
          <w:color w:val="333333"/>
          <w:spacing w:val="0"/>
          <w:sz w:val="24"/>
          <w:szCs w:val="24"/>
          <w:shd w:val="clear" w:color="auto" w:fill="FFFFFF"/>
        </w:rPr>
        <w:t>2.1</w:t>
      </w:r>
      <w:r>
        <w:rPr>
          <w:rFonts w:hint="eastAsia" w:ascii="宋体" w:hAnsi="宋体" w:eastAsia="宋体" w:cs="宋体"/>
          <w:i w:val="0"/>
          <w:iCs w:val="0"/>
          <w:caps w:val="0"/>
          <w:color w:val="333333"/>
          <w:spacing w:val="0"/>
          <w:sz w:val="24"/>
          <w:szCs w:val="24"/>
          <w:shd w:val="clear" w:color="auto" w:fill="FFFFFF"/>
          <w:lang w:val="en-US" w:eastAsia="zh-CN"/>
        </w:rPr>
        <w:t>1</w:t>
      </w:r>
      <w:r>
        <w:rPr>
          <w:rFonts w:hint="eastAsia" w:ascii="宋体" w:hAnsi="宋体" w:eastAsia="宋体" w:cs="宋体"/>
          <w:i w:val="0"/>
          <w:iCs w:val="0"/>
          <w:caps w:val="0"/>
          <w:color w:val="333333"/>
          <w:spacing w:val="0"/>
          <w:sz w:val="24"/>
          <w:szCs w:val="24"/>
          <w:shd w:val="clear" w:color="auto" w:fill="FFFFFF"/>
        </w:rPr>
        <w:t>《陕西省财政厅关于进一步优化政府采购营商环境有关事项的通知》(陕财办采(2023)4号)</w:t>
      </w:r>
      <w:r>
        <w:rPr>
          <w:rFonts w:hint="eastAsia" w:ascii="宋体" w:hAnsi="宋体" w:eastAsia="宋体" w:cs="宋体"/>
          <w:i w:val="0"/>
          <w:iCs w:val="0"/>
          <w:caps w:val="0"/>
          <w:color w:val="333333"/>
          <w:spacing w:val="0"/>
          <w:sz w:val="24"/>
          <w:szCs w:val="24"/>
          <w:shd w:val="clear" w:color="auto" w:fill="FFFFFF"/>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其他需要落实的政府采购政策</w:t>
      </w:r>
      <w:r>
        <w:rPr>
          <w:rFonts w:hint="eastAsia" w:ascii="宋体" w:hAnsi="宋体" w:eastAsia="宋体" w:cs="宋体"/>
          <w:color w:val="auto"/>
          <w:sz w:val="24"/>
          <w:szCs w:val="24"/>
          <w:lang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2.13</w:t>
      </w:r>
      <w:r>
        <w:rPr>
          <w:rFonts w:hint="eastAsia" w:ascii="宋体" w:hAnsi="宋体" w:eastAsia="宋体" w:cs="宋体"/>
          <w:color w:val="auto"/>
          <w:sz w:val="24"/>
          <w:szCs w:val="24"/>
        </w:rPr>
        <w:t>如有最新颁布的政府采购政策，按最新的文件执行。</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480" w:leftChars="0" w:right="0" w:rightChars="0"/>
        <w:jc w:val="both"/>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i w:val="0"/>
          <w:iCs w:val="0"/>
          <w:caps w:val="0"/>
          <w:color w:val="333333"/>
          <w:spacing w:val="0"/>
          <w:sz w:val="24"/>
          <w:szCs w:val="24"/>
          <w:shd w:val="clear" w:color="auto" w:fill="FFFFFF"/>
        </w:rPr>
        <w:t>本项目的特定资格要求：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合同包1(</w:t>
      </w:r>
      <w:r>
        <w:rPr>
          <w:rFonts w:hint="eastAsia" w:cs="宋体"/>
          <w:i w:val="0"/>
          <w:iCs w:val="0"/>
          <w:caps w:val="0"/>
          <w:color w:val="000000"/>
          <w:spacing w:val="0"/>
          <w:sz w:val="24"/>
          <w:szCs w:val="24"/>
          <w:shd w:val="clear" w:color="auto" w:fill="FFFFFF"/>
          <w:lang w:val="en-US" w:eastAsia="zh-CN"/>
        </w:rPr>
        <w:t>已交楼未进行消防验收项目（检测标段）</w:t>
      </w:r>
      <w:r>
        <w:rPr>
          <w:rFonts w:hint="eastAsia" w:ascii="宋体" w:hAnsi="宋体" w:eastAsia="宋体" w:cs="宋体"/>
          <w:color w:val="auto"/>
          <w:sz w:val="24"/>
          <w:szCs w:val="24"/>
          <w:lang w:val="en-US"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特定资格要求如下:</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spacing w:line="360" w:lineRule="auto"/>
        <w:ind w:firstLine="480" w:firstLineChars="200"/>
        <w:rPr>
          <w:rFonts w:hint="eastAsia" w:ascii="宋体" w:hAnsi="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8供应商须需具备履行合同所必须的设备和专业技术能力。提供说明和承诺（格式自拟）。</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3.9</w:t>
      </w:r>
      <w:r>
        <w:rPr>
          <w:rFonts w:hint="eastAsia" w:ascii="宋体" w:hAnsi="宋体" w:eastAsia="宋体" w:cs="Times New Roman"/>
          <w:color w:val="auto"/>
          <w:sz w:val="24"/>
          <w:lang w:val="en-US" w:eastAsia="zh-CN"/>
        </w:rPr>
        <w:t>供应商须在“社会消防技术服务信息系统（https://shhxf.119.gov.cn/templet/index_7.jsp）”中可查询，且服务类型须包含“消防设施维护保养检测”及“消防安全评估”；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3.10</w:t>
      </w:r>
      <w:r>
        <w:rPr>
          <w:rFonts w:hint="eastAsia" w:ascii="宋体" w:hAnsi="宋体" w:eastAsia="宋体" w:cs="宋体"/>
          <w:b w:val="0"/>
          <w:bCs w:val="0"/>
          <w:color w:val="auto"/>
          <w:kern w:val="2"/>
          <w:sz w:val="24"/>
          <w:szCs w:val="24"/>
          <w:lang w:val="en-US" w:eastAsia="zh-CN" w:bidi="ar-SA"/>
        </w:rPr>
        <w:t>本项目不接受联合体投标。（提供非联合体声明函）</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default"/>
          <w:lang w:val="en-US" w:eastAsia="zh-CN"/>
        </w:rPr>
      </w:pPr>
      <w:r>
        <w:rPr>
          <w:rFonts w:hint="eastAsia" w:ascii="宋体" w:hAnsi="宋体" w:cs="宋体"/>
          <w:b w:val="0"/>
          <w:bCs w:val="0"/>
          <w:color w:val="auto"/>
          <w:kern w:val="2"/>
          <w:sz w:val="24"/>
          <w:szCs w:val="24"/>
          <w:lang w:val="en-US" w:eastAsia="zh-CN" w:bidi="ar-SA"/>
        </w:rPr>
        <w:t>3.11</w:t>
      </w:r>
      <w:r>
        <w:rPr>
          <w:rFonts w:hint="eastAsia" w:ascii="宋体" w:hAnsi="宋体" w:eastAsia="宋体" w:cs="宋体"/>
          <w:i w:val="0"/>
          <w:iCs w:val="0"/>
          <w:caps w:val="0"/>
          <w:spacing w:val="0"/>
          <w:sz w:val="24"/>
          <w:szCs w:val="24"/>
          <w:shd w:val="clear" w:color="auto" w:fill="FFFFFF"/>
          <w:lang w:val="en-US" w:eastAsia="zh-CN"/>
        </w:rPr>
        <w:t>本项目专门面向中小企业。</w:t>
      </w:r>
      <w:r>
        <w:rPr>
          <w:rFonts w:hint="eastAsia" w:ascii="宋体" w:hAnsi="宋体" w:eastAsia="宋体" w:cs="宋体"/>
          <w:b w:val="0"/>
          <w:bCs w:val="0"/>
          <w:color w:val="auto"/>
          <w:kern w:val="2"/>
          <w:sz w:val="24"/>
          <w:szCs w:val="24"/>
          <w:lang w:val="en-US" w:eastAsia="zh-CN" w:bidi="ar-SA"/>
        </w:rPr>
        <w:t>（提供中小企业声明函）</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2" w:firstLineChars="200"/>
        <w:jc w:val="left"/>
        <w:textAlignment w:val="auto"/>
        <w:rPr>
          <w:rFonts w:hint="eastAsia" w:ascii="黑体" w:hAnsi="黑体" w:eastAsia="黑体" w:cs="黑体"/>
          <w:b w:val="0"/>
          <w:bCs w:val="0"/>
          <w:i w:val="0"/>
          <w:iCs w:val="0"/>
          <w:caps w:val="0"/>
          <w:color w:val="auto"/>
          <w:spacing w:val="0"/>
          <w:kern w:val="0"/>
          <w:sz w:val="24"/>
          <w:szCs w:val="24"/>
          <w:shd w:val="clear" w:color="auto" w:fill="FFFFFF"/>
          <w:lang w:val="en-US" w:eastAsia="zh-CN" w:bidi="ar-SA"/>
        </w:rPr>
      </w:pPr>
      <w:r>
        <w:rPr>
          <w:rStyle w:val="21"/>
          <w:rFonts w:hint="eastAsia" w:ascii="黑体" w:hAnsi="黑体" w:eastAsia="黑体" w:cs="黑体"/>
          <w:b/>
          <w:bCs/>
          <w:i w:val="0"/>
          <w:iCs w:val="0"/>
          <w:caps w:val="0"/>
          <w:color w:val="auto"/>
          <w:spacing w:val="0"/>
          <w:sz w:val="24"/>
          <w:szCs w:val="24"/>
          <w:shd w:val="clear" w:color="auto" w:fill="FFFFFF"/>
        </w:rPr>
        <w:t>三</w:t>
      </w:r>
      <w:r>
        <w:rPr>
          <w:rFonts w:hint="eastAsia" w:ascii="黑体" w:hAnsi="黑体" w:eastAsia="黑体" w:cs="黑体"/>
          <w:b w:val="0"/>
          <w:bCs w:val="0"/>
          <w:i w:val="0"/>
          <w:iCs w:val="0"/>
          <w:caps w:val="0"/>
          <w:color w:val="auto"/>
          <w:spacing w:val="0"/>
          <w:kern w:val="0"/>
          <w:sz w:val="24"/>
          <w:szCs w:val="24"/>
          <w:shd w:val="clear" w:color="auto" w:fill="FFFFFF"/>
          <w:lang w:val="en-US" w:eastAsia="zh-CN" w:bidi="ar-SA"/>
        </w:rPr>
        <w:t>、获取采购文件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时间：</w:t>
      </w:r>
      <w:r>
        <w:rPr>
          <w:rFonts w:hint="eastAsia" w:ascii="宋体" w:hAnsi="宋体" w:eastAsia="宋体" w:cs="宋体"/>
          <w:b w:val="0"/>
          <w:bCs w:val="0"/>
          <w:color w:val="auto"/>
          <w:kern w:val="2"/>
          <w:sz w:val="24"/>
          <w:szCs w:val="24"/>
          <w:lang w:val="en-US" w:eastAsia="zh-CN" w:bidi="ar-SA"/>
        </w:rPr>
        <w:t>2026年</w:t>
      </w:r>
      <w:r>
        <w:rPr>
          <w:rFonts w:hint="eastAsia" w:cs="宋体"/>
          <w:b w:val="0"/>
          <w:bCs w:val="0"/>
          <w:color w:val="auto"/>
          <w:kern w:val="2"/>
          <w:sz w:val="24"/>
          <w:szCs w:val="24"/>
          <w:lang w:val="en-US" w:eastAsia="zh-CN" w:bidi="ar-SA"/>
        </w:rPr>
        <w:t>6</w:t>
      </w:r>
      <w:r>
        <w:rPr>
          <w:rFonts w:hint="eastAsia" w:ascii="宋体" w:hAnsi="宋体" w:eastAsia="宋体" w:cs="宋体"/>
          <w:b w:val="0"/>
          <w:bCs w:val="0"/>
          <w:color w:val="auto"/>
          <w:kern w:val="2"/>
          <w:sz w:val="24"/>
          <w:szCs w:val="24"/>
          <w:lang w:val="en-US" w:eastAsia="zh-CN" w:bidi="ar-SA"/>
        </w:rPr>
        <w:t>月</w:t>
      </w:r>
      <w:r>
        <w:rPr>
          <w:rFonts w:hint="eastAsia" w:cs="宋体"/>
          <w:b w:val="0"/>
          <w:bCs w:val="0"/>
          <w:color w:val="auto"/>
          <w:kern w:val="2"/>
          <w:sz w:val="24"/>
          <w:szCs w:val="24"/>
          <w:lang w:val="en-US" w:eastAsia="zh-CN" w:bidi="ar-SA"/>
        </w:rPr>
        <w:t>12</w:t>
      </w:r>
      <w:r>
        <w:rPr>
          <w:rFonts w:hint="eastAsia" w:ascii="宋体" w:hAnsi="宋体" w:eastAsia="宋体" w:cs="宋体"/>
          <w:b w:val="0"/>
          <w:bCs w:val="0"/>
          <w:color w:val="auto"/>
          <w:kern w:val="2"/>
          <w:sz w:val="24"/>
          <w:szCs w:val="24"/>
          <w:lang w:val="en-US" w:eastAsia="zh-CN" w:bidi="ar-SA"/>
        </w:rPr>
        <w:t>日至2026年</w:t>
      </w:r>
      <w:r>
        <w:rPr>
          <w:rFonts w:hint="eastAsia" w:cs="宋体"/>
          <w:b w:val="0"/>
          <w:bCs w:val="0"/>
          <w:color w:val="auto"/>
          <w:kern w:val="2"/>
          <w:sz w:val="24"/>
          <w:szCs w:val="24"/>
          <w:lang w:val="en-US" w:eastAsia="zh-CN" w:bidi="ar-SA"/>
        </w:rPr>
        <w:t>6</w:t>
      </w:r>
      <w:r>
        <w:rPr>
          <w:rFonts w:hint="eastAsia" w:ascii="宋体" w:hAnsi="宋体" w:eastAsia="宋体" w:cs="宋体"/>
          <w:b w:val="0"/>
          <w:bCs w:val="0"/>
          <w:color w:val="auto"/>
          <w:kern w:val="2"/>
          <w:sz w:val="24"/>
          <w:szCs w:val="24"/>
          <w:lang w:val="en-US" w:eastAsia="zh-CN" w:bidi="ar-SA"/>
        </w:rPr>
        <w:t>月</w:t>
      </w:r>
      <w:r>
        <w:rPr>
          <w:rFonts w:hint="eastAsia" w:cs="宋体"/>
          <w:b w:val="0"/>
          <w:bCs w:val="0"/>
          <w:color w:val="auto"/>
          <w:kern w:val="2"/>
          <w:sz w:val="24"/>
          <w:szCs w:val="24"/>
          <w:lang w:val="en-US" w:eastAsia="zh-CN" w:bidi="ar-SA"/>
        </w:rPr>
        <w:t>18</w:t>
      </w:r>
      <w:r>
        <w:rPr>
          <w:rFonts w:hint="eastAsia" w:ascii="宋体" w:hAnsi="宋体" w:eastAsia="宋体" w:cs="宋体"/>
          <w:b w:val="0"/>
          <w:bCs w:val="0"/>
          <w:color w:val="auto"/>
          <w:kern w:val="2"/>
          <w:sz w:val="24"/>
          <w:szCs w:val="24"/>
          <w:lang w:val="en-US" w:eastAsia="zh-CN" w:bidi="ar-SA"/>
        </w:rPr>
        <w:t>日，每天上午08:00:00至12:00:00，下午12:00:00至18:00:00（北京时间）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pPr>
      <w:r>
        <w:rPr>
          <w:rFonts w:hint="eastAsia" w:ascii="宋体" w:hAnsi="宋体" w:eastAsia="宋体" w:cs="宋体"/>
          <w:b w:val="0"/>
          <w:bCs w:val="0"/>
          <w:i w:val="0"/>
          <w:iCs w:val="0"/>
          <w:caps w:val="0"/>
          <w:color w:val="auto"/>
          <w:spacing w:val="0"/>
          <w:kern w:val="0"/>
          <w:sz w:val="24"/>
          <w:szCs w:val="24"/>
          <w:shd w:val="clear" w:color="auto" w:fill="FFFFFF"/>
          <w:lang w:val="en-US" w:eastAsia="zh-CN" w:bidi="ar-SA"/>
        </w:rPr>
        <w:t>途径：全国公共资源交易平台（陕西省.延安市）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rPr>
        <w:t>售价：0元</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Style w:val="21"/>
          <w:rFonts w:hint="eastAsia" w:ascii="黑体" w:hAnsi="黑体" w:eastAsia="黑体" w:cs="黑体"/>
          <w:b w:val="0"/>
          <w:bCs w:val="0"/>
          <w:i w:val="0"/>
          <w:iCs w:val="0"/>
          <w:caps w:val="0"/>
          <w:color w:val="auto"/>
          <w:spacing w:val="0"/>
          <w:sz w:val="24"/>
          <w:szCs w:val="24"/>
          <w:shd w:val="clear" w:color="auto" w:fill="FFFFFF"/>
        </w:rPr>
        <w:t>四、响应文件提交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b w:val="0"/>
          <w:bCs w:val="0"/>
          <w:color w:val="auto"/>
          <w:kern w:val="2"/>
          <w:sz w:val="24"/>
          <w:szCs w:val="24"/>
          <w:lang w:val="en-US" w:eastAsia="zh-CN" w:bidi="ar-SA"/>
        </w:rPr>
        <w:t>截止时间：</w:t>
      </w:r>
      <w:r>
        <w:rPr>
          <w:rFonts w:hint="eastAsia" w:ascii="宋体" w:hAnsi="宋体" w:eastAsia="宋体" w:cs="宋体"/>
          <w:i w:val="0"/>
          <w:iCs w:val="0"/>
          <w:caps w:val="0"/>
          <w:color w:val="auto"/>
          <w:spacing w:val="0"/>
          <w:sz w:val="24"/>
          <w:szCs w:val="24"/>
          <w:shd w:val="clear" w:color="auto" w:fill="FFFFFF"/>
          <w:lang w:val="en-US" w:eastAsia="zh-CN"/>
        </w:rPr>
        <w:t>2026年</w:t>
      </w:r>
      <w:r>
        <w:rPr>
          <w:rFonts w:hint="eastAsia"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val="en-US" w:eastAsia="zh-CN"/>
        </w:rPr>
        <w:t xml:space="preserve">月 </w:t>
      </w:r>
      <w:r>
        <w:rPr>
          <w:rFonts w:hint="eastAsia" w:cs="宋体"/>
          <w:i w:val="0"/>
          <w:iCs w:val="0"/>
          <w:caps w:val="0"/>
          <w:color w:val="auto"/>
          <w:spacing w:val="0"/>
          <w:sz w:val="24"/>
          <w:szCs w:val="24"/>
          <w:shd w:val="clear" w:color="auto" w:fill="FFFFFF"/>
          <w:lang w:val="en-US" w:eastAsia="zh-CN"/>
        </w:rPr>
        <w:t>22</w:t>
      </w:r>
      <w:r>
        <w:rPr>
          <w:rFonts w:hint="eastAsia" w:ascii="宋体" w:hAnsi="宋体" w:eastAsia="宋体" w:cs="宋体"/>
          <w:i w:val="0"/>
          <w:iCs w:val="0"/>
          <w:caps w:val="0"/>
          <w:color w:val="auto"/>
          <w:spacing w:val="0"/>
          <w:sz w:val="24"/>
          <w:szCs w:val="24"/>
          <w:shd w:val="clear" w:color="auto" w:fill="FFFFFF"/>
          <w:lang w:val="en-US" w:eastAsia="zh-CN"/>
        </w:rPr>
        <w:t xml:space="preserve">日 </w:t>
      </w:r>
      <w:r>
        <w:rPr>
          <w:rFonts w:hint="eastAsia"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lang w:val="en-US" w:eastAsia="zh-CN"/>
        </w:rPr>
        <w:t>时</w:t>
      </w:r>
      <w:r>
        <w:rPr>
          <w:rFonts w:hint="eastAsia"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val="en-US" w:eastAsia="zh-CN"/>
        </w:rPr>
        <w:t>0分00秒 （北京时间）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val="en-US" w:eastAsia="zh-CN"/>
        </w:rPr>
        <w:t>延安市新区为民服务中心7号楼二楼延安市公共资源</w:t>
      </w:r>
      <w:r>
        <w:rPr>
          <w:rFonts w:hint="eastAsia" w:ascii="宋体" w:hAnsi="宋体" w:eastAsia="宋体" w:cs="宋体"/>
          <w:b w:val="0"/>
          <w:bCs w:val="0"/>
          <w:color w:val="auto"/>
          <w:kern w:val="2"/>
          <w:sz w:val="24"/>
          <w:szCs w:val="24"/>
          <w:lang w:val="en-US" w:eastAsia="zh-CN" w:bidi="ar-SA"/>
        </w:rPr>
        <w:t>交易中心交易</w:t>
      </w:r>
      <w:r>
        <w:rPr>
          <w:rFonts w:hint="eastAsia" w:cs="宋体"/>
          <w:b w:val="0"/>
          <w:bCs w:val="0"/>
          <w:color w:val="auto"/>
          <w:kern w:val="2"/>
          <w:sz w:val="24"/>
          <w:szCs w:val="24"/>
          <w:lang w:val="en-US" w:eastAsia="zh-CN" w:bidi="ar-SA"/>
        </w:rPr>
        <w:t>二</w:t>
      </w:r>
      <w:r>
        <w:rPr>
          <w:rFonts w:hint="eastAsia" w:ascii="宋体" w:hAnsi="宋体" w:eastAsia="宋体" w:cs="宋体"/>
          <w:b w:val="0"/>
          <w:bCs w:val="0"/>
          <w:color w:val="auto"/>
          <w:kern w:val="2"/>
          <w:sz w:val="24"/>
          <w:szCs w:val="24"/>
          <w:lang w:val="en-US" w:eastAsia="zh-CN" w:bidi="ar-SA"/>
        </w:rPr>
        <w:t>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auto"/>
          <w:spacing w:val="0"/>
          <w:sz w:val="24"/>
          <w:szCs w:val="24"/>
          <w:highlight w:val="none"/>
        </w:rPr>
      </w:pPr>
      <w:r>
        <w:rPr>
          <w:rStyle w:val="21"/>
          <w:rFonts w:hint="eastAsia" w:ascii="黑体" w:hAnsi="黑体" w:eastAsia="黑体" w:cs="黑体"/>
          <w:b w:val="0"/>
          <w:bCs w:val="0"/>
          <w:i w:val="0"/>
          <w:iCs w:val="0"/>
          <w:caps w:val="0"/>
          <w:color w:val="auto"/>
          <w:spacing w:val="0"/>
          <w:sz w:val="24"/>
          <w:szCs w:val="24"/>
          <w:highlight w:val="none"/>
          <w:shd w:val="clear" w:color="auto" w:fill="FFFFFF"/>
        </w:rPr>
        <w:t>五、开启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时间</w:t>
      </w:r>
      <w:r>
        <w:rPr>
          <w:rFonts w:hint="eastAsia" w:ascii="宋体" w:hAnsi="宋体" w:eastAsia="宋体" w:cs="宋体"/>
          <w:i w:val="0"/>
          <w:iCs w:val="0"/>
          <w:caps w:val="0"/>
          <w:color w:val="auto"/>
          <w:spacing w:val="0"/>
          <w:sz w:val="24"/>
          <w:szCs w:val="24"/>
          <w:shd w:val="clear" w:color="auto" w:fill="FFFFFF"/>
          <w:lang w:val="en-US" w:eastAsia="zh-CN"/>
        </w:rPr>
        <w:t>：2026年</w:t>
      </w:r>
      <w:r>
        <w:rPr>
          <w:rFonts w:hint="eastAsia"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val="en-US" w:eastAsia="zh-CN"/>
        </w:rPr>
        <w:t xml:space="preserve">月 </w:t>
      </w:r>
      <w:r>
        <w:rPr>
          <w:rFonts w:hint="eastAsia" w:cs="宋体"/>
          <w:i w:val="0"/>
          <w:iCs w:val="0"/>
          <w:caps w:val="0"/>
          <w:color w:val="auto"/>
          <w:spacing w:val="0"/>
          <w:sz w:val="24"/>
          <w:szCs w:val="24"/>
          <w:shd w:val="clear" w:color="auto" w:fill="FFFFFF"/>
          <w:lang w:val="en-US" w:eastAsia="zh-CN"/>
        </w:rPr>
        <w:t>22</w:t>
      </w:r>
      <w:r>
        <w:rPr>
          <w:rFonts w:hint="eastAsia" w:ascii="宋体" w:hAnsi="宋体" w:eastAsia="宋体" w:cs="宋体"/>
          <w:i w:val="0"/>
          <w:iCs w:val="0"/>
          <w:caps w:val="0"/>
          <w:color w:val="auto"/>
          <w:spacing w:val="0"/>
          <w:sz w:val="24"/>
          <w:szCs w:val="24"/>
          <w:shd w:val="clear" w:color="auto" w:fill="FFFFFF"/>
          <w:lang w:val="en-US" w:eastAsia="zh-CN"/>
        </w:rPr>
        <w:t>日 1</w:t>
      </w:r>
      <w:r>
        <w:rPr>
          <w:rFonts w:hint="eastAsia"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lang w:val="en-US" w:eastAsia="zh-CN"/>
        </w:rPr>
        <w:t>时</w:t>
      </w:r>
      <w:r>
        <w:rPr>
          <w:rFonts w:hint="eastAsia"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val="en-US" w:eastAsia="zh-CN"/>
        </w:rPr>
        <w:t>0分00秒（北京时间）</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黑体" w:hAnsi="黑体" w:eastAsia="黑体" w:cs="黑体"/>
          <w:b w:val="0"/>
          <w:bCs w:val="0"/>
          <w:i w:val="0"/>
          <w:iCs w:val="0"/>
          <w:caps w:val="0"/>
          <w:color w:val="auto"/>
          <w:spacing w:val="0"/>
          <w:kern w:val="2"/>
          <w:sz w:val="24"/>
          <w:szCs w:val="24"/>
          <w:lang w:val="en-US" w:eastAsia="zh-CN" w:bidi="ar-SA"/>
        </w:rPr>
      </w:pPr>
      <w:r>
        <w:rPr>
          <w:rFonts w:hint="eastAsia" w:ascii="黑体" w:hAnsi="黑体" w:eastAsia="黑体" w:cs="黑体"/>
          <w:b w:val="0"/>
          <w:bCs w:val="0"/>
          <w:i w:val="0"/>
          <w:iCs w:val="0"/>
          <w:caps w:val="0"/>
          <w:color w:val="auto"/>
          <w:spacing w:val="0"/>
          <w:kern w:val="2"/>
          <w:sz w:val="24"/>
          <w:szCs w:val="24"/>
          <w:lang w:val="en-US" w:eastAsia="zh-CN" w:bidi="ar-SA"/>
        </w:rPr>
        <w:t>地点：</w:t>
      </w:r>
      <w:r>
        <w:rPr>
          <w:rFonts w:hint="eastAsia" w:ascii="宋体" w:hAnsi="宋体" w:eastAsia="宋体" w:cs="宋体"/>
          <w:b w:val="0"/>
          <w:bCs w:val="0"/>
          <w:color w:val="auto"/>
          <w:kern w:val="2"/>
          <w:sz w:val="24"/>
          <w:szCs w:val="24"/>
          <w:lang w:val="en-US" w:eastAsia="zh-CN" w:bidi="ar-SA"/>
        </w:rPr>
        <w:t>延安市新区为民服务中心7号楼二楼延安市公共资源交易中心交易</w:t>
      </w:r>
      <w:r>
        <w:rPr>
          <w:rFonts w:hint="eastAsia" w:cs="宋体"/>
          <w:b w:val="0"/>
          <w:bCs w:val="0"/>
          <w:color w:val="auto"/>
          <w:kern w:val="2"/>
          <w:sz w:val="24"/>
          <w:szCs w:val="24"/>
          <w:lang w:val="en-US" w:eastAsia="zh-CN" w:bidi="ar-SA"/>
        </w:rPr>
        <w:t>二</w:t>
      </w:r>
      <w:r>
        <w:rPr>
          <w:rFonts w:hint="eastAsia" w:ascii="宋体" w:hAnsi="宋体" w:eastAsia="宋体" w:cs="宋体"/>
          <w:b w:val="0"/>
          <w:bCs w:val="0"/>
          <w:color w:val="auto"/>
          <w:kern w:val="2"/>
          <w:sz w:val="24"/>
          <w:szCs w:val="24"/>
          <w:lang w:val="en-US" w:eastAsia="zh-CN" w:bidi="ar-SA"/>
        </w:rPr>
        <w:t>厅</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auto"/>
          <w:spacing w:val="0"/>
          <w:sz w:val="24"/>
          <w:szCs w:val="24"/>
        </w:rPr>
      </w:pPr>
      <w:r>
        <w:rPr>
          <w:rStyle w:val="21"/>
          <w:rFonts w:hint="eastAsia" w:ascii="黑体" w:hAnsi="黑体" w:eastAsia="黑体" w:cs="黑体"/>
          <w:b w:val="0"/>
          <w:bCs w:val="0"/>
          <w:i w:val="0"/>
          <w:iCs w:val="0"/>
          <w:caps w:val="0"/>
          <w:color w:val="auto"/>
          <w:spacing w:val="0"/>
          <w:sz w:val="24"/>
          <w:szCs w:val="24"/>
          <w:shd w:val="clear" w:color="auto" w:fill="FFFFFF"/>
        </w:rPr>
        <w:t>六、公告期限</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shd w:val="clear" w:color="auto" w:fill="FFFFFF"/>
        </w:rPr>
        <w:t>自本公告发布之日起</w:t>
      </w:r>
      <w:r>
        <w:rPr>
          <w:rFonts w:hint="eastAsia" w:ascii="宋体" w:hAnsi="宋体" w:eastAsia="宋体" w:cs="宋体"/>
          <w:i w:val="0"/>
          <w:iCs w:val="0"/>
          <w:caps w:val="0"/>
          <w:color w:val="000000"/>
          <w:spacing w:val="0"/>
          <w:sz w:val="24"/>
          <w:szCs w:val="24"/>
          <w:shd w:val="clear" w:color="auto" w:fill="FFFFFF"/>
          <w:lang w:val="en-US" w:eastAsia="zh-CN"/>
        </w:rPr>
        <w:t>5</w:t>
      </w:r>
      <w:r>
        <w:rPr>
          <w:rFonts w:hint="eastAsia" w:ascii="宋体" w:hAnsi="宋体" w:eastAsia="宋体" w:cs="宋体"/>
          <w:i w:val="0"/>
          <w:iCs w:val="0"/>
          <w:caps w:val="0"/>
          <w:color w:val="000000"/>
          <w:spacing w:val="0"/>
          <w:sz w:val="24"/>
          <w:szCs w:val="24"/>
          <w:shd w:val="clear" w:color="auto" w:fill="FFFFFF"/>
        </w:rPr>
        <w:t>个工作日</w:t>
      </w:r>
      <w:r>
        <w:rPr>
          <w:rFonts w:hint="eastAsia" w:eastAsia="宋体" w:cs="宋体"/>
          <w:i w:val="0"/>
          <w:iCs w:val="0"/>
          <w:caps w:val="0"/>
          <w:color w:val="000000"/>
          <w:spacing w:val="0"/>
          <w:sz w:val="24"/>
          <w:szCs w:val="24"/>
          <w:shd w:val="clear" w:color="auto" w:fill="FFFFFF"/>
          <w:lang w:eastAsia="zh-CN"/>
        </w:rPr>
        <w:t>（</w:t>
      </w:r>
      <w:r>
        <w:rPr>
          <w:rFonts w:hint="eastAsia" w:eastAsia="宋体" w:cs="宋体"/>
          <w:i w:val="0"/>
          <w:iCs w:val="0"/>
          <w:caps w:val="0"/>
          <w:color w:val="000000"/>
          <w:spacing w:val="0"/>
          <w:sz w:val="24"/>
          <w:szCs w:val="24"/>
          <w:shd w:val="clear" w:color="auto" w:fill="FFFFFF"/>
          <w:lang w:val="en-US" w:eastAsia="zh-CN"/>
        </w:rPr>
        <w:t>法定节假日除外</w:t>
      </w:r>
      <w:r>
        <w:rPr>
          <w:rFonts w:hint="eastAsia" w:eastAsia="宋体" w:cs="宋体"/>
          <w:i w:val="0"/>
          <w:iCs w:val="0"/>
          <w:caps w:val="0"/>
          <w:color w:val="000000"/>
          <w:spacing w:val="0"/>
          <w:sz w:val="24"/>
          <w:szCs w:val="24"/>
          <w:shd w:val="clear" w:color="auto" w:fill="FFFFFF"/>
          <w:lang w:eastAsia="zh-CN"/>
        </w:rPr>
        <w:t>）</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000000"/>
          <w:spacing w:val="0"/>
          <w:sz w:val="24"/>
          <w:szCs w:val="24"/>
          <w:shd w:val="clear" w:color="auto" w:fill="FFFFFF"/>
        </w:rPr>
      </w:pPr>
      <w:r>
        <w:rPr>
          <w:rStyle w:val="21"/>
          <w:rFonts w:hint="eastAsia" w:ascii="黑体" w:hAnsi="黑体" w:eastAsia="黑体" w:cs="黑体"/>
          <w:b w:val="0"/>
          <w:bCs w:val="0"/>
          <w:i w:val="0"/>
          <w:iCs w:val="0"/>
          <w:caps w:val="0"/>
          <w:color w:val="000000"/>
          <w:spacing w:val="0"/>
          <w:sz w:val="24"/>
          <w:szCs w:val="24"/>
          <w:shd w:val="clear" w:color="auto" w:fill="FFFFFF"/>
        </w:rPr>
        <w:t>七、其他补充事宜</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val="en-US" w:eastAsia="zh-CN"/>
        </w:rPr>
      </w:pPr>
      <w:r>
        <w:rPr>
          <w:rFonts w:hint="eastAsia" w:ascii="宋体" w:hAnsi="宋体" w:eastAsia="宋体" w:cs="宋体"/>
          <w:i w:val="0"/>
          <w:iCs w:val="0"/>
          <w:caps w:val="0"/>
          <w:color w:val="000000"/>
          <w:spacing w:val="0"/>
          <w:sz w:val="24"/>
          <w:szCs w:val="24"/>
          <w:shd w:val="clear" w:color="auto" w:fill="FFFFFF"/>
        </w:rPr>
        <w:t>注：1.报名登记：供应商使用捆绑CA 证书登录全国公共资源交易平台（陕西省·延安市）延安市公共资源交易中心，选择电子交易平台中的政府采购交易系统进行登录，登录后选择“交易乙方” 身份进入供应商界面进行报名</w:t>
      </w:r>
      <w:r>
        <w:rPr>
          <w:rFonts w:hint="eastAsia" w:eastAsia="宋体" w:cs="宋体"/>
          <w:i w:val="0"/>
          <w:iCs w:val="0"/>
          <w:caps w:val="0"/>
          <w:color w:val="000000"/>
          <w:spacing w:val="0"/>
          <w:sz w:val="24"/>
          <w:szCs w:val="24"/>
          <w:shd w:val="clear" w:color="auto" w:fill="FFFFFF"/>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2.下载文件：供应商登录延安市公共资源交易中心，选择“交易乙方”身份进入供应商界面下载采购文件。</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3.电子响应文件递交地点：《全国公共资源交易平台（陕西省·延安市）》电子招投标系统。</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eastAsia" w:ascii="宋体" w:hAnsi="宋体" w:eastAsia="宋体" w:cs="宋体"/>
          <w:i w:val="0"/>
          <w:iCs w:val="0"/>
          <w:caps w:val="0"/>
          <w:spacing w:val="0"/>
          <w:sz w:val="24"/>
          <w:szCs w:val="24"/>
          <w:shd w:val="clear" w:color="auto" w:fill="FFFFFF"/>
        </w:rPr>
      </w:pPr>
      <w:r>
        <w:rPr>
          <w:rFonts w:hint="eastAsia" w:eastAsia="宋体" w:cs="宋体"/>
          <w:i w:val="0"/>
          <w:iCs w:val="0"/>
          <w:caps w:val="0"/>
          <w:spacing w:val="0"/>
          <w:sz w:val="24"/>
          <w:szCs w:val="24"/>
          <w:shd w:val="clear" w:color="auto" w:fill="FFFFFF"/>
          <w:lang w:val="en-US" w:eastAsia="zh-CN"/>
        </w:rPr>
        <w:t>4</w:t>
      </w:r>
      <w:r>
        <w:rPr>
          <w:rFonts w:hint="eastAsia" w:ascii="宋体" w:hAnsi="宋体" w:eastAsia="宋体" w:cs="宋体"/>
          <w:i w:val="0"/>
          <w:iCs w:val="0"/>
          <w:caps w:val="0"/>
          <w:spacing w:val="0"/>
          <w:sz w:val="24"/>
          <w:szCs w:val="24"/>
          <w:shd w:val="clear" w:color="auto" w:fill="FFFFFF"/>
        </w:rPr>
        <w:t>.本次采购公告同时在《陕西省政府采购网》和</w:t>
      </w:r>
      <w:r>
        <w:rPr>
          <w:rFonts w:hint="eastAsia" w:cs="宋体"/>
          <w:i w:val="0"/>
          <w:iCs w:val="0"/>
          <w:caps w:val="0"/>
          <w:spacing w:val="0"/>
          <w:sz w:val="24"/>
          <w:szCs w:val="24"/>
          <w:shd w:val="clear" w:color="auto" w:fill="FFFFFF"/>
          <w:lang w:val="en-US" w:eastAsia="zh-CN"/>
        </w:rPr>
        <w:t xml:space="preserve"> </w:t>
      </w:r>
      <w:r>
        <w:rPr>
          <w:rFonts w:hint="eastAsia" w:ascii="宋体" w:hAnsi="宋体" w:eastAsia="宋体" w:cs="宋体"/>
          <w:i w:val="0"/>
          <w:iCs w:val="0"/>
          <w:caps w:val="0"/>
          <w:spacing w:val="0"/>
          <w:sz w:val="24"/>
          <w:szCs w:val="24"/>
          <w:shd w:val="clear" w:color="auto" w:fill="FFFFFF"/>
        </w:rPr>
        <w:t>《全国公共资源交易平台（陕西省·延安市）》上发布。</w:t>
      </w:r>
    </w:p>
    <w:p>
      <w:pPr>
        <w:keepNext w:val="0"/>
        <w:keepLines w:val="0"/>
        <w:pageBreakBefore w:val="0"/>
        <w:widowControl/>
        <w:kinsoku/>
        <w:wordWrap/>
        <w:overflowPunct/>
        <w:topLinePunct w:val="0"/>
        <w:autoSpaceDE/>
        <w:autoSpaceDN/>
        <w:bidi w:val="0"/>
        <w:adjustRightInd/>
        <w:snapToGrid/>
        <w:spacing w:line="440" w:lineRule="exact"/>
        <w:ind w:left="3" w:right="61" w:firstLine="422"/>
        <w:textAlignment w:val="auto"/>
        <w:rPr>
          <w:rFonts w:ascii="宋体" w:hAnsi="宋体" w:eastAsia="宋体" w:cs="宋体"/>
          <w:spacing w:val="-1"/>
          <w:sz w:val="24"/>
          <w:szCs w:val="24"/>
        </w:rPr>
      </w:pPr>
      <w:r>
        <w:rPr>
          <w:rFonts w:hint="eastAsia" w:ascii="宋体" w:hAnsi="宋体" w:eastAsia="宋体" w:cs="宋体"/>
          <w:sz w:val="24"/>
          <w:szCs w:val="24"/>
          <w:lang w:val="en-US" w:eastAsia="zh-CN"/>
        </w:rPr>
        <w:t>5</w:t>
      </w:r>
      <w:r>
        <w:rPr>
          <w:rFonts w:ascii="宋体" w:hAnsi="宋体" w:eastAsia="宋体" w:cs="宋体"/>
          <w:sz w:val="24"/>
          <w:szCs w:val="24"/>
        </w:rPr>
        <w:t>.请供应商按照陕西省财政厅关于政府采购供应商注册登记有关事项</w:t>
      </w:r>
      <w:r>
        <w:rPr>
          <w:rFonts w:ascii="宋体" w:hAnsi="宋体" w:eastAsia="宋体" w:cs="宋体"/>
          <w:spacing w:val="-1"/>
          <w:sz w:val="24"/>
          <w:szCs w:val="24"/>
        </w:rPr>
        <w:t>的通知中的要求，通过陕西省政府采购网注册登记加入陕西省政府采购供应商库。</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黑体" w:hAnsi="黑体" w:eastAsia="黑体" w:cs="黑体"/>
          <w:b w:val="0"/>
          <w:bCs w:val="0"/>
          <w:i w:val="0"/>
          <w:iCs w:val="0"/>
          <w:caps w:val="0"/>
          <w:color w:val="333333"/>
          <w:spacing w:val="0"/>
          <w:sz w:val="24"/>
          <w:szCs w:val="24"/>
        </w:rPr>
      </w:pPr>
      <w:r>
        <w:rPr>
          <w:rStyle w:val="21"/>
          <w:rFonts w:hint="eastAsia" w:ascii="黑体" w:hAnsi="黑体" w:eastAsia="黑体" w:cs="黑体"/>
          <w:b w:val="0"/>
          <w:bCs w:val="0"/>
          <w:i w:val="0"/>
          <w:iCs w:val="0"/>
          <w:caps w:val="0"/>
          <w:color w:val="333333"/>
          <w:spacing w:val="0"/>
          <w:sz w:val="24"/>
          <w:szCs w:val="24"/>
          <w:shd w:val="clear" w:color="auto" w:fill="FFFFFF"/>
        </w:rPr>
        <w:t>八、对本次招标提出询问，请按以下方式联系。</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1.采购人信息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名称：</w:t>
      </w:r>
      <w:r>
        <w:rPr>
          <w:rFonts w:hint="eastAsia" w:cs="宋体"/>
          <w:i w:val="0"/>
          <w:iCs w:val="0"/>
          <w:caps w:val="0"/>
          <w:color w:val="333333"/>
          <w:spacing w:val="0"/>
          <w:sz w:val="24"/>
          <w:szCs w:val="24"/>
          <w:shd w:val="clear" w:color="auto" w:fill="FFFFFF"/>
          <w:lang w:val="en-US" w:eastAsia="zh-CN"/>
        </w:rPr>
        <w:t>富县住房和城乡建设局</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地址：</w:t>
      </w:r>
      <w:r>
        <w:rPr>
          <w:rFonts w:hint="eastAsia" w:cs="宋体"/>
          <w:i w:val="0"/>
          <w:iCs w:val="0"/>
          <w:caps w:val="0"/>
          <w:color w:val="333333"/>
          <w:spacing w:val="0"/>
          <w:sz w:val="24"/>
          <w:szCs w:val="24"/>
          <w:shd w:val="clear" w:color="auto" w:fill="FFFFFF"/>
          <w:lang w:val="en-US" w:eastAsia="zh-CN"/>
        </w:rPr>
        <w:t>富县开元路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cs="宋体"/>
          <w:i w:val="0"/>
          <w:iCs w:val="0"/>
          <w:caps w:val="0"/>
          <w:color w:val="333333"/>
          <w:spacing w:val="0"/>
          <w:sz w:val="24"/>
          <w:szCs w:val="24"/>
          <w:shd w:val="clear" w:color="auto" w:fill="FFFFFF"/>
          <w:lang w:val="en-US" w:eastAsia="zh-CN"/>
        </w:rPr>
      </w:pPr>
      <w:r>
        <w:rPr>
          <w:rFonts w:hint="eastAsia" w:cs="宋体"/>
          <w:i w:val="0"/>
          <w:iCs w:val="0"/>
          <w:caps w:val="0"/>
          <w:color w:val="333333"/>
          <w:spacing w:val="0"/>
          <w:sz w:val="24"/>
          <w:szCs w:val="24"/>
          <w:shd w:val="clear" w:color="auto" w:fill="FFFFFF"/>
          <w:lang w:val="en-US" w:eastAsia="zh-CN"/>
        </w:rPr>
        <w:t>项目联系人：李朝阳</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w:t>
      </w:r>
      <w:r>
        <w:rPr>
          <w:rFonts w:hint="eastAsia" w:cs="宋体"/>
          <w:i w:val="0"/>
          <w:iCs w:val="0"/>
          <w:caps w:val="0"/>
          <w:color w:val="333333"/>
          <w:spacing w:val="0"/>
          <w:sz w:val="24"/>
          <w:szCs w:val="24"/>
          <w:shd w:val="clear" w:color="auto" w:fill="FFFFFF"/>
          <w:lang w:val="en-US" w:eastAsia="zh-CN"/>
        </w:rPr>
        <w:t>18609213222</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2.采购代理机构信息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名称：富县政府采购管理中心</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color="auto" w:fill="FFFFFF"/>
        </w:rPr>
        <w:t>地址：富县洛滨路税务局</w:t>
      </w:r>
      <w:r>
        <w:rPr>
          <w:rFonts w:hint="eastAsia" w:cs="宋体"/>
          <w:i w:val="0"/>
          <w:iCs w:val="0"/>
          <w:caps w:val="0"/>
          <w:color w:val="333333"/>
          <w:spacing w:val="0"/>
          <w:sz w:val="24"/>
          <w:szCs w:val="24"/>
          <w:shd w:val="clear" w:color="auto" w:fill="FFFFFF"/>
          <w:lang w:val="en-US" w:eastAsia="zh-CN"/>
        </w:rPr>
        <w:t>6</w:t>
      </w:r>
      <w:r>
        <w:rPr>
          <w:rFonts w:hint="eastAsia" w:ascii="宋体" w:hAnsi="宋体" w:eastAsia="宋体" w:cs="宋体"/>
          <w:i w:val="0"/>
          <w:iCs w:val="0"/>
          <w:caps w:val="0"/>
          <w:color w:val="333333"/>
          <w:spacing w:val="0"/>
          <w:sz w:val="24"/>
          <w:szCs w:val="24"/>
          <w:shd w:val="clear" w:color="auto" w:fill="FFFFFF"/>
        </w:rPr>
        <w:t>楼</w:t>
      </w:r>
      <w:r>
        <w:rPr>
          <w:rFonts w:hint="eastAsia" w:cs="宋体"/>
          <w:i w:val="0"/>
          <w:iCs w:val="0"/>
          <w:caps w:val="0"/>
          <w:color w:val="333333"/>
          <w:spacing w:val="0"/>
          <w:sz w:val="24"/>
          <w:szCs w:val="24"/>
          <w:shd w:val="clear" w:color="auto" w:fill="FFFFFF"/>
          <w:lang w:val="en-US" w:eastAsia="zh-CN"/>
        </w:rPr>
        <w:t>601</w:t>
      </w:r>
      <w:r>
        <w:rPr>
          <w:rFonts w:hint="eastAsia" w:ascii="宋体" w:hAnsi="宋体" w:eastAsia="宋体" w:cs="宋体"/>
          <w:i w:val="0"/>
          <w:iCs w:val="0"/>
          <w:caps w:val="0"/>
          <w:color w:val="333333"/>
          <w:spacing w:val="0"/>
          <w:sz w:val="24"/>
          <w:szCs w:val="24"/>
          <w:shd w:val="clear" w:color="auto" w:fill="FFFFFF"/>
        </w:rPr>
        <w:t>室</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i w:val="0"/>
          <w:iCs w:val="0"/>
          <w:caps w:val="0"/>
          <w:color w:val="333333"/>
          <w:spacing w:val="0"/>
          <w:sz w:val="24"/>
          <w:szCs w:val="24"/>
          <w:shd w:val="clear" w:color="auto" w:fill="FFFFFF"/>
        </w:rPr>
        <w:t>联系方式：0911-3212914</w:t>
      </w:r>
      <w:r>
        <w:rPr>
          <w:rFonts w:hint="eastAsia" w:eastAsia="宋体" w:cs="宋体"/>
          <w:i w:val="0"/>
          <w:iCs w:val="0"/>
          <w:caps w:val="0"/>
          <w:color w:val="333333"/>
          <w:spacing w:val="0"/>
          <w:sz w:val="24"/>
          <w:szCs w:val="24"/>
          <w:shd w:val="clear" w:color="auto" w:fill="FFFFFF"/>
          <w:lang w:val="en-US" w:eastAsia="zh-CN"/>
        </w:rPr>
        <w:t xml:space="preserve"> </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shd w:val="clear" w:color="auto" w:fill="FFFFFF"/>
        </w:rPr>
        <w:t>3.项目联系方式</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项目联系人：</w:t>
      </w:r>
      <w:r>
        <w:rPr>
          <w:rFonts w:hint="eastAsia" w:cs="宋体"/>
          <w:i w:val="0"/>
          <w:iCs w:val="0"/>
          <w:caps w:val="0"/>
          <w:color w:val="333333"/>
          <w:spacing w:val="0"/>
          <w:sz w:val="24"/>
          <w:szCs w:val="24"/>
          <w:shd w:val="clear" w:color="auto" w:fill="FFFFFF"/>
          <w:lang w:val="en-US" w:eastAsia="zh-CN"/>
        </w:rPr>
        <w:t>缑工</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default" w:eastAsia="宋体" w:cs="宋体"/>
          <w:i w:val="0"/>
          <w:iCs w:val="0"/>
          <w:caps w:val="0"/>
          <w:color w:val="333333"/>
          <w:spacing w:val="0"/>
          <w:sz w:val="24"/>
          <w:szCs w:val="24"/>
          <w:shd w:val="clear" w:color="auto" w:fill="FFFFFF"/>
          <w:lang w:val="en-US" w:eastAsia="zh-CN"/>
        </w:rPr>
      </w:pPr>
      <w:r>
        <w:rPr>
          <w:rFonts w:hint="eastAsia" w:ascii="宋体" w:hAnsi="宋体" w:eastAsia="宋体" w:cs="宋体"/>
          <w:i w:val="0"/>
          <w:iCs w:val="0"/>
          <w:caps w:val="0"/>
          <w:color w:val="333333"/>
          <w:spacing w:val="0"/>
          <w:sz w:val="24"/>
          <w:szCs w:val="24"/>
          <w:shd w:val="clear" w:color="auto" w:fill="FFFFFF"/>
        </w:rPr>
        <w:t>电话：</w:t>
      </w:r>
      <w:r>
        <w:rPr>
          <w:rFonts w:hint="eastAsia" w:cs="宋体"/>
          <w:i w:val="0"/>
          <w:iCs w:val="0"/>
          <w:caps w:val="0"/>
          <w:color w:val="333333"/>
          <w:spacing w:val="0"/>
          <w:sz w:val="24"/>
          <w:szCs w:val="24"/>
          <w:shd w:val="clear" w:color="auto" w:fill="FFFFFF"/>
          <w:lang w:val="en-US" w:eastAsia="zh-CN"/>
        </w:rPr>
        <w:t>13891140584</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5582" w:firstLineChars="2326"/>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rPr>
        <w:t>富县政府采购管理中心</w:t>
      </w:r>
    </w:p>
    <w:p>
      <w:pPr>
        <w:pStyle w:val="2"/>
        <w:numPr>
          <w:ilvl w:val="0"/>
          <w:numId w:val="0"/>
        </w:numPr>
        <w:spacing w:line="400" w:lineRule="exact"/>
        <w:jc w:val="both"/>
        <w:rPr>
          <w:rFonts w:hint="eastAsia" w:ascii="宋体" w:hAnsi="宋体" w:eastAsia="宋体" w:cs="宋体"/>
          <w:color w:val="auto"/>
          <w:sz w:val="36"/>
          <w:szCs w:val="36"/>
          <w:lang w:val="en-US" w:eastAsia="zh-CN"/>
        </w:rPr>
      </w:pPr>
    </w:p>
    <w:p>
      <w:pPr>
        <w:rPr>
          <w:rFonts w:hint="eastAsia" w:ascii="宋体" w:hAnsi="宋体" w:eastAsia="宋体" w:cs="宋体"/>
          <w:color w:val="auto"/>
          <w:sz w:val="36"/>
          <w:szCs w:val="36"/>
          <w:lang w:val="en-US" w:eastAsia="zh-CN"/>
        </w:rPr>
      </w:pPr>
    </w:p>
    <w:p>
      <w:pPr>
        <w:rPr>
          <w:rFonts w:hint="eastAsia" w:ascii="宋体" w:hAnsi="宋体" w:eastAsia="宋体" w:cs="宋体"/>
          <w:color w:val="auto"/>
          <w:sz w:val="36"/>
          <w:szCs w:val="36"/>
          <w:lang w:val="en-US" w:eastAsia="zh-CN"/>
        </w:rPr>
      </w:pPr>
    </w:p>
    <w:p>
      <w:pPr>
        <w:pStyle w:val="2"/>
        <w:numPr>
          <w:ilvl w:val="0"/>
          <w:numId w:val="0"/>
        </w:numPr>
        <w:spacing w:line="400" w:lineRule="exact"/>
        <w:jc w:val="center"/>
        <w:rPr>
          <w:rFonts w:hint="eastAsia"/>
          <w:sz w:val="36"/>
          <w:szCs w:val="36"/>
        </w:rPr>
      </w:pPr>
      <w:r>
        <w:rPr>
          <w:rFonts w:hint="eastAsia" w:ascii="宋体" w:hAnsi="宋体" w:eastAsia="宋体" w:cs="宋体"/>
          <w:color w:val="auto"/>
          <w:sz w:val="36"/>
          <w:szCs w:val="36"/>
          <w:lang w:val="en-US" w:eastAsia="zh-CN"/>
        </w:rPr>
        <w:t xml:space="preserve">第二部分  </w:t>
      </w:r>
      <w:r>
        <w:rPr>
          <w:rFonts w:hint="eastAsia" w:ascii="宋体" w:hAnsi="宋体" w:eastAsia="宋体" w:cs="宋体"/>
          <w:color w:val="auto"/>
          <w:sz w:val="36"/>
          <w:szCs w:val="36"/>
        </w:rPr>
        <w:t>供应商须知</w:t>
      </w:r>
    </w:p>
    <w:p>
      <w:pPr>
        <w:tabs>
          <w:tab w:val="left" w:pos="240"/>
        </w:tabs>
        <w:spacing w:beforeAutospacing="0" w:afterAutospacing="0" w:line="480" w:lineRule="exact"/>
        <w:ind w:left="-120" w:leftChars="-57"/>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供应商须知前附表</w:t>
      </w:r>
    </w:p>
    <w:tbl>
      <w:tblPr>
        <w:tblStyle w:val="19"/>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2618"/>
        <w:gridCol w:w="59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618"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5953" w:type="dxa"/>
            <w:noWrap w:val="0"/>
            <w:vAlign w:val="center"/>
          </w:tcPr>
          <w:p>
            <w:pPr>
              <w:pStyle w:val="23"/>
              <w:spacing w:beforeAutospacing="0" w:afterAutospacing="0"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具体内容和要求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采购项目</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jc w:val="both"/>
              <w:textAlignment w:val="auto"/>
              <w:rPr>
                <w:rFonts w:hint="eastAsia" w:ascii="宋体" w:hAnsi="宋体" w:eastAsia="宋体" w:cs="宋体"/>
                <w:color w:val="000000"/>
                <w:sz w:val="24"/>
                <w:szCs w:val="24"/>
                <w:lang w:eastAsia="zh-CN"/>
              </w:rPr>
            </w:pPr>
            <w:r>
              <w:rPr>
                <w:rFonts w:hint="eastAsia" w:cs="宋体"/>
                <w:i w:val="0"/>
                <w:iCs w:val="0"/>
                <w:caps w:val="0"/>
                <w:color w:val="000000"/>
                <w:spacing w:val="0"/>
                <w:sz w:val="24"/>
                <w:szCs w:val="24"/>
                <w:shd w:val="clear" w:color="auto" w:fill="FFFFFF"/>
                <w:lang w:val="en-US" w:eastAsia="zh-CN"/>
              </w:rPr>
              <w:t>已交楼未进行消防验收项目（检测标段）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采购预算</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val="en-US" w:eastAsia="zh-CN"/>
              </w:rPr>
            </w:pPr>
            <w:r>
              <w:rPr>
                <w:rFonts w:hint="eastAsia" w:cs="宋体"/>
                <w:i w:val="0"/>
                <w:iCs w:val="0"/>
                <w:caps w:val="0"/>
                <w:color w:val="000000"/>
                <w:spacing w:val="0"/>
                <w:sz w:val="24"/>
                <w:szCs w:val="24"/>
                <w:shd w:val="clear" w:color="auto" w:fill="FFFFFF"/>
                <w:lang w:val="en-US" w:eastAsia="zh-CN"/>
              </w:rPr>
              <w:t>899262.00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kern w:val="0"/>
                <w:sz w:val="24"/>
                <w:szCs w:val="24"/>
                <w:lang w:val="en-US" w:eastAsia="zh-CN"/>
              </w:rPr>
            </w:pPr>
            <w:r>
              <w:rPr>
                <w:rFonts w:hint="eastAsia" w:cs="宋体"/>
                <w:i w:val="0"/>
                <w:iCs w:val="0"/>
                <w:caps w:val="0"/>
                <w:color w:val="000000"/>
                <w:spacing w:val="0"/>
                <w:sz w:val="24"/>
                <w:szCs w:val="24"/>
                <w:shd w:val="clear" w:color="auto" w:fill="FFFFFF"/>
                <w:lang w:val="en-US" w:eastAsia="zh-CN"/>
              </w:rPr>
              <w:t>899262.00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公告媒体</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《陕西省政府采购网》、《全国公共资源交易平台（陕西省·延安市）》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采购人</w:t>
            </w:r>
          </w:p>
        </w:tc>
        <w:tc>
          <w:tcPr>
            <w:tcW w:w="5953" w:type="dxa"/>
            <w:noWrap w:val="0"/>
            <w:vAlign w:val="center"/>
          </w:tcPr>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1、名称：</w:t>
            </w:r>
            <w:r>
              <w:rPr>
                <w:rFonts w:hint="eastAsia" w:cs="宋体"/>
                <w:color w:val="000000"/>
                <w:sz w:val="24"/>
                <w:szCs w:val="24"/>
                <w:lang w:val="en-US" w:eastAsia="zh-CN"/>
              </w:rPr>
              <w:t>富县住房和城乡建设局</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w:t>
            </w:r>
            <w:r>
              <w:rPr>
                <w:rFonts w:hint="eastAsia" w:hAnsi="宋体" w:cs="宋体"/>
                <w:color w:val="000000"/>
                <w:sz w:val="24"/>
                <w:szCs w:val="24"/>
                <w:lang w:val="en-US" w:eastAsia="zh-CN"/>
              </w:rPr>
              <w:t>开元路</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cs="宋体"/>
                <w:i w:val="0"/>
                <w:iCs w:val="0"/>
                <w:caps w:val="0"/>
                <w:color w:val="333333"/>
                <w:spacing w:val="0"/>
                <w:sz w:val="24"/>
                <w:szCs w:val="24"/>
                <w:shd w:val="clear" w:color="auto" w:fill="FFFFFF"/>
                <w:lang w:val="en-US" w:eastAsia="zh-CN"/>
              </w:rPr>
              <w:t>18609213222</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eastAsia="zh-CN"/>
              </w:rPr>
              <w:t>：</w:t>
            </w:r>
            <w:r>
              <w:rPr>
                <w:rFonts w:hint="eastAsia" w:cs="宋体"/>
                <w:color w:val="000000"/>
                <w:sz w:val="24"/>
                <w:szCs w:val="24"/>
                <w:lang w:val="en-US" w:eastAsia="zh-CN"/>
              </w:rPr>
              <w:t>李朝阳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采购代理机构</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1、名称：富县政府采购管理中心</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2、地址：</w:t>
            </w:r>
            <w:r>
              <w:rPr>
                <w:rFonts w:hint="eastAsia" w:ascii="宋体" w:hAnsi="宋体" w:eastAsia="宋体" w:cs="宋体"/>
                <w:color w:val="000000"/>
                <w:sz w:val="24"/>
                <w:szCs w:val="24"/>
                <w:lang w:val="en-US" w:eastAsia="zh-CN"/>
              </w:rPr>
              <w:t>富县洛滨路税务局7楼70</w:t>
            </w:r>
            <w:r>
              <w:rPr>
                <w:rFonts w:hint="eastAsia" w:hAnsi="宋体" w:cs="宋体"/>
                <w:color w:val="000000"/>
                <w:sz w:val="24"/>
                <w:szCs w:val="24"/>
                <w:lang w:val="en-US" w:eastAsia="zh-CN"/>
              </w:rPr>
              <w:t>5</w:t>
            </w:r>
            <w:r>
              <w:rPr>
                <w:rFonts w:hint="eastAsia" w:ascii="宋体" w:hAnsi="宋体" w:eastAsia="宋体" w:cs="宋体"/>
                <w:color w:val="000000"/>
                <w:sz w:val="24"/>
                <w:szCs w:val="24"/>
                <w:lang w:val="en-US" w:eastAsia="zh-CN"/>
              </w:rPr>
              <w:t>室</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3、电话：</w:t>
            </w:r>
            <w:r>
              <w:rPr>
                <w:rFonts w:hint="eastAsia" w:ascii="宋体" w:hAnsi="宋体" w:eastAsia="宋体" w:cs="宋体"/>
                <w:color w:val="000000"/>
                <w:sz w:val="24"/>
                <w:szCs w:val="24"/>
                <w:lang w:val="en-US" w:eastAsia="zh-CN"/>
              </w:rPr>
              <w:t>0911-3212914</w:t>
            </w:r>
          </w:p>
          <w:p>
            <w:pPr>
              <w:pStyle w:val="23"/>
              <w:spacing w:beforeAutospacing="0" w:afterAutospacing="0" w:line="440" w:lineRule="exact"/>
              <w:jc w:val="lef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4、联系人：</w:t>
            </w:r>
            <w:r>
              <w:rPr>
                <w:rFonts w:hint="eastAsia" w:hAnsi="宋体" w:cs="宋体"/>
                <w:color w:val="000000"/>
                <w:sz w:val="24"/>
                <w:szCs w:val="24"/>
                <w:lang w:val="en-US" w:eastAsia="zh-CN"/>
              </w:rPr>
              <w:t>缑工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供应商资格条件</w:t>
            </w:r>
          </w:p>
        </w:tc>
        <w:tc>
          <w:tcPr>
            <w:tcW w:w="5953"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1.满足《中华人民共和国政府采购法》第二十二条规定;</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2.落实政府采购政策需满足的资格要求：</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i w:val="0"/>
                <w:iCs w:val="0"/>
                <w:caps w:val="0"/>
                <w:color w:val="000000"/>
                <w:spacing w:val="0"/>
                <w:sz w:val="24"/>
                <w:szCs w:val="24"/>
                <w:shd w:val="clear" w:color="auto" w:fill="FFFFFF"/>
              </w:rPr>
              <w:t>合同包1</w:t>
            </w:r>
            <w:r>
              <w:rPr>
                <w:rFonts w:hint="eastAsia" w:ascii="宋体" w:hAnsi="宋体" w:eastAsia="宋体" w:cs="宋体"/>
                <w:i w:val="0"/>
                <w:iCs w:val="0"/>
                <w:caps w:val="0"/>
                <w:color w:val="000000"/>
                <w:spacing w:val="0"/>
                <w:sz w:val="24"/>
                <w:szCs w:val="24"/>
                <w:shd w:val="clear" w:color="auto" w:fill="FFFFFF"/>
                <w:lang w:eastAsia="zh-CN"/>
              </w:rPr>
              <w:t>（</w:t>
            </w:r>
            <w:r>
              <w:rPr>
                <w:rFonts w:hint="eastAsia" w:cs="宋体"/>
                <w:i w:val="0"/>
                <w:iCs w:val="0"/>
                <w:caps w:val="0"/>
                <w:color w:val="000000"/>
                <w:spacing w:val="0"/>
                <w:sz w:val="24"/>
                <w:szCs w:val="24"/>
                <w:shd w:val="clear" w:color="auto" w:fill="FFFFFF"/>
                <w:lang w:val="en-US" w:eastAsia="zh-CN"/>
              </w:rPr>
              <w:t>已交楼未进行消防验收项目（检测标段）</w:t>
            </w:r>
            <w:r>
              <w:rPr>
                <w:rFonts w:hint="eastAsia" w:eastAsia="宋体" w:cs="宋体"/>
                <w:i w:val="0"/>
                <w:iCs w:val="0"/>
                <w:caps w:val="0"/>
                <w:color w:val="000000"/>
                <w:spacing w:val="0"/>
                <w:sz w:val="24"/>
                <w:szCs w:val="24"/>
                <w:shd w:val="clear" w:color="auto" w:fill="FFFFFF"/>
                <w:lang w:val="en-US" w:eastAsia="zh-CN"/>
              </w:rPr>
              <w:t>）</w:t>
            </w:r>
            <w:r>
              <w:rPr>
                <w:rFonts w:hint="eastAsia" w:ascii="宋体" w:hAnsi="宋体" w:eastAsia="宋体" w:cs="宋体"/>
                <w:i w:val="0"/>
                <w:iCs w:val="0"/>
                <w:caps w:val="0"/>
                <w:color w:val="000000"/>
                <w:spacing w:val="0"/>
                <w:sz w:val="24"/>
                <w:szCs w:val="24"/>
                <w:shd w:val="clear" w:color="auto" w:fill="FFFFFF"/>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2.1《政府采购促进中小企业发展管理办法》（财库〔2020〕46号）；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2.2《财政部 司法部关于政府采购支持监狱企业发展有关问题的通知》（财库〔2014〕68号）；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2.3《财政部 民政部 中国残疾人联合会关于促进残疾人就业政府采购政策的通知》（财库〔2017〕141号）；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2.4《国务院办公厅关于建立政府强制采购节能产品制度的通知》(国办发〔2007〕51号)；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2.5《财政部 发展改革委 生态环境部 市场监管总局关于调整优化节能产品、环境标志产品政府采购执行机制的通知》（财库〔2019〕9号）；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6</w:t>
            </w:r>
            <w:r>
              <w:rPr>
                <w:rFonts w:hint="eastAsia" w:ascii="宋体" w:hAnsi="宋体" w:eastAsia="宋体" w:cs="宋体"/>
                <w:color w:val="000000"/>
                <w:sz w:val="24"/>
              </w:rPr>
              <w:t>《财政部 农业农村部 国家乡村振兴局关于运用政府采购政策支持乡村产业振兴的通知》（财库〔2021〕19号）；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7</w:t>
            </w:r>
            <w:r>
              <w:rPr>
                <w:rFonts w:hint="eastAsia" w:ascii="宋体" w:hAnsi="宋体" w:eastAsia="宋体" w:cs="宋体"/>
                <w:color w:val="000000"/>
                <w:sz w:val="24"/>
              </w:rPr>
              <w:t>《陕西省财政厅关于加快推进我省中小企业政府采购信用融资工作的通知》（陕财办采〔2020〕15号）；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8</w:t>
            </w:r>
            <w:r>
              <w:rPr>
                <w:rFonts w:hint="eastAsia" w:ascii="宋体" w:hAnsi="宋体" w:eastAsia="宋体" w:cs="宋体"/>
                <w:color w:val="000000"/>
                <w:sz w:val="24"/>
              </w:rPr>
              <w:t>《关于进一步加大政府采购支持中小企业力度的通知》(财库〔2022〕19号)；</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9</w:t>
            </w:r>
            <w:r>
              <w:rPr>
                <w:rFonts w:hint="eastAsia" w:ascii="宋体" w:hAnsi="宋体" w:eastAsia="宋体" w:cs="宋体"/>
                <w:color w:val="000000"/>
                <w:sz w:val="24"/>
              </w:rPr>
              <w:t>《陕西省财政厅关于印发&lt;陕西省中小企业政府采购信用融资办法&gt;的通知》（陕财办采〔2018〕23号）相关政策、业务流程、办理平台；</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0</w:t>
            </w:r>
            <w:r>
              <w:rPr>
                <w:rFonts w:hint="eastAsia" w:ascii="宋体" w:hAnsi="宋体" w:eastAsia="宋体" w:cs="宋体"/>
                <w:color w:val="000000"/>
                <w:sz w:val="24"/>
              </w:rPr>
              <w:t>《陕西省财政厅关于进一步落实政府采购支持中小企业相关政策的通知》(陕财办采(2023)3号)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1</w:t>
            </w:r>
            <w:r>
              <w:rPr>
                <w:rFonts w:hint="eastAsia" w:ascii="宋体" w:hAnsi="宋体" w:eastAsia="宋体" w:cs="宋体"/>
                <w:color w:val="000000"/>
                <w:sz w:val="24"/>
              </w:rPr>
              <w:t>《陕西省财政厅关于进一步优化政府采购营商环境有关事项的通知》(陕财办采(2023)4号)</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lang w:eastAsia="zh-CN"/>
              </w:rPr>
            </w:pPr>
            <w:r>
              <w:rPr>
                <w:rFonts w:hint="eastAsia" w:ascii="宋体" w:hAnsi="宋体" w:eastAsia="宋体" w:cs="宋体"/>
                <w:color w:val="000000"/>
                <w:sz w:val="24"/>
              </w:rPr>
              <w:t>2.1</w:t>
            </w:r>
            <w:r>
              <w:rPr>
                <w:rFonts w:hint="eastAsia" w:ascii="宋体" w:hAnsi="宋体" w:eastAsia="宋体" w:cs="宋体"/>
                <w:color w:val="000000"/>
                <w:sz w:val="24"/>
                <w:lang w:val="en-US" w:eastAsia="zh-CN"/>
              </w:rPr>
              <w:t>2</w:t>
            </w:r>
            <w:r>
              <w:rPr>
                <w:rFonts w:hint="eastAsia" w:ascii="宋体" w:hAnsi="宋体" w:eastAsia="宋体" w:cs="宋体"/>
                <w:color w:val="000000"/>
                <w:sz w:val="24"/>
              </w:rPr>
              <w:t>其他需要落实的政府采购政策</w:t>
            </w:r>
            <w:r>
              <w:rPr>
                <w:rFonts w:hint="eastAsia" w:ascii="宋体" w:hAnsi="宋体" w:eastAsia="宋体" w:cs="宋体"/>
                <w:color w:val="000000"/>
                <w:sz w:val="24"/>
                <w:lang w:eastAsia="zh-CN"/>
              </w:rPr>
              <w:t>；</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2.13</w:t>
            </w:r>
            <w:r>
              <w:rPr>
                <w:rFonts w:hint="eastAsia" w:ascii="宋体" w:hAnsi="宋体" w:eastAsia="宋体" w:cs="宋体"/>
                <w:color w:val="000000"/>
                <w:sz w:val="24"/>
              </w:rPr>
              <w:t>如有最新颁布的政府采购政策，按最新的文件执行。</w:t>
            </w:r>
          </w:p>
          <w:p>
            <w:pPr>
              <w:keepNext w:val="0"/>
              <w:keepLines w:val="0"/>
              <w:pageBreakBefore w:val="0"/>
              <w:kinsoku/>
              <w:wordWrap/>
              <w:overflowPunct/>
              <w:topLinePunct w:val="0"/>
              <w:autoSpaceDE/>
              <w:autoSpaceDN/>
              <w:bidi w:val="0"/>
              <w:adjustRightInd/>
              <w:snapToGrid/>
              <w:spacing w:beforeAutospacing="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lang w:val="en-US" w:eastAsia="zh-CN"/>
              </w:rPr>
              <w:t>3.</w:t>
            </w:r>
            <w:r>
              <w:rPr>
                <w:rFonts w:hint="eastAsia" w:ascii="宋体" w:hAnsi="宋体" w:eastAsia="宋体" w:cs="宋体"/>
                <w:color w:val="000000"/>
                <w:sz w:val="24"/>
              </w:rPr>
              <w:t>本项目的特定资格要求：</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000000"/>
                <w:sz w:val="24"/>
                <w:lang w:val="en-US" w:eastAsia="zh-CN"/>
              </w:rPr>
            </w:pPr>
            <w:r>
              <w:rPr>
                <w:rFonts w:hint="eastAsia" w:ascii="宋体" w:hAnsi="宋体" w:eastAsia="宋体" w:cs="宋体"/>
                <w:color w:val="000000"/>
                <w:sz w:val="24"/>
              </w:rPr>
              <w:t>合同包1</w:t>
            </w:r>
            <w:r>
              <w:rPr>
                <w:rFonts w:hint="eastAsia" w:ascii="宋体" w:hAnsi="宋体" w:eastAsia="宋体" w:cs="宋体"/>
                <w:color w:val="000000"/>
                <w:sz w:val="24"/>
                <w:lang w:eastAsia="zh-CN"/>
              </w:rPr>
              <w:t>（</w:t>
            </w:r>
            <w:r>
              <w:rPr>
                <w:rFonts w:hint="eastAsia" w:cs="宋体"/>
                <w:i w:val="0"/>
                <w:iCs w:val="0"/>
                <w:caps w:val="0"/>
                <w:color w:val="000000"/>
                <w:spacing w:val="0"/>
                <w:sz w:val="24"/>
                <w:szCs w:val="24"/>
                <w:shd w:val="clear" w:color="auto" w:fill="FFFFFF"/>
                <w:lang w:val="en-US" w:eastAsia="zh-CN"/>
              </w:rPr>
              <w:t>已交楼未进行消防验收项目（检测标段）</w:t>
            </w:r>
            <w:r>
              <w:rPr>
                <w:rFonts w:hint="eastAsia" w:ascii="宋体" w:hAnsi="宋体" w:eastAsia="宋体" w:cs="宋体"/>
                <w:color w:val="000000"/>
                <w:sz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3.2财务状况报告：提供</w:t>
            </w:r>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3.3社会保障资金缴纳证明：提供投标截止时间前1年内任意1个月的社会保障资金缴存单据或社保机构开具的社会保险参保缴费情况证明；依法不需要缴纳社会保障资金的应提供相关文件证明；</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3.4税收缴纳证明：提供投标截止时间前1年内任意1个月完税凭证或税务机关开具的完税证明（任意税种）；依法免税的应提供相关文件证明；</w:t>
            </w:r>
          </w:p>
          <w:p>
            <w:pPr>
              <w:rPr>
                <w:rFonts w:hint="eastAsia" w:ascii="仿宋_GB2312" w:hAnsi="仿宋_GB2312" w:eastAsia="仿宋_GB2312" w:cs="仿宋_GB2312"/>
                <w:color w:val="auto"/>
                <w:kern w:val="2"/>
                <w:sz w:val="32"/>
                <w:szCs w:val="32"/>
                <w:lang w:val="en-US" w:eastAsia="zh-CN"/>
              </w:rPr>
            </w:pPr>
            <w:r>
              <w:rPr>
                <w:rFonts w:hint="eastAsia" w:ascii="宋体" w:hAnsi="宋体" w:eastAsia="宋体" w:cs="宋体"/>
                <w:color w:val="auto"/>
                <w:sz w:val="24"/>
                <w:szCs w:val="24"/>
                <w:lang w:val="en-US" w:eastAsia="zh-CN"/>
              </w:rPr>
              <w:t>3.5书面声明：提供《供应商信用记录书面声明函》（按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sz w:val="24"/>
                <w:szCs w:val="24"/>
                <w:lang w:val="en-US" w:eastAsia="zh-CN"/>
              </w:rPr>
              <w:t>3.</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spacing w:line="360" w:lineRule="auto"/>
              <w:rPr>
                <w:rFonts w:hint="eastAsia" w:ascii="宋体" w:hAnsi="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w:t>
            </w:r>
            <w:r>
              <w:rPr>
                <w:rFonts w:hint="eastAsia" w:ascii="宋体" w:hAnsi="宋体" w:cs="宋体"/>
                <w:color w:val="auto"/>
                <w:kern w:val="0"/>
                <w:sz w:val="24"/>
                <w:szCs w:val="24"/>
                <w:lang w:val="en-US" w:eastAsia="zh-CN" w:bidi="ar-SA"/>
              </w:rPr>
              <w:t>8供应商须需具备履行合同所必须的设备和专业技术能力。提供说明和承诺（格式自拟）。</w:t>
            </w:r>
          </w:p>
          <w:p>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3.9</w:t>
            </w:r>
            <w:r>
              <w:rPr>
                <w:rFonts w:hint="eastAsia" w:ascii="宋体" w:hAnsi="宋体" w:eastAsia="宋体" w:cs="Times New Roman"/>
                <w:color w:val="auto"/>
                <w:sz w:val="24"/>
                <w:lang w:val="en-US" w:eastAsia="zh-CN"/>
              </w:rPr>
              <w:t>供应商须在“社会消防技术服务信息系统（https://shhxf.119.gov.cn/templet/index_7.jsp）”中可查询，且服务类型须包含“消防设施维护保养检测”及“消防安全评估”；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right="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3.10</w:t>
            </w:r>
            <w:r>
              <w:rPr>
                <w:rFonts w:hint="eastAsia" w:ascii="宋体" w:hAnsi="宋体" w:eastAsia="宋体" w:cs="宋体"/>
                <w:b w:val="0"/>
                <w:bCs w:val="0"/>
                <w:color w:val="auto"/>
                <w:kern w:val="2"/>
                <w:sz w:val="24"/>
                <w:szCs w:val="24"/>
                <w:lang w:val="en-US" w:eastAsia="zh-CN" w:bidi="ar-SA"/>
              </w:rPr>
              <w:t>本项目不接受联合体投标。（提供非联合体声明函）</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left"/>
              <w:textAlignment w:val="auto"/>
              <w:rPr>
                <w:rFonts w:hint="default"/>
                <w:lang w:val="en-US" w:eastAsia="zh-CN"/>
              </w:rPr>
            </w:pPr>
            <w:r>
              <w:rPr>
                <w:rFonts w:hint="eastAsia" w:ascii="宋体" w:hAnsi="宋体" w:cs="宋体"/>
                <w:b w:val="0"/>
                <w:bCs w:val="0"/>
                <w:color w:val="auto"/>
                <w:kern w:val="2"/>
                <w:sz w:val="24"/>
                <w:szCs w:val="24"/>
                <w:lang w:val="en-US" w:eastAsia="zh-CN" w:bidi="ar-SA"/>
              </w:rPr>
              <w:t>3.11</w:t>
            </w:r>
            <w:r>
              <w:rPr>
                <w:rFonts w:hint="eastAsia" w:ascii="宋体" w:hAnsi="宋体" w:eastAsia="宋体" w:cs="宋体"/>
                <w:i w:val="0"/>
                <w:iCs w:val="0"/>
                <w:caps w:val="0"/>
                <w:spacing w:val="0"/>
                <w:sz w:val="24"/>
                <w:szCs w:val="24"/>
                <w:shd w:val="clear" w:color="auto" w:fill="FFFFFF"/>
                <w:lang w:val="en-US" w:eastAsia="zh-CN"/>
              </w:rPr>
              <w:t>本项目专门面向中小企业。</w:t>
            </w:r>
            <w:r>
              <w:rPr>
                <w:rFonts w:hint="eastAsia" w:ascii="宋体" w:hAnsi="宋体" w:eastAsia="宋体" w:cs="宋体"/>
                <w:b w:val="0"/>
                <w:bCs w:val="0"/>
                <w:color w:val="auto"/>
                <w:kern w:val="2"/>
                <w:sz w:val="24"/>
                <w:szCs w:val="24"/>
                <w:lang w:val="en-US" w:eastAsia="zh-CN" w:bidi="ar-SA"/>
              </w:rPr>
              <w:t>（提供中小企业声明函）</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备注：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rPr>
              <w:t>以上资格条件为必备资格条件，缺一项或某项达不到要求，按无效文件处理</w:t>
            </w:r>
            <w:r>
              <w:rPr>
                <w:rFonts w:hint="eastAsia" w:ascii="宋体" w:hAnsi="宋体" w:eastAsia="宋体" w:cs="宋体"/>
                <w:b/>
                <w:bCs/>
                <w:color w:val="000000"/>
                <w:sz w:val="24"/>
                <w:szCs w:val="24"/>
              </w:rPr>
              <w:t>。</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2、分支机构参与投标时，磋商响应文件中应附法人出具的授权书。法人只能授权一家分支机构参与磋商，且不能与分支机构同时参与投标。分支机构须提供自己的资格要求证明文件。</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3、事业单位参与磋商可不提供财务状况报告、社会保障资金缴纳证明及税收缴纳证明。  </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、单位负责人为同一人或存在直接控股、管理关系的不同单位，不得同时参加本项目磋商活动。</w:t>
            </w:r>
          </w:p>
          <w:p>
            <w:pPr>
              <w:pStyle w:val="23"/>
              <w:keepNext w:val="0"/>
              <w:keepLines w:val="0"/>
              <w:pageBreakBefore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、磋商文件中要求签字或盖章之处，非法人单位均参照执行。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本项目是否接受联合体磋商</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eq \o\ac(□,√)</w:instrTex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8"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响应文件有效期为自磋商之日起算90个日历日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现场踏勘</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是否组织踏勘：</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组织/</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不组织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采购进口产品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政府采购强制采购：节能产品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政府采购强制采购：信息安全认证</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政府采购优先采购：节能产品(非强制类)</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不涉及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715" w:type="dxa"/>
            <w:vMerge w:val="restart"/>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restart"/>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支持中小企业</w:t>
            </w:r>
          </w:p>
        </w:tc>
        <w:tc>
          <w:tcPr>
            <w:tcW w:w="5953" w:type="dxa"/>
            <w:noWrap w:val="0"/>
            <w:vAlign w:val="center"/>
          </w:tcPr>
          <w:p>
            <w:pPr>
              <w:pStyle w:val="23"/>
              <w:spacing w:beforeAutospacing="0" w:afterAutospacing="0" w:line="440" w:lineRule="exact"/>
              <w:jc w:val="left"/>
              <w:rPr>
                <w:rFonts w:hint="eastAsia" w:ascii="宋体" w:hAnsi="宋体" w:eastAsia="宋体" w:cs="宋体"/>
                <w:b/>
                <w:bCs/>
                <w:color w:val="auto"/>
                <w:sz w:val="24"/>
                <w:szCs w:val="24"/>
                <w:highlight w:val="none"/>
                <w:shd w:val="clear" w:color="auto" w:fill="auto"/>
              </w:rPr>
            </w:pPr>
            <w:r>
              <w:rPr>
                <w:rFonts w:hint="eastAsia" w:hAnsi="宋体" w:cs="Times New Roman"/>
                <w:b/>
                <w:bCs/>
                <w:sz w:val="21"/>
                <w:szCs w:val="21"/>
                <w:lang w:val="en-US" w:eastAsia="zh-CN"/>
              </w:rPr>
              <w:t>本项目专门面向中小企业采购。</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3" w:hRule="atLeast"/>
          <w:jc w:val="center"/>
        </w:trPr>
        <w:tc>
          <w:tcPr>
            <w:tcW w:w="715" w:type="dxa"/>
            <w:vMerge w:val="continue"/>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vMerge w:val="continue"/>
            <w:noWrap w:val="0"/>
            <w:vAlign w:val="center"/>
          </w:tcPr>
          <w:p>
            <w:pPr>
              <w:pStyle w:val="23"/>
              <w:spacing w:beforeAutospacing="0" w:afterAutospacing="0" w:line="440" w:lineRule="exact"/>
              <w:jc w:val="left"/>
              <w:rPr>
                <w:rFonts w:hint="eastAsia" w:ascii="宋体" w:hAnsi="宋体" w:eastAsia="宋体" w:cs="宋体"/>
                <w:color w:val="auto"/>
                <w:sz w:val="24"/>
                <w:szCs w:val="24"/>
                <w:highlight w:val="none"/>
                <w:shd w:val="clear" w:color="auto" w:fill="auto"/>
              </w:rPr>
            </w:pPr>
          </w:p>
        </w:tc>
        <w:tc>
          <w:tcPr>
            <w:tcW w:w="5953" w:type="dxa"/>
            <w:noWrap w:val="0"/>
            <w:vAlign w:val="center"/>
          </w:tcPr>
          <w:p>
            <w:pPr>
              <w:pStyle w:val="23"/>
              <w:spacing w:beforeAutospacing="0" w:afterAutospacing="0" w:line="440" w:lineRule="exact"/>
              <w:jc w:val="lef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采购标的对应的</w:t>
            </w:r>
            <w:r>
              <w:rPr>
                <w:rFonts w:hint="eastAsia" w:ascii="宋体" w:hAnsi="宋体" w:eastAsia="宋体" w:cs="宋体"/>
                <w:color w:val="000000"/>
                <w:sz w:val="24"/>
                <w:szCs w:val="24"/>
                <w:highlight w:val="none"/>
                <w:shd w:val="clear" w:color="auto" w:fill="auto"/>
                <w:lang w:val="en-US" w:eastAsia="zh-CN"/>
              </w:rPr>
              <w:t>中小</w:t>
            </w:r>
            <w:r>
              <w:rPr>
                <w:rFonts w:hint="eastAsia" w:ascii="宋体" w:hAnsi="宋体" w:eastAsia="宋体" w:cs="宋体"/>
                <w:color w:val="000000"/>
                <w:sz w:val="24"/>
                <w:szCs w:val="24"/>
                <w:highlight w:val="none"/>
                <w:shd w:val="clear" w:color="auto" w:fill="auto"/>
              </w:rPr>
              <w:t>企业划分标准所属行业：</w:t>
            </w:r>
          </w:p>
          <w:p>
            <w:pPr>
              <w:pStyle w:val="23"/>
              <w:tabs>
                <w:tab w:val="center" w:pos="2868"/>
              </w:tabs>
              <w:spacing w:beforeAutospacing="0" w:afterAutospacing="0" w:line="440" w:lineRule="exact"/>
              <w:ind w:firstLine="241" w:firstLineChars="100"/>
              <w:jc w:val="lef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b/>
                <w:bCs/>
                <w:i w:val="0"/>
                <w:iCs w:val="0"/>
                <w:caps w:val="0"/>
                <w:color w:val="auto"/>
                <w:spacing w:val="0"/>
                <w:sz w:val="24"/>
                <w:szCs w:val="24"/>
                <w:highlight w:val="none"/>
                <w:shd w:val="clear" w:color="auto" w:fill="auto"/>
                <w:lang w:val="en-US" w:eastAsia="zh-CN"/>
              </w:rPr>
              <w:t>其他未列明的行业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支持监狱企业</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监狱企业应符合《财政部司法部关于政府采购支持监狱企业发展有关问题的通知》（财库〔2014〕68 号）文件规定，并提供由省级以上监狱管理局、戒毒管理局(含新疆生产建设兵团)出具的属于监狱企业的证明文</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件复印件，监狱和戒毒企业视同小型、微型企业。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4"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其他法律法规强制性规定或扶持政策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递交响应文件的截止时间和地点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递交地点</w:t>
            </w:r>
            <w:r>
              <w:rPr>
                <w:rFonts w:hint="eastAsia" w:ascii="宋体" w:hAnsi="宋体" w:eastAsia="宋体" w:cs="宋体"/>
                <w:color w:val="auto"/>
                <w:kern w:val="2"/>
                <w:sz w:val="24"/>
                <w:szCs w:val="24"/>
                <w:lang w:val="en-US" w:eastAsia="zh-CN" w:bidi="ar-SA"/>
              </w:rPr>
              <w:t>：延安市公共资源交易中心交易</w:t>
            </w:r>
            <w:r>
              <w:rPr>
                <w:rFonts w:hint="eastAsia" w:ascii="宋体" w:hAnsi="宋体" w:cs="宋体"/>
                <w:color w:val="auto"/>
                <w:kern w:val="2"/>
                <w:sz w:val="24"/>
                <w:szCs w:val="24"/>
                <w:lang w:val="en-US" w:eastAsia="zh-CN" w:bidi="ar-SA"/>
              </w:rPr>
              <w:t>二</w:t>
            </w:r>
            <w:r>
              <w:rPr>
                <w:rFonts w:hint="eastAsia" w:ascii="宋体" w:hAnsi="宋体" w:eastAsia="宋体" w:cs="宋体"/>
                <w:color w:val="auto"/>
                <w:kern w:val="2"/>
                <w:sz w:val="24"/>
                <w:szCs w:val="24"/>
                <w:lang w:val="en-US" w:eastAsia="zh-CN" w:bidi="ar-SA"/>
              </w:rPr>
              <w:t>厅</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2.递交方式：</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（1）本项目采用电子化投标的方式，相关操作流程详见全国公共资源交易平台（陕西省）网站[服务指南-下载专区]中的《陕西省公共资源交易中心政府采购项目投标指南》；        </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（2）电子投标文件可于提交响应文件截止时间前任意时段进行提交，逾期系统将拒绝接收。</w:t>
            </w:r>
          </w:p>
          <w:p>
            <w:pPr>
              <w:pStyle w:val="23"/>
              <w:spacing w:beforeAutospacing="0" w:afterAutospacing="0" w:line="440" w:lineRule="exact"/>
              <w:jc w:val="left"/>
              <w:rPr>
                <w:rFonts w:hint="eastAsia" w:ascii="宋体" w:hAnsi="宋体" w:eastAsia="宋体" w:cs="宋体"/>
                <w:color w:val="auto"/>
                <w:kern w:val="0"/>
                <w:sz w:val="24"/>
              </w:rPr>
            </w:pPr>
            <w:r>
              <w:rPr>
                <w:rFonts w:hint="eastAsia" w:ascii="宋体" w:hAnsi="宋体" w:eastAsia="宋体" w:cs="宋体"/>
                <w:b w:val="0"/>
                <w:bCs w:val="0"/>
                <w:color w:val="auto"/>
                <w:sz w:val="24"/>
                <w:szCs w:val="24"/>
                <w:lang w:val="en-US" w:eastAsia="zh-CN"/>
              </w:rPr>
              <w:t>3.解密方式：不见面开标远程解密；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2"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both"/>
              <w:rPr>
                <w:rFonts w:hint="eastAsia" w:ascii="宋体" w:hAnsi="宋体" w:eastAsia="宋体" w:cs="宋体"/>
                <w:color w:val="000000"/>
                <w:sz w:val="24"/>
                <w:szCs w:val="24"/>
              </w:rPr>
            </w:pPr>
            <w:r>
              <w:rPr>
                <w:rFonts w:hint="eastAsia" w:ascii="宋体" w:hAnsi="宋体" w:eastAsia="宋体" w:cs="宋体"/>
                <w:color w:val="000000"/>
                <w:sz w:val="24"/>
                <w:szCs w:val="24"/>
              </w:rPr>
              <w:t>磋商时间和地点</w:t>
            </w:r>
          </w:p>
        </w:tc>
        <w:tc>
          <w:tcPr>
            <w:tcW w:w="5953" w:type="dxa"/>
            <w:noWrap w:val="0"/>
            <w:vAlign w:val="center"/>
          </w:tcPr>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kern w:val="0"/>
                <w:sz w:val="24"/>
                <w:szCs w:val="21"/>
              </w:rPr>
              <w:t>1</w:t>
            </w:r>
            <w:r>
              <w:rPr>
                <w:rFonts w:hint="eastAsia" w:ascii="宋体" w:hAnsi="宋体" w:eastAsia="宋体" w:cs="宋体"/>
                <w:color w:val="auto"/>
                <w:sz w:val="24"/>
                <w:szCs w:val="24"/>
                <w:lang w:val="en-US" w:eastAsia="zh-CN"/>
              </w:rPr>
              <w:t>、时间</w:t>
            </w:r>
            <w:r>
              <w:rPr>
                <w:rFonts w:hint="eastAsia" w:ascii="宋体" w:hAnsi="宋体" w:eastAsia="宋体" w:cs="宋体"/>
                <w:b w:val="0"/>
                <w:bCs w:val="0"/>
                <w:color w:val="auto"/>
                <w:kern w:val="2"/>
                <w:sz w:val="24"/>
                <w:szCs w:val="24"/>
                <w:lang w:val="en-US" w:eastAsia="zh-CN" w:bidi="ar-SA"/>
              </w:rPr>
              <w:t>：</w:t>
            </w:r>
            <w:r>
              <w:rPr>
                <w:rFonts w:hint="eastAsia" w:ascii="宋体" w:hAnsi="宋体" w:eastAsia="宋体" w:cs="宋体"/>
                <w:color w:val="auto"/>
                <w:sz w:val="24"/>
                <w:szCs w:val="24"/>
                <w:lang w:val="en-US" w:eastAsia="zh-CN"/>
              </w:rPr>
              <w:t>2026年</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月</w:t>
            </w:r>
            <w:r>
              <w:rPr>
                <w:rFonts w:hint="eastAsia" w:ascii="宋体" w:hAnsi="宋体" w:cs="宋体"/>
                <w:color w:val="auto"/>
                <w:sz w:val="24"/>
                <w:szCs w:val="24"/>
                <w:lang w:val="en-US" w:eastAsia="zh-CN"/>
              </w:rPr>
              <w:t>22</w:t>
            </w:r>
            <w:r>
              <w:rPr>
                <w:rFonts w:hint="eastAsia" w:ascii="宋体" w:hAnsi="宋体" w:eastAsia="宋体" w:cs="宋体"/>
                <w:color w:val="auto"/>
                <w:sz w:val="24"/>
                <w:szCs w:val="24"/>
                <w:lang w:val="en-US" w:eastAsia="zh-CN"/>
              </w:rPr>
              <w:t>日</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val="en-US" w:eastAsia="zh-CN"/>
              </w:rPr>
              <w:t>时</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0 分00秒</w:t>
            </w:r>
          </w:p>
          <w:p>
            <w:pPr>
              <w:keepNext w:val="0"/>
              <w:keepLines w:val="0"/>
              <w:pageBreakBefore w:val="0"/>
              <w:kinsoku/>
              <w:wordWrap/>
              <w:overflowPunct/>
              <w:topLinePunct w:val="0"/>
              <w:autoSpaceDE/>
              <w:autoSpaceDN/>
              <w:bidi w:val="0"/>
              <w:adjustRightInd/>
              <w:spacing w:line="450" w:lineRule="exact"/>
              <w:ind w:firstLine="240" w:firstLineChars="100"/>
              <w:textAlignment w:val="auto"/>
              <w:rPr>
                <w:rFonts w:hint="default" w:ascii="宋体" w:hAnsi="宋体" w:eastAsia="宋体" w:cs="宋体"/>
                <w:color w:val="auto"/>
                <w:kern w:val="0"/>
                <w:sz w:val="24"/>
                <w:szCs w:val="21"/>
                <w:lang w:val="en-US" w:eastAsia="zh-CN"/>
              </w:rPr>
            </w:pPr>
            <w:r>
              <w:rPr>
                <w:rFonts w:hint="eastAsia" w:ascii="宋体" w:hAnsi="宋体" w:eastAsia="宋体" w:cs="宋体"/>
                <w:color w:val="auto"/>
                <w:sz w:val="24"/>
                <w:szCs w:val="24"/>
                <w:lang w:val="en-US" w:eastAsia="zh-CN"/>
              </w:rPr>
              <w:t>2、地点：延安市公共资源交易中心交易</w:t>
            </w:r>
            <w:r>
              <w:rPr>
                <w:rFonts w:hint="eastAsia" w:ascii="宋体" w:hAnsi="宋体" w:cs="宋体"/>
                <w:color w:val="auto"/>
                <w:sz w:val="24"/>
                <w:szCs w:val="24"/>
                <w:lang w:val="en-US" w:eastAsia="zh-CN"/>
              </w:rPr>
              <w:t>二</w:t>
            </w:r>
            <w:r>
              <w:rPr>
                <w:rFonts w:hint="eastAsia" w:ascii="宋体" w:hAnsi="宋体" w:eastAsia="宋体" w:cs="宋体"/>
                <w:color w:val="auto"/>
                <w:sz w:val="24"/>
                <w:szCs w:val="24"/>
                <w:lang w:val="en-US" w:eastAsia="zh-CN"/>
              </w:rPr>
              <w:t>厅</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1"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本项目不要求</w:t>
            </w:r>
            <w:r>
              <w:rPr>
                <w:rFonts w:hint="eastAsia" w:ascii="宋体" w:hAnsi="宋体" w:eastAsia="宋体" w:cs="宋体"/>
                <w:color w:val="auto"/>
                <w:sz w:val="24"/>
                <w:szCs w:val="24"/>
              </w:rPr>
              <w:t>磋商保证金</w:t>
            </w:r>
            <w:r>
              <w:rPr>
                <w:rFonts w:hint="eastAsia" w:ascii="宋体" w:hAnsi="宋体" w:eastAsia="宋体" w:cs="宋体"/>
                <w:color w:val="auto"/>
                <w:sz w:val="24"/>
                <w:szCs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5"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w:t>
            </w:r>
          </w:p>
        </w:tc>
        <w:tc>
          <w:tcPr>
            <w:tcW w:w="5953" w:type="dxa"/>
            <w:noWrap w:val="0"/>
            <w:vAlign w:val="center"/>
          </w:tcPr>
          <w:p>
            <w:pPr>
              <w:keepNext w:val="0"/>
              <w:keepLines w:val="0"/>
              <w:pageBreakBefore w:val="0"/>
              <w:numPr>
                <w:ilvl w:val="0"/>
                <w:numId w:val="2"/>
              </w:numPr>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文件形式</w:t>
            </w:r>
          </w:p>
          <w:p>
            <w:pPr>
              <w:keepNext w:val="0"/>
              <w:keepLines w:val="0"/>
              <w:pageBreakBefore w:val="0"/>
              <w:numPr>
                <w:ilvl w:val="0"/>
                <w:numId w:val="0"/>
              </w:numPr>
              <w:kinsoku/>
              <w:wordWrap/>
              <w:overflowPunct/>
              <w:topLinePunct w:val="0"/>
              <w:autoSpaceDE/>
              <w:autoSpaceDN/>
              <w:bidi w:val="0"/>
              <w:adjustRightInd/>
              <w:spacing w:line="45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rPr>
              <w:t>本项目采用电子投标文件的形式。</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编制电子投标文件时，应使用最新发布的电子招标文件及专用制作工具进行编制。并使用数字认证证书（CA锁）对电子投标文件进行签署、加密、递交及解密等相关操作。</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电子招标文件下载。投标人登录全国公共资源交易平台（陕西省·延安市）网站〖首页·〉电子交易平台·〉政府采购交易系统·〉企业端〗后，在〖招标公告/出让公告〗模块中选择项目点击“我要投标”，参与投标活动。然后即可在〖我的项目〗中点击“项目流程&gt;交易文件下载”下载电子招标文件（*.SXSZF）。</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注意：该项目如有变更文件，则应点击“项目流程&gt;答疑文件下载”下载更新后的电子招标文件（*.SXSCF），使用旧版电子招标文件制作的电子投标文件，系统将拒绝接收。</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电子招标文件需要使用专用软件打开、浏览。投标人可在全国公共资源交易平台（陕西省·延安市）网站〖首页·〉服务指南·〉下载专区〗免费下载“陕西省公共资源交易平台政府采购电子标书制作工具”，并升级至最新版本，使用该客户端可以打开电子招标文件。软件操作手册详见全国公共资源交易平台（陕西省·延安市）网站〖首页·〉服务指南·〉下载专区〗中的《陕西省公共资源交易（政府采购类）投标文件制作软件操作手册》。</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.制作电子投标文件。电子投标文件同样需要使用上述软件进行编制。在编制过程中，如有技术性问题，请先翻阅操作手册，或致电软件开发商。技术支持热线：4009980000。</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（二）投标文件语言及有效期</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投标活动的所有文件、资料、函电文均使用简体中文，确需提交其他语言形成的资料，必须翻译成简体中文，如有差异，以简体中文为准。</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（三）投标文件的提交</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投标文件可于提交投标文件截止时间前任意时段登录全国公共资源交易平台（陕西省·延安市）网站“电子交易平台&gt;政府采购交易系统&gt;企业端”进行提交，逾期系统将拒绝接收。提交时，投标人应登录全国公共资源交易中心平台（陕西省·延安市），选择“首页&gt;电子交易平台&gt;政府采购交易系统&gt;企业端&gt;我的项目”，点击“项目流程”，在打开的“项目管理”对话框中选择“上传投标文件”，上传加密的电子投标文件（*.SXSTF）。上传成功后，电子化平台将予以记录。</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（四）投标文件的补充、修改和撤回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1.投标人在递交投标文件后，且在提交投标文件截止时间前，可以对所提交的投标文件进行补充、修改或撤回。</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2.对电子投标文件进行补充、修改的，应先从电子交易平台上撤回旧版，再重新提交新版。</w:t>
            </w:r>
          </w:p>
          <w:p>
            <w:pPr>
              <w:pStyle w:val="23"/>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color w:val="auto"/>
                <w:sz w:val="24"/>
                <w:szCs w:val="24"/>
              </w:rPr>
              <w:t>3.投标文件提交截止时间后，投标人不得对其投标文件做任何修改</w:t>
            </w:r>
            <w:r>
              <w:rPr>
                <w:rFonts w:hint="eastAsia" w:hAnsi="宋体" w:cs="宋体"/>
                <w:color w:val="auto"/>
                <w:sz w:val="24"/>
                <w:szCs w:val="24"/>
                <w:lang w:eastAsia="zh-CN"/>
              </w:rPr>
              <w:t>。</w:t>
            </w:r>
          </w:p>
          <w:p>
            <w:pPr>
              <w:keepNext w:val="0"/>
              <w:keepLines w:val="0"/>
              <w:pageBreakBefore w:val="0"/>
              <w:kinsoku/>
              <w:wordWrap/>
              <w:overflowPunct/>
              <w:topLinePunct w:val="0"/>
              <w:autoSpaceDE/>
              <w:autoSpaceDN/>
              <w:bidi w:val="0"/>
              <w:adjustRightInd/>
              <w:spacing w:line="45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五</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纸质</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文件要求</w:t>
            </w:r>
          </w:p>
          <w:p>
            <w:pPr>
              <w:pStyle w:val="23"/>
              <w:spacing w:beforeAutospacing="0" w:afterAutospacing="0" w:line="440" w:lineRule="exact"/>
              <w:jc w:val="left"/>
              <w:rPr>
                <w:rFonts w:hint="eastAsia" w:hAnsi="宋体" w:cs="宋体"/>
                <w:color w:val="auto"/>
                <w:sz w:val="24"/>
                <w:szCs w:val="24"/>
                <w:lang w:eastAsia="zh-CN"/>
              </w:rPr>
            </w:pPr>
            <w:r>
              <w:rPr>
                <w:rFonts w:hint="eastAsia" w:ascii="宋体" w:hAnsi="宋体" w:eastAsia="宋体" w:cs="宋体"/>
                <w:b/>
                <w:bCs/>
                <w:color w:val="auto"/>
                <w:sz w:val="24"/>
                <w:szCs w:val="24"/>
              </w:rPr>
              <w:t>中标供应商在领取中标通知书时需提供一正两副纸质版投标文件（注：投标文件应为系统中上传参与评审的带有电子章版本，封面处加盖实体红色公章外，均须加盖骑缝章实体红色公章）。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的时间、地点等</w:t>
            </w:r>
          </w:p>
        </w:tc>
        <w:tc>
          <w:tcPr>
            <w:tcW w:w="5953" w:type="dxa"/>
            <w:noWrap w:val="0"/>
            <w:vAlign w:val="center"/>
          </w:tcPr>
          <w:p>
            <w:pPr>
              <w:pStyle w:val="7"/>
              <w:keepNext w:val="0"/>
              <w:keepLines w:val="0"/>
              <w:pageBreakBefore w:val="0"/>
              <w:widowControl w:val="0"/>
              <w:kinsoku/>
              <w:wordWrap/>
              <w:overflowPunct/>
              <w:topLinePunct w:val="0"/>
              <w:autoSpaceDE/>
              <w:autoSpaceDN/>
              <w:bidi w:val="0"/>
              <w:adjustRightInd/>
              <w:snapToGrid/>
              <w:spacing w:line="440" w:lineRule="exact"/>
              <w:ind w:right="137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1、服务期限：合同签订并具备进场条件后</w:t>
            </w:r>
          </w:p>
          <w:p>
            <w:pPr>
              <w:pStyle w:val="7"/>
              <w:keepNext w:val="0"/>
              <w:keepLines w:val="0"/>
              <w:pageBreakBefore w:val="0"/>
              <w:widowControl w:val="0"/>
              <w:kinsoku/>
              <w:wordWrap/>
              <w:overflowPunct/>
              <w:topLinePunct w:val="0"/>
              <w:autoSpaceDE/>
              <w:autoSpaceDN/>
              <w:bidi w:val="0"/>
              <w:adjustRightInd/>
              <w:snapToGrid/>
              <w:spacing w:line="440" w:lineRule="exact"/>
              <w:ind w:right="137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3-7个日历 天完成现场检测，5-10个日历天完成现场评估(建筑面积超 5万m²或多楼栋项目双方另行约定工期)；现场完工后7个工作日内提交全套正式报告(纸质版+ 电子版)。</w:t>
            </w:r>
          </w:p>
          <w:p>
            <w:pPr>
              <w:pStyle w:val="23"/>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default" w:ascii="宋体" w:hAnsi="宋体" w:eastAsia="宋体" w:cs="宋体"/>
                <w:color w:val="000000"/>
                <w:sz w:val="24"/>
                <w:szCs w:val="24"/>
                <w:lang w:val="en-US" w:eastAsia="zh-CN"/>
              </w:rPr>
            </w:pPr>
            <w:r>
              <w:rPr>
                <w:rFonts w:hint="eastAsia" w:ascii="宋体" w:hAnsi="宋体" w:eastAsia="宋体" w:cs="宋体"/>
                <w:color w:val="auto"/>
                <w:kern w:val="2"/>
                <w:sz w:val="24"/>
                <w:szCs w:val="24"/>
                <w:lang w:val="en-US" w:eastAsia="zh-CN" w:bidi="ar-SA"/>
              </w:rPr>
              <w:t>2、项目实施地点：富县住房和城乡</w:t>
            </w:r>
            <w:r>
              <w:rPr>
                <w:rFonts w:hint="eastAsia" w:hAnsi="宋体" w:cs="宋体"/>
                <w:color w:val="000000"/>
                <w:sz w:val="24"/>
                <w:szCs w:val="24"/>
                <w:lang w:eastAsia="zh-CN"/>
              </w:rPr>
              <w:t>建设局</w:t>
            </w:r>
            <w:r>
              <w:rPr>
                <w:rFonts w:hint="eastAsia" w:ascii="宋体" w:hAnsi="宋体" w:eastAsia="宋体" w:cs="宋体"/>
                <w:color w:val="000000"/>
                <w:sz w:val="24"/>
                <w:szCs w:val="24"/>
                <w:lang w:val="en-US" w:eastAsia="zh-CN"/>
              </w:rPr>
              <w:t>指定地点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结算方式</w:t>
            </w:r>
          </w:p>
        </w:tc>
        <w:tc>
          <w:tcPr>
            <w:tcW w:w="5953" w:type="dxa"/>
            <w:noWrap w:val="0"/>
            <w:vAlign w:val="center"/>
          </w:tcPr>
          <w:p>
            <w:pPr>
              <w:keepNext w:val="0"/>
              <w:keepLines w:val="0"/>
              <w:pageBreakBefore w:val="0"/>
              <w:kinsoku/>
              <w:overflowPunct/>
              <w:topLinePunct w:val="0"/>
              <w:autoSpaceDE/>
              <w:autoSpaceDN/>
              <w:bidi w:val="0"/>
              <w:adjustRightInd/>
              <w:snapToGrid/>
              <w:spacing w:line="360" w:lineRule="auto"/>
              <w:jc w:val="left"/>
              <w:rPr>
                <w:rFonts w:hint="default" w:ascii="宋体" w:hAnsi="宋体" w:eastAsia="宋体" w:cs="宋体"/>
                <w:color w:val="000000"/>
                <w:sz w:val="24"/>
                <w:lang w:val="en-US" w:eastAsia="zh-CN"/>
              </w:rPr>
            </w:pPr>
            <w:r>
              <w:rPr>
                <w:rFonts w:hint="eastAsia" w:ascii="宋体" w:hAnsi="宋体" w:eastAsia="宋体" w:cs="宋体"/>
                <w:color w:val="auto"/>
                <w:sz w:val="24"/>
                <w:szCs w:val="24"/>
              </w:rPr>
              <w:t>检测及评估经</w:t>
            </w:r>
            <w:r>
              <w:rPr>
                <w:rFonts w:hint="eastAsia" w:ascii="宋体" w:hAnsi="宋体" w:eastAsia="宋体" w:cs="宋体"/>
                <w:color w:val="auto"/>
                <w:sz w:val="24"/>
                <w:szCs w:val="24"/>
                <w:lang w:val="en-US" w:eastAsia="zh-CN"/>
              </w:rPr>
              <w:t>验收</w:t>
            </w:r>
            <w:r>
              <w:rPr>
                <w:rFonts w:hint="eastAsia" w:ascii="宋体" w:hAnsi="宋体" w:eastAsia="宋体" w:cs="宋体"/>
                <w:color w:val="auto"/>
                <w:sz w:val="24"/>
                <w:szCs w:val="24"/>
              </w:rPr>
              <w:t>合格后一次性付款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是否要求提供履约保证金：□是/</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eq \o\ac(□,√)</w:instrTex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成交服务费</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kern w:val="0"/>
                <w:sz w:val="24"/>
                <w:lang w:val="en-US" w:eastAsia="zh-CN"/>
              </w:rPr>
            </w:pPr>
            <w:r>
              <w:rPr>
                <w:rFonts w:hint="eastAsia" w:ascii="宋体" w:hAnsi="宋体" w:eastAsia="宋体" w:cs="宋体"/>
                <w:color w:val="auto"/>
                <w:sz w:val="24"/>
                <w:szCs w:val="24"/>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5953"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正文与前附表表述不一致时，以供应商须知前附表为准。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7" w:hRule="atLeast"/>
          <w:jc w:val="center"/>
        </w:trPr>
        <w:tc>
          <w:tcPr>
            <w:tcW w:w="715" w:type="dxa"/>
            <w:noWrap w:val="0"/>
            <w:vAlign w:val="center"/>
          </w:tcPr>
          <w:p>
            <w:pPr>
              <w:pStyle w:val="23"/>
              <w:numPr>
                <w:ilvl w:val="0"/>
                <w:numId w:val="1"/>
              </w:numPr>
              <w:spacing w:beforeAutospacing="0" w:afterAutospacing="0" w:line="440" w:lineRule="exact"/>
              <w:ind w:left="284" w:right="-67" w:rightChars="-32"/>
              <w:jc w:val="center"/>
              <w:rPr>
                <w:rFonts w:hint="eastAsia" w:ascii="宋体" w:hAnsi="宋体" w:eastAsia="宋体" w:cs="宋体"/>
                <w:color w:val="auto"/>
                <w:sz w:val="24"/>
                <w:szCs w:val="24"/>
              </w:rPr>
            </w:pPr>
          </w:p>
        </w:tc>
        <w:tc>
          <w:tcPr>
            <w:tcW w:w="2618" w:type="dxa"/>
            <w:noWrap w:val="0"/>
            <w:vAlign w:val="center"/>
          </w:tcPr>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价格扣除</w:t>
            </w:r>
          </w:p>
        </w:tc>
        <w:tc>
          <w:tcPr>
            <w:tcW w:w="5953" w:type="dxa"/>
            <w:noWrap w:val="0"/>
            <w:vAlign w:val="center"/>
          </w:tcPr>
          <w:p>
            <w:pPr>
              <w:pStyle w:val="23"/>
              <w:spacing w:beforeAutospacing="0" w:afterAutospacing="0" w:line="440" w:lineRule="exact"/>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hAnsi="宋体" w:cs="Times New Roman"/>
                <w:b/>
                <w:bCs/>
                <w:sz w:val="21"/>
                <w:szCs w:val="21"/>
                <w:lang w:val="en-US" w:eastAsia="zh-CN"/>
              </w:rPr>
              <w:t>本项目专门面向中小企业采购，不再进行价格扣除</w:t>
            </w:r>
            <w:r>
              <w:rPr>
                <w:rFonts w:hAnsi="宋体" w:cs="Times New Roman"/>
                <w:b/>
                <w:bCs/>
                <w:sz w:val="21"/>
                <w:szCs w:val="21"/>
              </w:rPr>
              <w:t>。</w:t>
            </w:r>
          </w:p>
          <w:p>
            <w:pPr>
              <w:pStyle w:val="23"/>
              <w:spacing w:beforeAutospacing="0" w:afterAutospacing="0" w:line="44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2.采购人应当根据政府采购有关规定和采购项目的实际情况，确定拟采购项目属性。享受中小企业扶持政策的</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人应当满足下列条件：在货物采购项目中，货物应当由中小企业制造，不对其中涉及的服务的承接商作出要求；在工程采购项目中，工程应当由中小企业承建，不对其中涉及的货物的制造商和服务的承接商作出要求；在服务采购项目中，服务的承接商应当为中小企业，不对其中涉及的货物的制造商作出要求。</w:t>
            </w:r>
          </w:p>
        </w:tc>
      </w:tr>
    </w:tbl>
    <w:p>
      <w:pPr>
        <w:rPr>
          <w:rFonts w:hint="eastAsia"/>
        </w:rPr>
      </w:pPr>
    </w:p>
    <w:p>
      <w:pPr>
        <w:rPr>
          <w:rFonts w:hint="eastAsia"/>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p>
    <w:p>
      <w:pPr>
        <w:rPr>
          <w:rFonts w:hint="eastAsia"/>
        </w:rPr>
      </w:pP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cs="宋体"/>
          <w:i w:val="0"/>
          <w:iCs w:val="0"/>
          <w:caps w:val="0"/>
          <w:color w:val="333333"/>
          <w:spacing w:val="0"/>
          <w:sz w:val="24"/>
          <w:szCs w:val="24"/>
          <w:shd w:val="clear" w:color="auto" w:fill="FFFFFF"/>
          <w:lang w:val="en-US" w:eastAsia="zh-CN"/>
        </w:rPr>
      </w:pPr>
      <w:r>
        <w:rPr>
          <w:rFonts w:hint="eastAsia" w:ascii="宋体" w:hAnsi="宋体" w:eastAsia="宋体" w:cs="宋体"/>
          <w:b/>
          <w:bCs/>
          <w:color w:val="auto"/>
          <w:sz w:val="24"/>
        </w:rPr>
        <w:t>采购人：</w:t>
      </w:r>
      <w:r>
        <w:rPr>
          <w:rFonts w:hint="eastAsia" w:ascii="宋体" w:hAnsi="宋体" w:cs="宋体"/>
          <w:i w:val="0"/>
          <w:iCs w:val="0"/>
          <w:caps w:val="0"/>
          <w:color w:val="333333"/>
          <w:spacing w:val="0"/>
          <w:sz w:val="24"/>
          <w:szCs w:val="24"/>
          <w:shd w:val="clear" w:color="auto" w:fill="FFFFFF"/>
          <w:lang w:val="en-US" w:eastAsia="zh-CN"/>
        </w:rPr>
        <w:t>富县住房和城乡建设局</w:t>
      </w:r>
    </w:p>
    <w:p>
      <w:pPr>
        <w:pStyle w:val="7"/>
        <w:ind w:firstLine="241" w:firstLineChars="100"/>
        <w:rPr>
          <w:rFonts w:hint="default"/>
          <w:lang w:val="en-US" w:eastAsia="zh-CN"/>
        </w:rPr>
      </w:pPr>
      <w:r>
        <w:rPr>
          <w:rFonts w:hint="eastAsia" w:ascii="宋体" w:hAnsi="宋体" w:cs="宋体"/>
          <w:b/>
          <w:bCs/>
          <w:i w:val="0"/>
          <w:iCs w:val="0"/>
          <w:caps w:val="0"/>
          <w:color w:val="333333"/>
          <w:spacing w:val="0"/>
          <w:sz w:val="24"/>
          <w:szCs w:val="24"/>
          <w:shd w:val="clear" w:color="auto" w:fill="FFFFFF"/>
          <w:lang w:val="en-US" w:eastAsia="zh-CN"/>
        </w:rPr>
        <w:t>监督方：</w:t>
      </w:r>
      <w:r>
        <w:rPr>
          <w:rFonts w:hint="eastAsia" w:ascii="宋体" w:hAnsi="宋体" w:cs="宋体"/>
          <w:i w:val="0"/>
          <w:iCs w:val="0"/>
          <w:caps w:val="0"/>
          <w:color w:val="333333"/>
          <w:spacing w:val="0"/>
          <w:sz w:val="24"/>
          <w:szCs w:val="24"/>
          <w:shd w:val="clear" w:color="auto" w:fill="FFFFFF"/>
          <w:lang w:val="en-US" w:eastAsia="zh-CN"/>
        </w:rPr>
        <w:t>富县财政局</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富县政府采购管理中心</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pPr>
        <w:pageBreakBefore w:val="0"/>
        <w:numPr>
          <w:ilvl w:val="0"/>
          <w:numId w:val="0"/>
        </w:numPr>
        <w:tabs>
          <w:tab w:val="left" w:pos="600"/>
        </w:tabs>
        <w:wordWrap/>
        <w:overflowPunct/>
        <w:autoSpaceDE/>
        <w:autoSpaceDN/>
        <w:bidi w:val="0"/>
        <w:adjustRightInd/>
        <w:snapToGrid/>
        <w:spacing w:line="360" w:lineRule="auto"/>
        <w:ind w:leftChars="114"/>
        <w:textAlignment w:val="auto"/>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pPr>
        <w:pStyle w:val="3"/>
        <w:pageBreakBefore w:val="0"/>
        <w:wordWrap/>
        <w:overflowPunct/>
        <w:autoSpaceDE/>
        <w:autoSpaceDN/>
        <w:bidi w:val="0"/>
        <w:adjustRightInd/>
        <w:snapToGrid/>
        <w:spacing w:before="0" w:beforeLines="0" w:after="0" w:afterLines="0"/>
        <w:ind w:firstLine="3635" w:firstLineChars="1207"/>
        <w:jc w:val="both"/>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pPr>
        <w:pageBreakBefore w:val="0"/>
        <w:wordWrap/>
        <w:overflowPunct/>
        <w:autoSpaceDE/>
        <w:autoSpaceDN/>
        <w:bidi w:val="0"/>
        <w:adjustRightInd/>
        <w:snapToGrid/>
        <w:spacing w:line="360" w:lineRule="auto"/>
        <w:ind w:left="1078" w:leftChars="172" w:hanging="717" w:hangingChars="299"/>
        <w:textAlignment w:val="auto"/>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pPr>
        <w:pStyle w:val="4"/>
        <w:pageBreakBefore w:val="0"/>
        <w:wordWrap/>
        <w:overflowPunct/>
        <w:autoSpaceDE/>
        <w:autoSpaceDN/>
        <w:bidi w:val="0"/>
        <w:adjustRightInd/>
        <w:snapToGrid/>
        <w:spacing w:before="0" w:beforeLines="0" w:after="0" w:afterLines="0"/>
        <w:ind w:firstLine="482"/>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费用</w:t>
      </w:r>
    </w:p>
    <w:p>
      <w:pPr>
        <w:pageBreakBefore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三．磋商文件</w:t>
      </w:r>
    </w:p>
    <w:p>
      <w:pPr>
        <w:pageBreakBefore w:val="0"/>
        <w:wordWrap/>
        <w:overflowPunct/>
        <w:autoSpaceDE/>
        <w:autoSpaceDN/>
        <w:bidi w:val="0"/>
        <w:adjustRightInd/>
        <w:snapToGrid/>
        <w:spacing w:beforeAutospacing="0" w:afterAutospacing="0" w:line="336"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1、磋商文件</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（1）磋商文件由磋商文件总目录所列内容组成；供应商应详细阅读磋商文件中所有的事项、条款和规范要求,在响应文件中对磋商文件的各方面都应做出实质性的响应，按照磋商文件的要求提交全部资料。</w:t>
      </w:r>
    </w:p>
    <w:p>
      <w:pPr>
        <w:pageBreakBefore w:val="0"/>
        <w:wordWrap/>
        <w:overflowPunct/>
        <w:autoSpaceDE/>
        <w:autoSpaceDN/>
        <w:bidi w:val="0"/>
        <w:adjustRightInd/>
        <w:snapToGrid/>
        <w:spacing w:beforeAutospacing="0" w:afterAutospacing="0" w:line="336" w:lineRule="auto"/>
        <w:ind w:firstLine="240" w:firstLineChars="100"/>
        <w:textAlignment w:val="auto"/>
        <w:rPr>
          <w:rFonts w:hint="eastAsia" w:ascii="宋体" w:hAnsi="宋体" w:eastAsia="宋体" w:cs="宋体"/>
          <w:color w:val="auto"/>
          <w:sz w:val="24"/>
        </w:rPr>
      </w:pPr>
      <w:bookmarkStart w:id="1" w:name="_Toc3633"/>
      <w:bookmarkEnd w:id="1"/>
      <w:r>
        <w:rPr>
          <w:rFonts w:hint="eastAsia" w:ascii="宋体" w:hAnsi="宋体" w:eastAsia="宋体" w:cs="宋体"/>
          <w:color w:val="auto"/>
          <w:sz w:val="24"/>
        </w:rPr>
        <w:t xml:space="preserve"> （2）适用范围</w:t>
      </w:r>
    </w:p>
    <w:p>
      <w:pPr>
        <w:pageBreakBefore w:val="0"/>
        <w:wordWrap/>
        <w:overflowPunct/>
        <w:autoSpaceDE/>
        <w:autoSpaceDN/>
        <w:bidi w:val="0"/>
        <w:adjustRightInd/>
        <w:snapToGrid/>
        <w:spacing w:beforeAutospacing="0" w:afterAutospacing="0" w:line="336"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本次磋商依据采购人的采购计划，仅适用于本磋商文件中所叙述的项目。</w:t>
      </w:r>
    </w:p>
    <w:p>
      <w:pPr>
        <w:pageBreakBefore w:val="0"/>
        <w:numPr>
          <w:ilvl w:val="0"/>
          <w:numId w:val="3"/>
        </w:numPr>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磋商文件的</w:t>
      </w:r>
      <w:r>
        <w:rPr>
          <w:rFonts w:hint="eastAsia" w:ascii="宋体" w:hAnsi="宋体" w:eastAsia="宋体" w:cs="宋体"/>
          <w:color w:val="auto"/>
          <w:sz w:val="24"/>
          <w:lang w:eastAsia="zh-CN"/>
        </w:rPr>
        <w:t>下载</w:t>
      </w:r>
      <w:r>
        <w:rPr>
          <w:rFonts w:hint="eastAsia" w:ascii="宋体" w:hAnsi="宋体" w:eastAsia="宋体" w:cs="宋体"/>
          <w:color w:val="auto"/>
          <w:sz w:val="24"/>
        </w:rPr>
        <w:t>：供应商必须从全国公共资源交易平台（陕西省·延安市）下载磋商文件，供应商自行转让或复制的磋商文件视为无效文件。</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2、磋商文件的澄清及修改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任何要求对磋商文件进行澄清的</w:t>
      </w:r>
      <w:r>
        <w:rPr>
          <w:rFonts w:hint="eastAsia" w:ascii="宋体" w:hAnsi="宋体" w:eastAsia="宋体" w:cs="宋体"/>
          <w:color w:val="auto"/>
          <w:sz w:val="24"/>
          <w:lang w:eastAsia="zh-CN"/>
        </w:rPr>
        <w:t>供应商</w:t>
      </w:r>
      <w:r>
        <w:rPr>
          <w:rFonts w:hint="eastAsia" w:ascii="宋体" w:hAnsi="宋体" w:eastAsia="宋体" w:cs="宋体"/>
          <w:color w:val="auto"/>
          <w:sz w:val="24"/>
        </w:rPr>
        <w:t>，均应在磋商截止期</w:t>
      </w:r>
      <w:r>
        <w:rPr>
          <w:rFonts w:hint="eastAsia" w:ascii="宋体" w:hAnsi="宋体" w:eastAsia="宋体" w:cs="宋体"/>
          <w:color w:val="auto"/>
          <w:sz w:val="24"/>
          <w:lang w:eastAsia="zh-CN"/>
        </w:rPr>
        <w:t>五</w:t>
      </w:r>
      <w:r>
        <w:rPr>
          <w:rFonts w:hint="eastAsia" w:ascii="宋体" w:hAnsi="宋体" w:eastAsia="宋体" w:cs="宋体"/>
          <w:color w:val="auto"/>
          <w:sz w:val="24"/>
        </w:rPr>
        <w:t>日前按磋商文件中的通讯地址以书面形式通知采购代理机构，采购代理机构应当在提交首次响应文件截止时间至少五日前，在《全国公共资源交易平台（陕西省·延安市）》发布澄清文件，对文件中有关表述不准确或难以理解或有疑义的内容，各</w:t>
      </w:r>
      <w:r>
        <w:rPr>
          <w:rFonts w:hint="eastAsia" w:ascii="宋体" w:hAnsi="宋体" w:eastAsia="宋体" w:cs="宋体"/>
          <w:color w:val="auto"/>
          <w:sz w:val="24"/>
          <w:lang w:eastAsia="zh-CN"/>
        </w:rPr>
        <w:t>供应商</w:t>
      </w:r>
      <w:r>
        <w:rPr>
          <w:rFonts w:hint="eastAsia" w:ascii="宋体" w:hAnsi="宋体" w:eastAsia="宋体" w:cs="宋体"/>
          <w:color w:val="auto"/>
          <w:sz w:val="24"/>
        </w:rPr>
        <w:t>应及时与有关部门人员联系；否则，因此带来的一切不利后果由各</w:t>
      </w:r>
      <w:r>
        <w:rPr>
          <w:rFonts w:hint="eastAsia" w:ascii="宋体" w:hAnsi="宋体" w:eastAsia="宋体" w:cs="宋体"/>
          <w:color w:val="auto"/>
          <w:sz w:val="24"/>
          <w:lang w:eastAsia="zh-CN"/>
        </w:rPr>
        <w:t>供应商</w:t>
      </w:r>
      <w:r>
        <w:rPr>
          <w:rFonts w:hint="eastAsia" w:ascii="宋体" w:hAnsi="宋体" w:eastAsia="宋体" w:cs="宋体"/>
          <w:color w:val="auto"/>
          <w:sz w:val="24"/>
        </w:rPr>
        <w:t>自负。</w:t>
      </w:r>
    </w:p>
    <w:p>
      <w:pPr>
        <w:pStyle w:val="24"/>
        <w:pageBreakBefore w:val="0"/>
        <w:wordWrap/>
        <w:overflowPunct/>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color w:val="auto"/>
          <w:kern w:val="2"/>
        </w:rPr>
      </w:pPr>
      <w:r>
        <w:rPr>
          <w:rFonts w:hint="eastAsia" w:ascii="宋体" w:hAnsi="宋体" w:eastAsia="宋体" w:cs="宋体"/>
          <w:color w:val="auto"/>
          <w:kern w:val="2"/>
        </w:rPr>
        <w:t>采购代理机构可对已发出的磋商文件进行必要的澄清或者修改，澄清或者修改的内容作为磋商文件的组成部分。澄清和修改的内容可能影响响应文件编制的，采购代理机构应当在提交首次响应文件截止时间至少五日前，在《全国公共资源交易平台（陕西省·延安市）》发布澄清文件，如果澄清或者修改时间距</w:t>
      </w:r>
      <w:r>
        <w:rPr>
          <w:rFonts w:hint="eastAsia" w:ascii="宋体" w:hAnsi="宋体" w:eastAsia="宋体" w:cs="宋体"/>
          <w:color w:val="auto"/>
          <w:kern w:val="2"/>
          <w:lang w:eastAsia="zh-CN"/>
        </w:rPr>
        <w:t>磋商</w:t>
      </w:r>
      <w:r>
        <w:rPr>
          <w:rFonts w:hint="eastAsia" w:ascii="宋体" w:hAnsi="宋体" w:eastAsia="宋体" w:cs="宋体"/>
          <w:color w:val="auto"/>
          <w:kern w:val="2"/>
        </w:rPr>
        <w:t>截止时间不足5日，将相应顺延提交</w:t>
      </w:r>
      <w:r>
        <w:rPr>
          <w:rFonts w:hint="eastAsia" w:ascii="宋体" w:hAnsi="宋体" w:eastAsia="宋体" w:cs="宋体"/>
          <w:color w:val="auto"/>
          <w:kern w:val="2"/>
          <w:lang w:eastAsia="zh-CN"/>
        </w:rPr>
        <w:t>响应</w:t>
      </w:r>
      <w:r>
        <w:rPr>
          <w:rFonts w:hint="eastAsia" w:ascii="宋体" w:hAnsi="宋体" w:eastAsia="宋体" w:cs="宋体"/>
          <w:color w:val="auto"/>
          <w:kern w:val="2"/>
        </w:rPr>
        <w:t>文件的截止时间。</w:t>
      </w:r>
    </w:p>
    <w:p>
      <w:pPr>
        <w:pStyle w:val="24"/>
        <w:pageBreakBefore w:val="0"/>
        <w:wordWrap/>
        <w:overflowPunct/>
        <w:autoSpaceDE/>
        <w:autoSpaceDN/>
        <w:bidi w:val="0"/>
        <w:adjustRightInd/>
        <w:snapToGrid/>
        <w:spacing w:before="0" w:beforeAutospacing="0" w:after="0" w:afterAutospacing="0" w:line="360" w:lineRule="auto"/>
        <w:ind w:firstLine="482" w:firstLineChars="200"/>
        <w:textAlignment w:val="auto"/>
        <w:rPr>
          <w:rFonts w:hint="eastAsia" w:ascii="宋体" w:hAnsi="宋体" w:eastAsia="宋体" w:cs="宋体"/>
          <w:b/>
          <w:color w:val="auto"/>
          <w:kern w:val="2"/>
        </w:rPr>
      </w:pPr>
      <w:r>
        <w:rPr>
          <w:rFonts w:hint="eastAsia" w:ascii="宋体" w:hAnsi="宋体" w:eastAsia="宋体" w:cs="宋体"/>
          <w:b/>
          <w:color w:val="auto"/>
          <w:kern w:val="2"/>
        </w:rPr>
        <w:t>3、质疑提出与答复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1）供应商认为采购文件、采购过程、成交结果使自己的权益受到损害的，可以在知道或者应知其权益受到损害之日起七个工作日内，以书面形式向采购代理机构提出（质疑函接收联系人、联系电话和通讯地址等详见磋商公告）。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供应商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质疑函应当包括下列内容：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1、供应商的姓名或者名称、地址、邮编、联系人及联系电话；</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2、质疑项目的名称、编号；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3、具体、明确的质疑事项和与质疑事项相关的请求；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4、事实依据；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5、必要的法律依据；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6、提出质疑的日期。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备注：供应商须在法定质疑期内一次性提出针对同一采购程序环节的质疑。</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（3）质疑有以下情形之一的，采购代理机构不予受理：</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1、未按规定程序和渠道提出质疑的；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2、超过法定质疑期限的；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3、书面质疑的形式和内容不符合上述要求的；</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4、提出的质疑事项已经明确答复的； </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5、法律法规规定的其他不予受理的条件。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（4）采购代理机构应当在收到质疑函后七个工作日内做出书面答复。答复内容同时通知与处理结果有关的供应商，但答复内容不得涉及供应商的商业秘密。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4、磋商的处理依据</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中华人民共和国政府采购实施条例》和《政府采购竞争性磋商采购方式管理暂行办法》的条款，本着公开、公平、公正的原则进行处理。</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5、解释权归属</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四．磋商要求</w:t>
      </w:r>
    </w:p>
    <w:p>
      <w:pPr>
        <w:pageBreakBefore w:val="0"/>
        <w:wordWrap/>
        <w:overflowPunct/>
        <w:autoSpaceDE/>
        <w:autoSpaceDN/>
        <w:bidi w:val="0"/>
        <w:adjustRightInd/>
        <w:snapToGrid/>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1、磋商内容</w:t>
      </w:r>
    </w:p>
    <w:p>
      <w:pPr>
        <w:pageBreakBefore w:val="0"/>
        <w:kinsoku w:val="0"/>
        <w:wordWrap/>
        <w:overflowPunct/>
        <w:autoSpaceDE/>
        <w:autoSpaceDN/>
        <w:bidi w:val="0"/>
        <w:adjustRightInd/>
        <w:snapToGrid/>
        <w:spacing w:line="360" w:lineRule="auto"/>
        <w:ind w:firstLine="480" w:firstLineChars="200"/>
        <w:textAlignment w:val="auto"/>
        <w:rPr>
          <w:rFonts w:hint="eastAsia" w:ascii="宋体" w:hAnsi="宋体" w:eastAsia="宋体" w:cs="宋体"/>
          <w:color w:val="auto"/>
          <w:spacing w:val="-6"/>
          <w:sz w:val="24"/>
          <w:szCs w:val="24"/>
        </w:rPr>
      </w:pPr>
      <w:r>
        <w:rPr>
          <w:rFonts w:hint="eastAsia" w:ascii="宋体" w:hAnsi="宋体" w:eastAsia="宋体" w:cs="宋体"/>
          <w:color w:val="auto"/>
          <w:sz w:val="24"/>
          <w:szCs w:val="24"/>
        </w:rPr>
        <w:t>本次竞争性磋商项目共一个标段：供应商不得将其子目再行分解或只投其中的一部分内容，否则响应无效；磋商、定标、签订合同均以标段为单位进行。</w:t>
      </w:r>
    </w:p>
    <w:p>
      <w:pPr>
        <w:pageBreakBefore w:val="0"/>
        <w:numPr>
          <w:ilvl w:val="0"/>
          <w:numId w:val="0"/>
        </w:numPr>
        <w:wordWrap/>
        <w:overflowPunct/>
        <w:autoSpaceDE/>
        <w:autoSpaceDN/>
        <w:bidi w:val="0"/>
        <w:adjustRightInd/>
        <w:snapToGrid/>
        <w:spacing w:beforeAutospacing="0" w:afterAutospacing="0" w:line="50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color w:val="auto"/>
          <w:sz w:val="24"/>
        </w:rPr>
        <w:t>供应商资格条件：</w:t>
      </w:r>
      <w:r>
        <w:rPr>
          <w:rFonts w:hint="eastAsia" w:ascii="宋体" w:hAnsi="宋体" w:eastAsia="宋体" w:cs="宋体"/>
          <w:color w:val="auto"/>
          <w:sz w:val="24"/>
        </w:rPr>
        <w:t>应当符合供应商须知前附表中规定的资格条件。</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szCs w:val="24"/>
          <w:highlight w:val="none"/>
        </w:rPr>
        <w:t>本项目为</w:t>
      </w:r>
      <w:r>
        <w:rPr>
          <w:rFonts w:hint="eastAsia" w:ascii="宋体" w:hAnsi="宋体" w:eastAsia="宋体" w:cs="宋体"/>
          <w:b/>
          <w:bCs/>
          <w:color w:val="auto"/>
          <w:sz w:val="24"/>
          <w:szCs w:val="24"/>
          <w:highlight w:val="none"/>
          <w:lang w:val="en-US" w:eastAsia="zh-CN"/>
        </w:rPr>
        <w:t>专门</w:t>
      </w:r>
      <w:r>
        <w:rPr>
          <w:rFonts w:hint="eastAsia" w:ascii="宋体" w:hAnsi="宋体" w:eastAsia="宋体" w:cs="宋体"/>
          <w:b/>
          <w:bCs/>
          <w:color w:val="auto"/>
          <w:sz w:val="24"/>
          <w:szCs w:val="24"/>
          <w:highlight w:val="none"/>
        </w:rPr>
        <w:t>面向</w:t>
      </w:r>
      <w:r>
        <w:rPr>
          <w:rFonts w:hint="eastAsia" w:ascii="宋体" w:hAnsi="宋体" w:eastAsia="宋体" w:cs="宋体"/>
          <w:b/>
          <w:bCs/>
          <w:color w:val="auto"/>
          <w:sz w:val="24"/>
          <w:szCs w:val="24"/>
          <w:highlight w:val="none"/>
          <w:lang w:val="en-US" w:eastAsia="zh-CN"/>
        </w:rPr>
        <w:t>中小</w:t>
      </w:r>
      <w:r>
        <w:rPr>
          <w:rFonts w:hint="eastAsia" w:ascii="宋体" w:hAnsi="宋体" w:eastAsia="宋体" w:cs="宋体"/>
          <w:b/>
          <w:bCs/>
          <w:color w:val="auto"/>
          <w:sz w:val="24"/>
          <w:szCs w:val="24"/>
          <w:highlight w:val="none"/>
        </w:rPr>
        <w:t>企业</w:t>
      </w:r>
      <w:r>
        <w:rPr>
          <w:rFonts w:hint="eastAsia" w:ascii="宋体" w:hAnsi="宋体" w:eastAsia="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采购项目</w:t>
      </w:r>
      <w:r>
        <w:rPr>
          <w:rFonts w:hint="eastAsia" w:ascii="宋体" w:hAnsi="宋体" w:eastAsia="宋体" w:cs="宋体"/>
          <w:b/>
          <w:bCs/>
          <w:color w:val="auto"/>
          <w:sz w:val="24"/>
          <w:szCs w:val="24"/>
          <w:highlight w:val="none"/>
          <w:lang w:eastAsia="zh-CN"/>
        </w:rPr>
        <w:t>；</w:t>
      </w:r>
    </w:p>
    <w:p>
      <w:pPr>
        <w:pStyle w:val="23"/>
        <w:pageBreakBefore w:val="0"/>
        <w:wordWrap/>
        <w:overflowPunct/>
        <w:autoSpaceDE/>
        <w:autoSpaceDN/>
        <w:bidi w:val="0"/>
        <w:adjustRightInd/>
        <w:snapToGrid/>
        <w:spacing w:beforeAutospacing="0" w:afterAutospacing="0" w:line="440" w:lineRule="exact"/>
        <w:ind w:firstLine="482" w:firstLineChars="200"/>
        <w:jc w:val="left"/>
        <w:textAlignment w:val="auto"/>
        <w:rPr>
          <w:rFonts w:hint="eastAsia" w:ascii="宋体" w:hAnsi="宋体" w:eastAsia="宋体" w:cs="宋体"/>
          <w:b/>
          <w:bCs/>
          <w:color w:val="auto"/>
          <w:sz w:val="24"/>
          <w:lang w:val="en-US" w:eastAsia="zh-CN"/>
        </w:rPr>
      </w:pPr>
      <w:r>
        <w:rPr>
          <w:rFonts w:hint="eastAsia" w:ascii="宋体" w:hAnsi="宋体" w:eastAsia="宋体" w:cs="宋体"/>
          <w:b/>
          <w:bCs/>
          <w:color w:val="auto"/>
          <w:sz w:val="24"/>
          <w:szCs w:val="24"/>
        </w:rPr>
        <w:t>采购标的对应的</w:t>
      </w:r>
      <w:r>
        <w:rPr>
          <w:rFonts w:hint="eastAsia" w:ascii="宋体" w:hAnsi="宋体" w:eastAsia="宋体" w:cs="宋体"/>
          <w:b/>
          <w:bCs/>
          <w:color w:val="auto"/>
          <w:sz w:val="24"/>
          <w:szCs w:val="24"/>
          <w:lang w:val="en-US" w:eastAsia="zh-CN"/>
        </w:rPr>
        <w:t>中</w:t>
      </w:r>
      <w:r>
        <w:rPr>
          <w:rFonts w:hint="eastAsia" w:ascii="宋体" w:hAnsi="宋体" w:eastAsia="宋体" w:cs="宋体"/>
          <w:b/>
          <w:bCs/>
          <w:color w:val="auto"/>
          <w:sz w:val="24"/>
          <w:szCs w:val="24"/>
          <w:lang w:eastAsia="zh-CN"/>
        </w:rPr>
        <w:t>小微</w:t>
      </w:r>
      <w:r>
        <w:rPr>
          <w:rFonts w:hint="eastAsia" w:ascii="宋体" w:hAnsi="宋体" w:eastAsia="宋体" w:cs="宋体"/>
          <w:b/>
          <w:bCs/>
          <w:color w:val="auto"/>
          <w:sz w:val="24"/>
          <w:szCs w:val="24"/>
        </w:rPr>
        <w:t>企业划分标准所属行业</w:t>
      </w:r>
      <w:r>
        <w:rPr>
          <w:rFonts w:hint="eastAsia" w:ascii="宋体" w:hAnsi="宋体" w:eastAsia="宋体" w:cs="宋体"/>
          <w:color w:val="auto"/>
          <w:kern w:val="2"/>
          <w:sz w:val="24"/>
          <w:szCs w:val="24"/>
          <w:lang w:val="en-US" w:eastAsia="zh-CN" w:bidi="ar-SA"/>
        </w:rPr>
        <w:t>：</w:t>
      </w:r>
      <w:r>
        <w:rPr>
          <w:rFonts w:hint="eastAsia" w:ascii="宋体" w:hAnsi="宋体" w:eastAsia="宋体" w:cs="宋体"/>
          <w:b/>
          <w:bCs/>
          <w:i w:val="0"/>
          <w:iCs w:val="0"/>
          <w:caps w:val="0"/>
          <w:color w:val="auto"/>
          <w:spacing w:val="0"/>
          <w:sz w:val="24"/>
          <w:szCs w:val="24"/>
          <w:highlight w:val="none"/>
          <w:shd w:val="clear" w:color="auto" w:fill="FFFFFF"/>
          <w:lang w:val="en-US" w:eastAsia="zh-CN"/>
        </w:rPr>
        <w:t>其他未列明的行业</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4</w:t>
      </w:r>
      <w:r>
        <w:rPr>
          <w:rFonts w:hint="eastAsia" w:ascii="宋体" w:hAnsi="宋体" w:eastAsia="宋体" w:cs="宋体"/>
          <w:b/>
          <w:color w:val="auto"/>
          <w:sz w:val="24"/>
        </w:rPr>
        <w:t>、响应文件的编制</w:t>
      </w:r>
    </w:p>
    <w:p>
      <w:pPr>
        <w:pageBreakBefore w:val="0"/>
        <w:wordWrap/>
        <w:overflowPunct/>
        <w:autoSpaceDE/>
        <w:autoSpaceDN/>
        <w:bidi w:val="0"/>
        <w:adjustRightInd/>
        <w:snapToGrid/>
        <w:spacing w:beforeAutospacing="0" w:afterAutospacing="0" w:line="4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响应文件以磋商文件的内容和要求编制，并对磋商文件做出实质性响应；具体内容包括：</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第1部分   响应函</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lang w:eastAsia="zh-CN"/>
        </w:rPr>
      </w:pPr>
      <w:r>
        <w:rPr>
          <w:rFonts w:hint="eastAsia" w:ascii="宋体" w:hAnsi="宋体" w:eastAsia="宋体" w:cs="宋体"/>
          <w:b w:val="0"/>
          <w:bCs/>
          <w:color w:val="auto"/>
          <w:sz w:val="24"/>
        </w:rPr>
        <w:t>第2部分   响应</w:t>
      </w:r>
      <w:r>
        <w:rPr>
          <w:rFonts w:hint="eastAsia" w:ascii="宋体" w:hAnsi="宋体" w:cs="宋体"/>
          <w:b w:val="0"/>
          <w:bCs/>
          <w:color w:val="auto"/>
          <w:sz w:val="24"/>
          <w:lang w:val="en-US" w:eastAsia="zh-CN"/>
        </w:rPr>
        <w:t>报价表</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第3部分   法定代表人证明书与授权书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第4部分   供应商资质证明文件</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default" w:ascii="宋体" w:hAnsi="宋体" w:eastAsia="宋体" w:cs="宋体"/>
          <w:b w:val="0"/>
          <w:bCs/>
          <w:color w:val="auto"/>
          <w:sz w:val="24"/>
          <w:lang w:val="en-US" w:eastAsia="zh-CN"/>
        </w:rPr>
      </w:pPr>
      <w:r>
        <w:rPr>
          <w:rFonts w:hint="eastAsia" w:ascii="宋体" w:hAnsi="宋体" w:eastAsia="宋体" w:cs="宋体"/>
          <w:b w:val="0"/>
          <w:bCs/>
          <w:color w:val="auto"/>
          <w:sz w:val="24"/>
        </w:rPr>
        <w:t xml:space="preserve">第5部分   </w:t>
      </w:r>
      <w:r>
        <w:rPr>
          <w:rFonts w:hint="eastAsia" w:ascii="宋体" w:hAnsi="宋体" w:cs="宋体"/>
          <w:b w:val="0"/>
          <w:bCs/>
          <w:color w:val="auto"/>
          <w:sz w:val="24"/>
          <w:lang w:val="en-US" w:eastAsia="zh-CN"/>
        </w:rPr>
        <w:t>技术响应方案说明</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第6部分   商务响应方案</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第7部分   供应商承诺书</w:t>
      </w:r>
    </w:p>
    <w:p>
      <w:pPr>
        <w:pageBreakBefore w:val="0"/>
        <w:wordWrap/>
        <w:overflowPunct/>
        <w:autoSpaceDE/>
        <w:autoSpaceDN/>
        <w:bidi w:val="0"/>
        <w:adjustRightInd/>
        <w:snapToGrid/>
        <w:spacing w:beforeAutospacing="0" w:afterAutospacing="0" w:line="560" w:lineRule="exact"/>
        <w:ind w:leftChars="200" w:firstLine="120" w:firstLineChars="50"/>
        <w:textAlignment w:val="auto"/>
        <w:rPr>
          <w:rFonts w:hint="eastAsia" w:ascii="宋体" w:hAnsi="宋体" w:eastAsia="宋体" w:cs="宋体"/>
          <w:b w:val="0"/>
          <w:bCs/>
          <w:color w:val="auto"/>
          <w:sz w:val="24"/>
        </w:rPr>
      </w:pPr>
      <w:r>
        <w:rPr>
          <w:rFonts w:hint="eastAsia" w:ascii="宋体" w:hAnsi="宋体" w:eastAsia="宋体" w:cs="宋体"/>
          <w:b w:val="0"/>
          <w:bCs/>
          <w:color w:val="auto"/>
          <w:sz w:val="24"/>
        </w:rPr>
        <w:t>第8部分   附件</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5</w:t>
      </w:r>
      <w:r>
        <w:rPr>
          <w:rFonts w:hint="eastAsia" w:ascii="宋体" w:hAnsi="宋体" w:eastAsia="宋体" w:cs="宋体"/>
          <w:b/>
          <w:color w:val="auto"/>
          <w:sz w:val="24"/>
        </w:rPr>
        <w:t>、磋商报价</w:t>
      </w:r>
    </w:p>
    <w:p>
      <w:pPr>
        <w:pageBreakBefore w:val="0"/>
        <w:wordWrap/>
        <w:overflowPunct/>
        <w:autoSpaceDE/>
        <w:autoSpaceDN/>
        <w:bidi w:val="0"/>
        <w:adjustRightInd/>
        <w:snapToGrid/>
        <w:spacing w:beforeAutospacing="0" w:afterAutospacing="0" w:line="500" w:lineRule="exact"/>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（1）磋商报价是指完成本项目所产生的一切费用，以磋商文件的内容和要求作为响应依据；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（2）供应商应在响应文件中的响应报价表上，标明磋商报价；任何有选择的报价不予接受；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（3）磋商货币：人民币；单位：元（最多保留到小数点后两位）；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（4）响应报价表应有供应商公章及法定代表人或被授权人的签字；</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（5）磋商文件中的响应报价表为一次报价，供应商磋商</w:t>
      </w:r>
      <w:r>
        <w:rPr>
          <w:rFonts w:hint="eastAsia" w:ascii="宋体" w:hAnsi="宋体" w:eastAsia="宋体" w:cs="宋体"/>
          <w:b/>
          <w:color w:val="auto"/>
          <w:sz w:val="24"/>
          <w:lang w:eastAsia="zh-CN"/>
        </w:rPr>
        <w:t>过程</w:t>
      </w:r>
      <w:r>
        <w:rPr>
          <w:rFonts w:hint="eastAsia" w:ascii="宋体" w:hAnsi="宋体" w:eastAsia="宋体" w:cs="宋体"/>
          <w:b/>
          <w:color w:val="auto"/>
          <w:sz w:val="24"/>
        </w:rPr>
        <w:t>提交的二次报价为最终报价。</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（6）合同价格：经磋商小组确认的某一供应商的最终报价，在合同执行过程中是固定不变的，不受外汇汇率及市场价格变化的影响；</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（7）凡因供应商对磋商文件阅读不深、理解不透、误解、疏漏、或因市场行情了解不清造成的后果和风险均由供应商自负；</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（8）最低报价不是成交的唯一依据；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9）供应商不得以低于成本的报价参加磋商。磋商小组认为供应商的报价明显低于其他通过符合性审查供应商的报价，有可能影响项目质量或者不能诚信履约的，应当要求其在磋商现场合理的时间内提供书面说明，必要时提交相关证明材料；供应商不能证明其报价合理性的，磋商小组应当将其作为无效投标处理。</w:t>
      </w:r>
    </w:p>
    <w:p>
      <w:pPr>
        <w:pageBreakBefore w:val="0"/>
        <w:wordWrap/>
        <w:overflowPunct/>
        <w:autoSpaceDE/>
        <w:autoSpaceDN/>
        <w:bidi w:val="0"/>
        <w:adjustRightInd/>
        <w:snapToGrid/>
        <w:spacing w:beforeAutospacing="0" w:afterAutospacing="0" w:line="360" w:lineRule="auto"/>
        <w:ind w:firstLine="361" w:firstLineChars="150"/>
        <w:textAlignment w:val="auto"/>
        <w:rPr>
          <w:rFonts w:hint="eastAsia" w:ascii="宋体" w:hAnsi="宋体" w:eastAsia="宋体" w:cs="宋体"/>
          <w:b/>
          <w:color w:val="auto"/>
          <w:sz w:val="24"/>
        </w:rPr>
      </w:pPr>
      <w:r>
        <w:rPr>
          <w:rFonts w:hint="eastAsia" w:ascii="宋体" w:hAnsi="宋体" w:eastAsia="宋体" w:cs="宋体"/>
          <w:b/>
          <w:color w:val="auto"/>
          <w:sz w:val="24"/>
        </w:rPr>
        <w:t>（10）供应商对响应项目只允许有一个报价，不接受超过磋商文件中规定的预算金额的报价、可变动性报价、赠送及“零”报价，否则视为无效响应。</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6</w:t>
      </w:r>
      <w:r>
        <w:rPr>
          <w:rFonts w:hint="eastAsia" w:ascii="宋体" w:hAnsi="宋体" w:eastAsia="宋体" w:cs="宋体"/>
          <w:b/>
          <w:color w:val="auto"/>
          <w:sz w:val="24"/>
        </w:rPr>
        <w:t>、磋商保证金</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bCs w:val="0"/>
          <w:i w:val="0"/>
          <w:iCs w:val="0"/>
          <w:color w:val="auto"/>
          <w:sz w:val="24"/>
          <w:lang w:val="en-US" w:eastAsia="zh-CN"/>
        </w:rPr>
      </w:pPr>
      <w:r>
        <w:rPr>
          <w:rFonts w:hint="eastAsia" w:ascii="宋体" w:hAnsi="宋体" w:eastAsia="宋体" w:cs="宋体"/>
          <w:b/>
          <w:bCs w:val="0"/>
          <w:i w:val="0"/>
          <w:iCs w:val="0"/>
          <w:color w:val="auto"/>
          <w:sz w:val="24"/>
          <w:lang w:val="en-US" w:eastAsia="zh-CN"/>
        </w:rPr>
        <w:t>/</w:t>
      </w:r>
    </w:p>
    <w:p>
      <w:pPr>
        <w:pageBreakBefore w:val="0"/>
        <w:wordWrap/>
        <w:overflowPunct/>
        <w:autoSpaceDE/>
        <w:autoSpaceDN/>
        <w:bidi w:val="0"/>
        <w:adjustRightInd/>
        <w:snapToGrid/>
        <w:spacing w:beforeAutospacing="0" w:afterAutospacing="0" w:line="52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7</w:t>
      </w:r>
      <w:r>
        <w:rPr>
          <w:rFonts w:hint="eastAsia" w:ascii="宋体" w:hAnsi="宋体" w:eastAsia="宋体" w:cs="宋体"/>
          <w:b/>
          <w:color w:val="auto"/>
          <w:sz w:val="24"/>
        </w:rPr>
        <w:t>、响应文件的有效期</w:t>
      </w:r>
    </w:p>
    <w:p>
      <w:pPr>
        <w:pStyle w:val="25"/>
        <w:pageBreakBefore w:val="0"/>
        <w:wordWrap/>
        <w:overflowPunct/>
        <w:autoSpaceDE/>
        <w:autoSpaceDN/>
        <w:bidi w:val="0"/>
        <w:adjustRightInd/>
        <w:snapToGrid/>
        <w:spacing w:beforeAutospacing="0" w:afterAutospacing="0" w:line="360" w:lineRule="auto"/>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自磋商之日起算90个日历日；响应文件</w:t>
      </w:r>
      <w:r>
        <w:rPr>
          <w:rFonts w:hint="eastAsia" w:ascii="宋体" w:hAnsi="宋体" w:eastAsia="宋体" w:cs="宋体"/>
          <w:color w:val="auto"/>
          <w:sz w:val="24"/>
        </w:rPr>
        <w:t>无有效期或</w:t>
      </w:r>
      <w:r>
        <w:rPr>
          <w:rFonts w:hint="eastAsia" w:ascii="宋体" w:hAnsi="宋体" w:eastAsia="宋体" w:cs="宋体"/>
          <w:color w:val="auto"/>
          <w:kern w:val="2"/>
          <w:sz w:val="24"/>
          <w:szCs w:val="24"/>
        </w:rPr>
        <w:t>有效期短于磋商文件规定的有效期，按无效响应文件处理。成交供应商的响应文件有效期延长至合同执行完毕。</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8</w:t>
      </w:r>
      <w:r>
        <w:rPr>
          <w:rFonts w:hint="eastAsia" w:ascii="宋体" w:hAnsi="宋体" w:eastAsia="宋体" w:cs="宋体"/>
          <w:b/>
          <w:color w:val="auto"/>
          <w:sz w:val="24"/>
        </w:rPr>
        <w:t>、响应文件的签署及规定</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（1）供应商须依据磋商文件内容和响应文件的要求编制响应文件；</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（2）本次磋商需提交的响应文件详见供应商须知前附表中规定的要求。</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（3）供应商在响应文件中指定的页面落款处，必须按磋商文件要求加盖公章或签字；</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（4）供应商名称应填写全称，同时加盖公章；</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（5）响应文件的任何行间插字、涂改和增删，必须由法定代表人或被授权人在改动处旁签字方为有效；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（6）响应文件因字迹潦草或表达不清所引起的后果由供应商负责。</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9</w:t>
      </w:r>
      <w:r>
        <w:rPr>
          <w:rFonts w:hint="eastAsia" w:ascii="宋体" w:hAnsi="宋体" w:eastAsia="宋体" w:cs="宋体"/>
          <w:b/>
          <w:color w:val="auto"/>
          <w:sz w:val="24"/>
        </w:rPr>
        <w:t>、文字要求</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10</w:t>
      </w:r>
      <w:r>
        <w:rPr>
          <w:rFonts w:hint="eastAsia" w:ascii="宋体" w:hAnsi="宋体" w:eastAsia="宋体" w:cs="宋体"/>
          <w:b/>
          <w:color w:val="auto"/>
          <w:sz w:val="24"/>
        </w:rPr>
        <w:t>、本项目不接受联合体磋商</w:t>
      </w:r>
      <w:r>
        <w:rPr>
          <w:rFonts w:hint="eastAsia" w:ascii="宋体" w:hAnsi="宋体" w:eastAsia="宋体" w:cs="宋体"/>
          <w:color w:val="auto"/>
          <w:sz w:val="24"/>
        </w:rPr>
        <w:t>。</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rPr>
        <w:t>五．响应文件递交</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color w:val="auto"/>
          <w:sz w:val="24"/>
        </w:rPr>
      </w:pPr>
      <w:r>
        <w:rPr>
          <w:rFonts w:hint="eastAsia" w:ascii="宋体" w:hAnsi="宋体" w:eastAsia="宋体" w:cs="宋体"/>
          <w:b/>
          <w:color w:val="auto"/>
          <w:sz w:val="24"/>
          <w:lang w:val="en-US" w:eastAsia="zh-CN"/>
        </w:rPr>
        <w:t>1</w:t>
      </w:r>
      <w:r>
        <w:rPr>
          <w:rFonts w:hint="eastAsia" w:ascii="宋体" w:hAnsi="宋体" w:eastAsia="宋体" w:cs="宋体"/>
          <w:b/>
          <w:color w:val="auto"/>
          <w:sz w:val="24"/>
        </w:rPr>
        <w:t>、响应文件递交</w:t>
      </w:r>
      <w:r>
        <w:rPr>
          <w:rFonts w:hint="eastAsia" w:ascii="宋体" w:hAnsi="宋体" w:eastAsia="宋体" w:cs="宋体"/>
          <w:b/>
          <w:color w:val="auto"/>
          <w:sz w:val="24"/>
          <w:lang w:eastAsia="zh-CN"/>
        </w:rPr>
        <w:t>及解密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（1）本项目采用电子化投标的方式，相关操作流程详见全国公共资源交易平台（陕西省）网站[服务指南-下载专区]中的《陕西省公共资源交易中心政府采购项目投标指南》；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（2）电子投标文件可于提交响应文件截止时间前任意时段进行提交，逾期系统将拒绝接收。</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color w:val="auto"/>
          <w:lang w:eastAsia="zh-CN"/>
        </w:rPr>
      </w:pPr>
      <w:r>
        <w:rPr>
          <w:rFonts w:hint="eastAsia" w:ascii="宋体" w:hAnsi="宋体" w:eastAsia="宋体" w:cs="宋体"/>
          <w:b/>
          <w:bCs/>
          <w:color w:val="auto"/>
          <w:sz w:val="24"/>
          <w:lang w:eastAsia="zh-CN"/>
        </w:rPr>
        <w:t>（</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lang w:eastAsia="zh-CN"/>
        </w:rPr>
        <w:t>）</w:t>
      </w:r>
      <w:r>
        <w:rPr>
          <w:rFonts w:hint="eastAsia" w:ascii="宋体" w:hAnsi="宋体" w:eastAsia="宋体" w:cs="宋体"/>
          <w:b/>
          <w:bCs/>
          <w:color w:val="auto"/>
          <w:sz w:val="24"/>
        </w:rPr>
        <w:t>解密方式：不见面开标远程解密</w:t>
      </w:r>
      <w:r>
        <w:rPr>
          <w:rFonts w:hint="eastAsia" w:ascii="宋体" w:hAnsi="宋体" w:eastAsia="宋体" w:cs="宋体"/>
          <w:b/>
          <w:bCs/>
          <w:color w:val="auto"/>
          <w:sz w:val="24"/>
          <w:lang w:eastAsia="zh-CN"/>
        </w:rPr>
        <w:t>。</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2</w:t>
      </w:r>
      <w:r>
        <w:rPr>
          <w:rFonts w:hint="eastAsia" w:ascii="宋体" w:hAnsi="宋体" w:eastAsia="宋体" w:cs="宋体"/>
          <w:b/>
          <w:color w:val="auto"/>
          <w:sz w:val="24"/>
        </w:rPr>
        <w:t>、响应文件截止时间</w:t>
      </w:r>
    </w:p>
    <w:p>
      <w:pPr>
        <w:pageBreakBefore w:val="0"/>
        <w:kinsoku w:val="0"/>
        <w:wordWrap/>
        <w:overflowPunct/>
        <w:autoSpaceDE/>
        <w:autoSpaceDN/>
        <w:bidi w:val="0"/>
        <w:adjustRightInd/>
        <w:snapToGrid/>
        <w:spacing w:beforeAutospacing="0" w:afterAutospacing="0" w:line="500" w:lineRule="exact"/>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w:t>
      </w:r>
      <w:bookmarkStart w:id="2" w:name="OLE_LINK12"/>
      <w:r>
        <w:rPr>
          <w:rFonts w:hint="eastAsia" w:ascii="宋体" w:hAnsi="宋体" w:eastAsia="宋体" w:cs="宋体"/>
          <w:color w:val="auto"/>
          <w:sz w:val="24"/>
        </w:rPr>
        <w:t>（1）</w:t>
      </w:r>
      <w:bookmarkEnd w:id="2"/>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bookmarkStart w:id="3" w:name="OLE_LINK13"/>
      <w:r>
        <w:rPr>
          <w:rFonts w:hint="eastAsia" w:ascii="宋体" w:hAnsi="宋体" w:eastAsia="宋体" w:cs="宋体"/>
          <w:color w:val="auto"/>
          <w:sz w:val="24"/>
        </w:rPr>
        <w:t>（2）</w:t>
      </w:r>
      <w:bookmarkEnd w:id="3"/>
      <w:r>
        <w:rPr>
          <w:rFonts w:hint="eastAsia" w:ascii="宋体" w:hAnsi="宋体" w:eastAsia="宋体" w:cs="宋体"/>
          <w:color w:val="auto"/>
          <w:sz w:val="24"/>
        </w:rPr>
        <w:t>因采购人推迟响应截止时间时，采购代理机构在《全国公共资源交易平台（陕西省·延安市）》发布澄清文件；在这种情况下，采购代理机构和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pPr>
        <w:pageBreakBefore w:val="0"/>
        <w:wordWrap/>
        <w:overflowPunct/>
        <w:autoSpaceDE/>
        <w:autoSpaceDN/>
        <w:bidi w:val="0"/>
        <w:adjustRightInd/>
        <w:snapToGrid/>
        <w:spacing w:beforeAutospacing="0" w:afterAutospacing="0" w:line="56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lang w:val="en-US" w:eastAsia="zh-CN"/>
        </w:rPr>
        <w:t>3</w:t>
      </w:r>
      <w:r>
        <w:rPr>
          <w:rFonts w:hint="eastAsia" w:ascii="宋体" w:hAnsi="宋体" w:eastAsia="宋体" w:cs="宋体"/>
          <w:b/>
          <w:color w:val="auto"/>
          <w:sz w:val="24"/>
        </w:rPr>
        <w:t>、响应文件的修改和撤回</w:t>
      </w:r>
    </w:p>
    <w:p>
      <w:pPr>
        <w:pageBreakBefore w:val="0"/>
        <w:wordWrap/>
        <w:overflowPunct/>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（1）投标人在递交投标文件后，且在提交投标文件截止时间前，可以对所提交的投标文件进行补充、修改或撤回。</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（2）对电子投标文件进行补充、修改的，应先从电子交易平台上撤回旧版，再重新提交新版。</w:t>
      </w:r>
    </w:p>
    <w:p>
      <w:pPr>
        <w:pageBreakBefore w:val="0"/>
        <w:wordWrap/>
        <w:overflowPunct/>
        <w:autoSpaceDE/>
        <w:autoSpaceDN/>
        <w:bidi w:val="0"/>
        <w:adjustRightInd/>
        <w:snapToGrid/>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3</w:t>
      </w:r>
      <w:r>
        <w:rPr>
          <w:rFonts w:hint="eastAsia" w:ascii="宋体" w:hAnsi="宋体" w:eastAsia="宋体" w:cs="宋体"/>
          <w:color w:val="auto"/>
          <w:sz w:val="24"/>
        </w:rPr>
        <w:t>）投标文件提交截止时间后，投标人不得对其投标文件做任何修改。</w:t>
      </w:r>
    </w:p>
    <w:p>
      <w:pPr>
        <w:pageBreakBefore w:val="0"/>
        <w:wordWrap/>
        <w:overflowPunct/>
        <w:autoSpaceDE/>
        <w:autoSpaceDN/>
        <w:bidi w:val="0"/>
        <w:adjustRightInd/>
        <w:snapToGrid/>
        <w:jc w:val="center"/>
        <w:textAlignment w:val="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rPr>
        <w:t>六．磋商、澄清、</w:t>
      </w:r>
      <w:r>
        <w:rPr>
          <w:rFonts w:hint="eastAsia" w:ascii="宋体" w:hAnsi="宋体" w:eastAsia="宋体" w:cs="宋体"/>
          <w:b/>
          <w:color w:val="auto"/>
          <w:sz w:val="30"/>
          <w:szCs w:val="30"/>
          <w:lang w:val="en-US" w:eastAsia="zh-CN"/>
        </w:rPr>
        <w:t>定标</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1、磋商</w:t>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（1）采购代理机构按磋商文件规定的时间、地点组织磋商会议。</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（2）磋商大会由采购代理机构主持，采购人参会人员及有关工作人员参加，参加磋商的人员应签名报到，以证明其出席。供应商代表</w:t>
      </w:r>
      <w:r>
        <w:rPr>
          <w:rFonts w:hint="eastAsia" w:ascii="宋体" w:hAnsi="宋体" w:eastAsia="宋体" w:cs="宋体"/>
          <w:color w:val="auto"/>
          <w:sz w:val="24"/>
          <w:lang w:eastAsia="zh-CN"/>
        </w:rPr>
        <w:t>线上签到并解密。</w:t>
      </w:r>
    </w:p>
    <w:p>
      <w:pPr>
        <w:pageBreakBefore w:val="0"/>
        <w:tabs>
          <w:tab w:val="left" w:pos="1478"/>
        </w:tabs>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2、磋商小组组成与职责</w:t>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r>
        <w:rPr>
          <w:rFonts w:hint="eastAsia" w:ascii="宋体" w:hAnsi="宋体" w:eastAsia="宋体" w:cs="宋体"/>
          <w:b/>
          <w:color w:val="auto"/>
          <w:sz w:val="24"/>
        </w:rPr>
        <w:tab/>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为确保磋商工作公开、公平、公正，依法成立磋商小组。磋商小组由采购人代表及评审专家组成，成员人数为3人及以上单数，其中评审专家不少于磋商小组成员总数的三分之二，专家名单由有关人员在财政部门设立的政府采购评审专家库中随机抽取，磋商小组成员应当遵守并履行下列责任和义务：</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A、要严格遵守政府采购相关法律制度，依法履行各自职责，公正、客观、审慎地组织和参与评审工作；</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B、审查、评价响应文件是否符合磋商文件的商务、技术等实质性要求；</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C、要求供应商对响应文件有关事项作出澄清或说明；</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D、按磋商文件规定的评审方法和标准，对响应文件进行比较和评价；对供应商的客观评分项的评分应当一致；</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E、要依法独立评审，按照磋商文件的要求和评标标准进行评标，推荐成交候选人名单，对评审意见承担个人责任；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F、对需要共同认定的事项存在争议的，按照少数服从多数的原则做出结论。持不同意见的磋商小组成员应当在评审报告上签署不同意见并说明理由，否则视为同意；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G、对评审情况以及在评审过程中获悉的国家秘密、商业秘密负有保密责任；</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H、向采购人、采购代理机构或者有关部门报告评审中发现的违法行为；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I、配合采购人、采购代理机构答复供应商提出的质疑；</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J、配合财政部门处理投诉工作。</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3、响应文件的初审</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（1）初审分为资格性审查和符合性审查。</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（2）资格性审查：依据磋商文件的规定，对供应商的资格证明文件进行审查，以确定供应商是否具备磋商资格。</w:t>
      </w:r>
    </w:p>
    <w:p>
      <w:pPr>
        <w:pageBreakBefore w:val="0"/>
        <w:wordWrap/>
        <w:overflowPunct/>
        <w:autoSpaceDE/>
        <w:autoSpaceDN/>
        <w:bidi w:val="0"/>
        <w:adjustRightInd/>
        <w:snapToGrid/>
        <w:spacing w:beforeAutospacing="0" w:afterAutospacing="0" w:line="336"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 xml:space="preserve">（3）符合性审查：依据磋商文件规定，从响应文件的有效性、完整性和对磋商文件的响应程度进行审查。下列情况有一项不满足者（但不限于），不进入下一轮评审： </w:t>
      </w:r>
    </w:p>
    <w:tbl>
      <w:tblPr>
        <w:tblStyle w:val="19"/>
        <w:tblW w:w="87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1"/>
        <w:gridCol w:w="425"/>
        <w:gridCol w:w="71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0" w:hRule="atLeast"/>
          <w:jc w:val="center"/>
        </w:trPr>
        <w:tc>
          <w:tcPr>
            <w:tcW w:w="1211" w:type="dxa"/>
            <w:vMerge w:val="restart"/>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符合性审查</w:t>
            </w: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1</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供应商名称与营业执照一致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1"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2</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left"/>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响应文件按磋商文件要求的数量、计量单位、报价货币及签字盖章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7"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3</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响应文件的有效期达到磋商文件要求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4</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bCs/>
                <w:snapToGrid/>
                <w:color w:val="auto"/>
                <w:kern w:val="2"/>
                <w:sz w:val="24"/>
                <w:szCs w:val="24"/>
                <w:lang w:eastAsia="zh-CN"/>
              </w:rPr>
            </w:pPr>
            <w:r>
              <w:rPr>
                <w:rFonts w:hint="eastAsia" w:ascii="宋体" w:hAnsi="宋体" w:eastAsia="宋体" w:cs="宋体"/>
                <w:snapToGrid/>
                <w:color w:val="auto"/>
                <w:kern w:val="2"/>
                <w:sz w:val="24"/>
                <w:szCs w:val="24"/>
                <w:lang w:eastAsia="zh-CN"/>
              </w:rPr>
              <w:t>符合法律、法规和磋商文件中规定的其他实质性要求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1211" w:type="dxa"/>
            <w:vMerge w:val="continue"/>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eastAsia="zh-CN"/>
              </w:rPr>
            </w:pPr>
          </w:p>
        </w:tc>
        <w:tc>
          <w:tcPr>
            <w:tcW w:w="425" w:type="dxa"/>
            <w:noWrap w:val="0"/>
            <w:vAlign w:val="center"/>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center"/>
              <w:textAlignment w:val="auto"/>
              <w:rPr>
                <w:rFonts w:hint="eastAsia" w:ascii="宋体" w:hAnsi="宋体" w:eastAsia="宋体" w:cs="宋体"/>
                <w:snapToGrid/>
                <w:color w:val="auto"/>
                <w:kern w:val="2"/>
                <w:sz w:val="24"/>
                <w:szCs w:val="24"/>
                <w:lang w:val="en-US" w:eastAsia="zh-CN"/>
              </w:rPr>
            </w:pPr>
            <w:r>
              <w:rPr>
                <w:rFonts w:hint="eastAsia" w:ascii="宋体" w:hAnsi="宋体" w:eastAsia="宋体" w:cs="宋体"/>
                <w:snapToGrid/>
                <w:color w:val="auto"/>
                <w:kern w:val="2"/>
                <w:sz w:val="24"/>
                <w:szCs w:val="24"/>
                <w:lang w:val="en-US" w:eastAsia="zh-CN"/>
              </w:rPr>
              <w:t>5</w:t>
            </w:r>
          </w:p>
        </w:tc>
        <w:tc>
          <w:tcPr>
            <w:tcW w:w="7140" w:type="dxa"/>
            <w:noWrap w:val="0"/>
            <w:vAlign w:val="top"/>
          </w:tcPr>
          <w:p>
            <w:pPr>
              <w:keepNext w:val="0"/>
              <w:keepLines w:val="0"/>
              <w:pageBreakBefore w:val="0"/>
              <w:widowControl w:val="0"/>
              <w:kinsoku/>
              <w:wordWrap/>
              <w:overflowPunct/>
              <w:topLinePunct w:val="0"/>
              <w:autoSpaceDE/>
              <w:autoSpaceDN/>
              <w:bidi w:val="0"/>
              <w:adjustRightInd/>
              <w:snapToGrid/>
              <w:spacing w:beforeAutospacing="0" w:afterAutospacing="0" w:line="440" w:lineRule="exact"/>
              <w:jc w:val="both"/>
              <w:textAlignment w:val="auto"/>
              <w:rPr>
                <w:rFonts w:hint="eastAsia" w:ascii="宋体" w:hAnsi="宋体" w:eastAsia="宋体" w:cs="宋体"/>
                <w:snapToGrid/>
                <w:color w:val="auto"/>
                <w:kern w:val="2"/>
                <w:sz w:val="24"/>
                <w:szCs w:val="24"/>
                <w:lang w:eastAsia="zh-CN"/>
              </w:rPr>
            </w:pPr>
            <w:r>
              <w:rPr>
                <w:rFonts w:hint="eastAsia" w:ascii="宋体" w:hAnsi="宋体" w:eastAsia="宋体" w:cs="宋体"/>
                <w:snapToGrid/>
                <w:color w:val="auto"/>
                <w:kern w:val="2"/>
                <w:sz w:val="24"/>
                <w:szCs w:val="24"/>
                <w:lang w:eastAsia="zh-CN"/>
              </w:rPr>
              <w:t>磋商报价是否唯一且未超过最高限价</w:t>
            </w:r>
          </w:p>
        </w:tc>
      </w:tr>
    </w:tbl>
    <w:p>
      <w:pPr>
        <w:pageBreakBefore w:val="0"/>
        <w:wordWrap/>
        <w:overflowPunct/>
        <w:autoSpaceDE/>
        <w:autoSpaceDN/>
        <w:bidi w:val="0"/>
        <w:adjustRightInd/>
        <w:snapToGrid/>
        <w:spacing w:beforeAutospacing="0" w:afterAutospacing="0" w:line="360" w:lineRule="auto"/>
        <w:textAlignment w:val="auto"/>
        <w:rPr>
          <w:rFonts w:hint="eastAsia" w:ascii="宋体" w:hAnsi="宋体" w:eastAsia="宋体" w:cs="宋体"/>
          <w:color w:val="auto"/>
          <w:sz w:val="24"/>
        </w:rPr>
      </w:pP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（4）磋商时，响应文件中出现下列情况，修正原则为：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A、响应文件中响应报价表内容与响应文件中相应内容不一致的，以响应报价表为准；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B、大写金额和小写金额不一致的，以大写金额为准；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C、单价金额小数点或者百分比有明显错位的，以响应报价表的总价为准，并修改单价；</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D、总价金额与按单价汇总金额不一致的，以单价金额计算结果为准； </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E、响应文件正本与副本不一致的，以正本为准；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F、多处内容交叉不符的，以磋商小组评审结果为准；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 xml:space="preserve"> G、文字与图表不符的，以文字为准。</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pPr>
        <w:pageBreakBefore w:val="0"/>
        <w:wordWrap/>
        <w:overflowPunct/>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rPr>
      </w:pPr>
      <w:r>
        <w:rPr>
          <w:rFonts w:hint="eastAsia" w:ascii="宋体" w:hAnsi="宋体" w:eastAsia="宋体" w:cs="宋体"/>
          <w:color w:val="auto"/>
          <w:sz w:val="24"/>
        </w:rPr>
        <w:t xml:space="preserve"> （5）磋商开始后，直到向成交供应商授予合同为止，凡审查、澄清、评价和比较磋商的有关资料及被授标意见等内容，磋商小组成员均不得向供应商及与磋商无关的其他人透露。</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4、出现下列情况之一者（但不限于），按无效文件处理：</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A、供应商的响应报价超过采购预算的；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B、供应商未经过正常渠道</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磋商文件，或供应商名称与</w:t>
      </w:r>
      <w:r>
        <w:rPr>
          <w:rFonts w:hint="eastAsia" w:ascii="宋体" w:hAnsi="宋体" w:eastAsia="宋体" w:cs="宋体"/>
          <w:color w:val="auto"/>
          <w:sz w:val="24"/>
          <w:lang w:val="en-US" w:eastAsia="zh-CN"/>
        </w:rPr>
        <w:t>获取</w:t>
      </w:r>
      <w:r>
        <w:rPr>
          <w:rFonts w:hint="eastAsia" w:ascii="宋体" w:hAnsi="宋体" w:eastAsia="宋体" w:cs="宋体"/>
          <w:color w:val="auto"/>
          <w:sz w:val="24"/>
        </w:rPr>
        <w:t>磋商文件时登记的供应商名称不符的；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C、不同供应商单位负责人为同一人或者存在控股、管理关系的；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D、响应文件的有效性和符合性不符合要求的；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E、实质性内容不满足或未响应的；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F、响应文件未按磋商文件要求的数量、计量单位、报价货币及签字盖章的；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G、无磋商有效期或有效期达不到磋商文件要求的；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H、供应商针对同一项目递交两份或多份内容不同的响应文件，未书面声明哪一份是有效的或出现选择性报价的；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I、供应商有串通投标、弄虚作假（包括但不限于虚假资质、虚假证明、虚假应答等）、行贿等违法行为的；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J、响应文件附加了采购人难以接受的条件或条款的；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K、在政府采购或其他重大项目履约过程中有不良记录，未能按期履约的；</w:t>
      </w:r>
    </w:p>
    <w:p>
      <w:pPr>
        <w:pageBreakBefore w:val="0"/>
        <w:wordWrap/>
        <w:overflowPunct/>
        <w:topLine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L、磋商报价与市场价格偏离较大、低于成本、形成不正当竞争的；</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M、报价子目出现漏项或报价数量与要求不符的；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N、响应项目的技术参数与磋商文件要求出现重大负偏差的；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O、响应文件未实质性响应磋商文件要求的；</w:t>
      </w:r>
    </w:p>
    <w:p>
      <w:pPr>
        <w:pageBreakBefore w:val="0"/>
        <w:kinsoku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P、提供虚假技术性能指标的。</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5、有下列情形之一的，视为供应商串通投标，磋商小组应当认定其响应文件无效：</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A、不同供应商的响应文件由同一单位或者个人编制；</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 xml:space="preserve">B、不同供应商委托同一单位或者个人办理磋商事宜； </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C、不同供应商的响应文件载明的项目管理成员或者联系人员为同一人；</w:t>
      </w:r>
    </w:p>
    <w:p>
      <w:pPr>
        <w:pageBreakBefore w:val="0"/>
        <w:wordWrap/>
        <w:overflowPunct/>
        <w:autoSpaceDE/>
        <w:autoSpaceDN/>
        <w:bidi w:val="0"/>
        <w:adjustRightInd/>
        <w:snapToGrid/>
        <w:spacing w:beforeAutospacing="0" w:afterAutospacing="0" w:line="360" w:lineRule="auto"/>
        <w:ind w:firstLine="600" w:firstLineChars="250"/>
        <w:textAlignment w:val="auto"/>
        <w:rPr>
          <w:rFonts w:hint="eastAsia" w:ascii="宋体" w:hAnsi="宋体" w:eastAsia="宋体" w:cs="宋体"/>
          <w:color w:val="auto"/>
          <w:sz w:val="24"/>
        </w:rPr>
      </w:pPr>
      <w:r>
        <w:rPr>
          <w:rFonts w:hint="eastAsia" w:ascii="宋体" w:hAnsi="宋体" w:eastAsia="宋体" w:cs="宋体"/>
          <w:color w:val="auto"/>
          <w:sz w:val="24"/>
        </w:rPr>
        <w:t>D、不同供应商的响应文件异常一致或者磋商报价呈规律性差异；</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6、澄清</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（2）实质性内容包括但不限于：</w:t>
      </w:r>
      <w:r>
        <w:rPr>
          <w:rFonts w:hint="eastAsia" w:ascii="宋体" w:hAnsi="宋体" w:eastAsia="宋体" w:cs="宋体"/>
          <w:color w:val="auto"/>
          <w:sz w:val="24"/>
          <w:lang w:val="en-US" w:eastAsia="zh-CN"/>
        </w:rPr>
        <w:t>服务期</w:t>
      </w:r>
      <w:r>
        <w:rPr>
          <w:rFonts w:hint="eastAsia" w:ascii="宋体" w:hAnsi="宋体" w:eastAsia="宋体" w:cs="宋体"/>
          <w:color w:val="auto"/>
          <w:sz w:val="24"/>
        </w:rPr>
        <w:t>、付款方式、主要技术指标等。</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（3）磋商小组要求供应商澄清、说明或者更正响应文件应当以书面形式作出，并由其法定代表人或被授权人签字。</w:t>
      </w:r>
    </w:p>
    <w:p>
      <w:pPr>
        <w:pageBreakBefore w:val="0"/>
        <w:wordWrap/>
        <w:overflowPunct/>
        <w:autoSpaceDE/>
        <w:autoSpaceDN/>
        <w:bidi w:val="0"/>
        <w:adjustRightInd/>
        <w:snapToGrid/>
        <w:spacing w:beforeAutospacing="0" w:afterAutospacing="0" w:line="360" w:lineRule="auto"/>
        <w:ind w:firstLine="360" w:firstLineChars="150"/>
        <w:textAlignment w:val="auto"/>
        <w:rPr>
          <w:rFonts w:hint="eastAsia" w:ascii="宋体" w:hAnsi="宋体" w:eastAsia="宋体" w:cs="宋体"/>
          <w:color w:val="auto"/>
          <w:sz w:val="24"/>
        </w:rPr>
      </w:pPr>
      <w:r>
        <w:rPr>
          <w:rFonts w:hint="eastAsia" w:ascii="宋体" w:hAnsi="宋体" w:eastAsia="宋体" w:cs="宋体"/>
          <w:color w:val="auto"/>
          <w:sz w:val="24"/>
        </w:rPr>
        <w:t>（4）在磋商过程中，磋商小组可以根据磋商文件和磋商情况实质性变动采购需求中的技术、服务要求以及合同草案条款，但不得变动磋商文件中的其他内容。实质性变动的内容，须经采购人代表确认。</w:t>
      </w:r>
    </w:p>
    <w:p>
      <w:pPr>
        <w:pageBreakBefore w:val="0"/>
        <w:wordWrap/>
        <w:overflowPunct/>
        <w:autoSpaceDE/>
        <w:autoSpaceDN/>
        <w:bidi w:val="0"/>
        <w:adjustRightInd/>
        <w:snapToGrid/>
        <w:spacing w:beforeAutospacing="0" w:afterAutospacing="0" w:line="360" w:lineRule="auto"/>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7、评审方法及内容</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（1）按照磋商文件规定的评审方法和标准，对资格性审查和符合性审查合格的响应文件进行商务和技术评审，综合比较和评价，最低报价不是成交的唯一依据。</w:t>
      </w:r>
    </w:p>
    <w:p>
      <w:pPr>
        <w:pageBreakBefore w:val="0"/>
        <w:tabs>
          <w:tab w:val="left" w:pos="600"/>
        </w:tabs>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b/>
          <w:color w:val="auto"/>
          <w:sz w:val="24"/>
        </w:rPr>
        <w:t>采用综合评分法：二次报价为最终报价，在满足磋商文件所有实质性要求前提下，提交最终报价。如采购需求没有实质性变化，各供应商的二次报价不得超过一次报价，否则，按无效文件处理。</w:t>
      </w:r>
      <w:r>
        <w:rPr>
          <w:rFonts w:hint="eastAsia" w:ascii="宋体" w:hAnsi="宋体" w:eastAsia="宋体" w:cs="宋体"/>
          <w:color w:val="auto"/>
          <w:sz w:val="24"/>
        </w:rPr>
        <w:t>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pPr>
        <w:pageBreakBefore w:val="0"/>
        <w:wordWrap/>
        <w:overflowPunct/>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3）磋商小组根据以下内容进行综合比较，独立评审、自主打分，按最后得分由高到低汇总排序，以项目为单位分别推荐三名以上成交候选供应商；磋商小组根据磋商结果写出磋商报告。如果磋商小组出现对磋商结果有不同意见的，应当按照少数服从多数的原则作出结论。持不同意见的磋商小组成员应当在报告上签署不同意见及理由。磋商小组拒绝在磋商意见中签字又不书面说明其不同意见和理由的，视为同意磋商结果。</w:t>
      </w:r>
    </w:p>
    <w:p>
      <w:pPr>
        <w:pageBreakBefore w:val="0"/>
        <w:wordWrap/>
        <w:overflowPunct/>
        <w:autoSpaceDE/>
        <w:autoSpaceDN/>
        <w:bidi w:val="0"/>
        <w:adjustRightInd/>
        <w:snapToGrid/>
        <w:spacing w:beforeAutospacing="0" w:afterAutospacing="0"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4</w:t>
      </w:r>
      <w:r>
        <w:rPr>
          <w:rFonts w:hint="eastAsia" w:ascii="宋体" w:hAnsi="宋体" w:eastAsia="宋体" w:cs="宋体"/>
          <w:color w:val="auto"/>
          <w:sz w:val="24"/>
        </w:rPr>
        <w:t>）磋商小组须对畸高、畸低的重大差异评分进行复核或书面说明理由。</w:t>
      </w:r>
    </w:p>
    <w:p>
      <w:pPr>
        <w:spacing w:beforeAutospacing="0" w:afterAutospacing="0"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5</w:t>
      </w:r>
      <w:r>
        <w:rPr>
          <w:rFonts w:hint="eastAsia" w:ascii="宋体" w:hAnsi="宋体" w:eastAsia="宋体" w:cs="宋体"/>
          <w:color w:val="auto"/>
          <w:sz w:val="24"/>
        </w:rPr>
        <w:t>）评审内容及分值构成：</w:t>
      </w:r>
    </w:p>
    <w:p>
      <w:pPr>
        <w:pStyle w:val="26"/>
        <w:rPr>
          <w:rFonts w:hint="eastAsia" w:ascii="宋体" w:hAnsi="宋体" w:eastAsia="宋体" w:cs="宋体"/>
          <w:color w:val="auto"/>
          <w:sz w:val="24"/>
        </w:rPr>
      </w:pPr>
    </w:p>
    <w:tbl>
      <w:tblPr>
        <w:tblStyle w:val="19"/>
        <w:tblW w:w="9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140"/>
        <w:gridCol w:w="892"/>
        <w:gridCol w:w="6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70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1140"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评审项目</w:t>
            </w:r>
          </w:p>
        </w:tc>
        <w:tc>
          <w:tcPr>
            <w:tcW w:w="892"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标准分</w:t>
            </w:r>
          </w:p>
        </w:tc>
        <w:tc>
          <w:tcPr>
            <w:tcW w:w="6607" w:type="dxa"/>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评分办法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响应报价</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bookmarkStart w:id="4" w:name="OLE_LINK1"/>
            <w:r>
              <w:rPr>
                <w:rFonts w:hint="eastAsia" w:ascii="宋体" w:hAnsi="宋体" w:eastAsia="宋体" w:cs="宋体"/>
                <w:color w:val="auto"/>
                <w:sz w:val="21"/>
                <w:szCs w:val="21"/>
                <w:lang w:val="en-US" w:eastAsia="zh-CN"/>
              </w:rPr>
              <w:t>满足招标文件实质性要求且响应价格最低的响应报价为评标基准价，其价格分为满分。其他响应人的价格分统一按照下列公式计算：响应报价得分=（评标基准价/ 投标报价）×1</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w:t>
            </w:r>
          </w:p>
          <w:bookmarkEnd w:id="4"/>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0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1140"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总体</w:t>
            </w:r>
            <w:r>
              <w:rPr>
                <w:rFonts w:hint="eastAsia" w:ascii="宋体" w:hAnsi="宋体" w:eastAsia="宋体" w:cs="宋体"/>
                <w:color w:val="auto"/>
                <w:sz w:val="21"/>
                <w:szCs w:val="21"/>
                <w:lang w:val="en-US" w:eastAsia="zh-CN"/>
              </w:rPr>
              <w:t>服务方案</w:t>
            </w:r>
          </w:p>
        </w:tc>
        <w:tc>
          <w:tcPr>
            <w:tcW w:w="892" w:type="dxa"/>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针对本项目提供</w:t>
            </w:r>
            <w:r>
              <w:rPr>
                <w:rFonts w:hint="eastAsia" w:ascii="宋体" w:hAnsi="宋体" w:cs="宋体"/>
                <w:color w:val="auto"/>
                <w:sz w:val="21"/>
                <w:szCs w:val="21"/>
                <w:lang w:val="en-US" w:eastAsia="zh-CN"/>
              </w:rPr>
              <w:t>整体</w:t>
            </w:r>
            <w:r>
              <w:rPr>
                <w:rFonts w:hint="eastAsia" w:ascii="宋体" w:hAnsi="宋体" w:eastAsia="宋体" w:cs="宋体"/>
                <w:color w:val="auto"/>
                <w:sz w:val="21"/>
                <w:szCs w:val="21"/>
                <w:lang w:val="en-US" w:eastAsia="zh-CN"/>
              </w:rPr>
              <w:t xml:space="preserve">服务方案，方案包括：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对项目的需求理解分析</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总体服务内容</w:t>
            </w:r>
            <w:r>
              <w:rPr>
                <w:rFonts w:hint="eastAsia" w:ascii="宋体" w:hAnsi="宋体" w:eastAsia="宋体" w:cs="宋体"/>
                <w:color w:val="auto"/>
                <w:sz w:val="21"/>
                <w:szCs w:val="21"/>
                <w:lang w:val="en-US" w:eastAsia="zh-CN"/>
              </w:rPr>
              <w:t xml:space="preserve">服务目标服务标准；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cs="宋体"/>
                <w:color w:val="auto"/>
                <w:sz w:val="21"/>
                <w:szCs w:val="21"/>
                <w:lang w:val="en-US" w:eastAsia="zh-CN"/>
              </w:rPr>
              <w:t>检测方案；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4.评估方案；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5.重点难点分析及应对措施。</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2.可实施性：方案应紧密结合本项目实际需求，提出逻辑清晰、步骤明确、操作可行的实施计划，确保能够在规定条件下落地执行。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3.针对性：方案内容应精准对应本项目特点及关键问题，所采用的方法、措施科学合理，切合项目实际场景，避免泛泛而谈。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对项目的需求理解分析</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default"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r>
              <w:rPr>
                <w:rFonts w:hint="eastAsia" w:ascii="宋体" w:hAnsi="宋体" w:cs="宋体"/>
                <w:color w:val="auto"/>
                <w:sz w:val="21"/>
                <w:szCs w:val="21"/>
                <w:lang w:val="en-US" w:eastAsia="zh-CN"/>
              </w:rPr>
              <w:t>总体服务内容</w:t>
            </w:r>
            <w:r>
              <w:rPr>
                <w:rFonts w:hint="eastAsia" w:ascii="宋体" w:hAnsi="宋体" w:eastAsia="宋体" w:cs="宋体"/>
                <w:color w:val="auto"/>
                <w:sz w:val="21"/>
                <w:szCs w:val="21"/>
                <w:lang w:val="en-US" w:eastAsia="zh-CN"/>
              </w:rPr>
              <w:t xml:space="preserve">服务目标服务标准：每完全满足一个评审标准得 </w:t>
            </w:r>
            <w:r>
              <w:rPr>
                <w:rFonts w:hint="eastAsia" w:ascii="宋体" w:hAnsi="宋体" w:cs="宋体"/>
                <w:color w:val="auto"/>
                <w:sz w:val="21"/>
                <w:szCs w:val="21"/>
                <w:lang w:val="en-US" w:eastAsia="zh-CN"/>
              </w:rPr>
              <w:t>1</w:t>
            </w:r>
            <w:r>
              <w:rPr>
                <w:rFonts w:hint="default"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r>
              <w:rPr>
                <w:rFonts w:hint="eastAsia" w:ascii="宋体" w:hAnsi="宋体" w:cs="宋体"/>
                <w:color w:val="auto"/>
                <w:sz w:val="21"/>
                <w:szCs w:val="21"/>
                <w:lang w:val="en-US" w:eastAsia="zh-CN"/>
              </w:rPr>
              <w:t>检测方案</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default"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r>
              <w:rPr>
                <w:rFonts w:hint="eastAsia" w:ascii="宋体" w:hAnsi="宋体" w:cs="宋体"/>
                <w:color w:val="auto"/>
                <w:sz w:val="21"/>
                <w:szCs w:val="21"/>
                <w:lang w:val="en-US" w:eastAsia="zh-CN"/>
              </w:rPr>
              <w:t>评估方案</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default"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5.重点难点分析及应对措施：</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default"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服务团队</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4"/>
              </w:numP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项目</w:t>
            </w:r>
            <w:r>
              <w:rPr>
                <w:rFonts w:hint="eastAsia" w:ascii="宋体" w:hAnsi="宋体" w:cs="宋体"/>
                <w:color w:val="auto"/>
                <w:sz w:val="21"/>
                <w:szCs w:val="21"/>
                <w:lang w:val="en-US" w:eastAsia="zh-CN"/>
              </w:rPr>
              <w:t>负责人</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1.本项目拟配备项目负责人具备一级注册消防工程师资格（提供职称证书、身份证等证明材料复印件），并提供本单位为其缴纳的磋商前6个月内任意一个月的社保证明。得2分。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2.工作经验，项目负责人具有类似消防检测或评估项目负责人业绩（提供合同或验收证明，要体现项目负责人姓名），每提供1份加1分，最高得2分。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（二）项目</w:t>
            </w:r>
            <w:r>
              <w:rPr>
                <w:rFonts w:hint="eastAsia" w:ascii="宋体" w:hAnsi="宋体" w:cs="宋体"/>
                <w:color w:val="auto"/>
                <w:sz w:val="21"/>
                <w:szCs w:val="21"/>
                <w:lang w:val="en-US" w:eastAsia="zh-CN"/>
              </w:rPr>
              <w:t>团队</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团队中每多配备1名一级注册消防工程师得1分，最高2分；配备消防设操作员（中级及以上）每人0.5分，最高1分；团队总人数不少于8人，得2分。（需满足同时进场检测人力需求）。团队所有人员均需提供本单位为其缴纳的磋商前6个月内任意一个月的社保证明，未提供的人员不计算在内。</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2.供应商针对本项目的服务团队设计合理得管理方案，包括：</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①岗位配置方案②岗位职责③人员管理方案；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评审标准：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①完整性：响应方案应全面覆盖本项目服务内容中的所有要求，逐项进行详细描述，无遗漏、缺项或含糊之处。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②落实性：方案应紧密结合本项目实际需求，提出逻辑清晰、步骤明确、操作可行的实施计划，确保能够在规定条件下落地执行。</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赋分标准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①岗位配置方案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每完全满足一个评审标准得</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②岗位职责</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cs="宋体"/>
                <w:color w:val="auto"/>
                <w:sz w:val="21"/>
                <w:szCs w:val="21"/>
                <w:lang w:val="en-US" w:eastAsia="zh-CN"/>
              </w:rPr>
            </w:pPr>
            <w:r>
              <w:rPr>
                <w:rFonts w:hint="eastAsia" w:ascii="宋体" w:hAnsi="宋体" w:eastAsia="宋体" w:cs="宋体"/>
                <w:color w:val="auto"/>
                <w:sz w:val="21"/>
                <w:szCs w:val="21"/>
                <w:lang w:val="en-US" w:eastAsia="zh-CN"/>
              </w:rPr>
              <w:t>③人员管理方案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r>
              <w:rPr>
                <w:rFonts w:hint="eastAsia" w:ascii="宋体" w:hAnsi="宋体" w:cs="宋体"/>
                <w:color w:val="auto"/>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4</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设备与检测能力</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default" w:ascii="宋体" w:hAnsi="宋体" w:cs="宋体"/>
                <w:color w:val="auto"/>
                <w:sz w:val="21"/>
                <w:szCs w:val="21"/>
                <w:lang w:val="en-US" w:eastAsia="zh-CN"/>
              </w:rPr>
              <w:t>提供仪器设备清单及有效期内的检定/校准证书:</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w:t>
            </w:r>
            <w:r>
              <w:rPr>
                <w:rFonts w:hint="default" w:ascii="宋体" w:hAnsi="宋体" w:cs="宋体"/>
                <w:color w:val="auto"/>
                <w:sz w:val="21"/>
                <w:szCs w:val="21"/>
                <w:lang w:val="en-US" w:eastAsia="zh-CN"/>
              </w:rPr>
              <w:t>设备完全满足GB/T44481及本项目检测范围需求(如照度计、风速仪、声级计、消火栓测压接头、接地电阻测试仪、红外热像仪等)，且自有(非租赁)得4分，部分满足或租赁得1-2分。</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default" w:ascii="宋体" w:hAnsi="宋体" w:cs="宋体"/>
                <w:color w:val="auto"/>
                <w:sz w:val="21"/>
                <w:szCs w:val="21"/>
                <w:lang w:val="en-US" w:eastAsia="zh-CN"/>
              </w:rPr>
              <w:t>仪器数量充足，可分组同时检测(提供分组方案)得</w:t>
            </w:r>
            <w:r>
              <w:rPr>
                <w:rFonts w:hint="eastAsia" w:ascii="宋体" w:hAnsi="宋体" w:cs="宋体"/>
                <w:color w:val="auto"/>
                <w:sz w:val="21"/>
                <w:szCs w:val="21"/>
                <w:lang w:val="en-US" w:eastAsia="zh-CN"/>
              </w:rPr>
              <w:t>2</w:t>
            </w:r>
            <w:r>
              <w:rPr>
                <w:rFonts w:hint="default" w:ascii="宋体" w:hAnsi="宋体" w:cs="宋体"/>
                <w:color w:val="auto"/>
                <w:sz w:val="21"/>
                <w:szCs w:val="21"/>
                <w:lang w:val="en-US"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320" w:lineRule="exact"/>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3.</w:t>
            </w:r>
            <w:r>
              <w:rPr>
                <w:rFonts w:hint="default" w:ascii="宋体" w:hAnsi="宋体" w:cs="宋体"/>
                <w:color w:val="auto"/>
                <w:sz w:val="21"/>
                <w:szCs w:val="21"/>
                <w:lang w:val="en-US" w:eastAsia="zh-CN"/>
              </w:rPr>
              <w:t>承诺现场作业期间所有仪器处于有效期内，并接受随机抽查</w:t>
            </w:r>
            <w:r>
              <w:rPr>
                <w:rFonts w:hint="eastAsia" w:ascii="宋体" w:hAnsi="宋体" w:cs="宋体"/>
                <w:color w:val="auto"/>
                <w:sz w:val="21"/>
                <w:szCs w:val="21"/>
                <w:lang w:val="en-US" w:eastAsia="zh-CN"/>
              </w:rPr>
              <w:t>，</w:t>
            </w:r>
            <w:r>
              <w:rPr>
                <w:rFonts w:hint="default" w:ascii="宋体" w:hAnsi="宋体" w:cs="宋体"/>
                <w:color w:val="auto"/>
                <w:sz w:val="21"/>
                <w:szCs w:val="21"/>
                <w:lang w:val="en-US" w:eastAsia="zh-CN"/>
              </w:rPr>
              <w:t>得</w:t>
            </w:r>
            <w:r>
              <w:rPr>
                <w:rFonts w:hint="eastAsia" w:ascii="宋体" w:hAnsi="宋体" w:cs="宋体"/>
                <w:color w:val="auto"/>
                <w:sz w:val="21"/>
                <w:szCs w:val="21"/>
                <w:lang w:val="en-US" w:eastAsia="zh-CN"/>
              </w:rPr>
              <w:t>1</w:t>
            </w:r>
            <w:r>
              <w:rPr>
                <w:rFonts w:hint="default" w:ascii="宋体" w:hAnsi="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安全生产及</w:t>
            </w:r>
            <w:r>
              <w:rPr>
                <w:rFonts w:hint="eastAsia" w:ascii="宋体" w:hAnsi="宋体" w:eastAsia="宋体" w:cs="宋体"/>
                <w:color w:val="auto"/>
                <w:sz w:val="21"/>
                <w:szCs w:val="21"/>
                <w:lang w:val="en-US" w:eastAsia="zh-CN"/>
              </w:rPr>
              <w:t>应急预案</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根据本项目可能遇到的紧急或意外情况制定应急方案，方案：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安全生产方案；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设施设备故障应急方案；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.人员安全、稳定性应急方案；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.不可抗力应急方案。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2.可实施性：方案应紧密结合本项目实际需求，提出逻辑清晰、步骤明确、操作可行的实施计划，确保能够在规定条件下落地执行。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1.安全生产方案：</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分，满分 </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设施设备故障应急方案:每完全满足一个评审标准得 </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分，满分 </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人员安全、稳定性应急方案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分，满分 </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color w:val="auto"/>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不可抗力应急方案</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 xml:space="preserve">每完全满足一个评审标准得 </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 xml:space="preserve"> 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6</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项目进度安排</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供应商提供针对本项目提出进度计划，内容包含：</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1.进度计划安排；</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2.进度计划保障措施。</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2.可实施性：方案应紧密结合本项目实际需求，提出逻辑清晰、步骤明确、操作可行的实施计划，确保能够在规定条件下落地执行。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3.针对性：方案内容应精准对应本项目特点及关键问题，所采用的方法、措施科学合理，切合项目实际场景，避免泛泛而谈。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1.进度计划安排：</w:t>
            </w:r>
            <w:r>
              <w:rPr>
                <w:rFonts w:hint="eastAsia" w:ascii="宋体" w:hAnsi="宋体" w:eastAsia="宋体" w:cs="宋体"/>
                <w:color w:val="auto"/>
                <w:sz w:val="21"/>
                <w:szCs w:val="21"/>
                <w:lang w:val="en-US" w:eastAsia="zh-CN"/>
              </w:rPr>
              <w:t xml:space="preserve">每完全满足一个评审标准得 1分，满分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进度计划保障措施</w:t>
            </w:r>
            <w:r>
              <w:rPr>
                <w:rFonts w:hint="eastAsia" w:ascii="宋体" w:hAnsi="宋体" w:eastAsia="宋体" w:cs="宋体"/>
                <w:color w:val="auto"/>
                <w:sz w:val="21"/>
                <w:szCs w:val="21"/>
                <w:lang w:val="en-US" w:eastAsia="zh-CN"/>
              </w:rPr>
              <w:t xml:space="preserve">：每完全满足一个评审标准得 1分，满分 </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7</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质量保障措施</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9分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提出确保本项目服务质量及成果质量的</w:t>
            </w:r>
            <w:r>
              <w:rPr>
                <w:rFonts w:hint="eastAsia" w:ascii="宋体" w:hAnsi="宋体" w:eastAsia="宋体" w:cs="宋体"/>
                <w:color w:val="auto"/>
                <w:sz w:val="21"/>
                <w:szCs w:val="21"/>
                <w:lang w:val="en-US" w:eastAsia="zh-CN"/>
              </w:rPr>
              <w:t xml:space="preserve">保障措施，包括：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质量控制体系</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原始记录真实性、准确性保障措施；</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3.缺陷分类及不合格整改意见等。</w:t>
            </w:r>
            <w:r>
              <w:rPr>
                <w:rFonts w:hint="eastAsia" w:ascii="宋体" w:hAnsi="宋体" w:eastAsia="宋体" w:cs="宋体"/>
                <w:color w:val="auto"/>
                <w:sz w:val="21"/>
                <w:szCs w:val="21"/>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2.可实施性：方案应紧密结合本项目实际需求，提出逻辑清晰、步骤明确、操作可行的实施计划，确保能够在规定条件下落地执行。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3.针对性：方案内容应精准对应本项目特点及关键问题，所采用的方法、措施科学合理，切合项目实际场景，避免泛泛而谈。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质量控制体系：</w:t>
            </w:r>
            <w:r>
              <w:rPr>
                <w:rFonts w:hint="eastAsia" w:ascii="宋体" w:hAnsi="宋体" w:eastAsia="宋体" w:cs="宋体"/>
                <w:color w:val="auto"/>
                <w:sz w:val="21"/>
                <w:szCs w:val="21"/>
                <w:lang w:val="en-US" w:eastAsia="zh-CN"/>
              </w:rPr>
              <w:t>每完全满足一个评审标准得1分，满分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原始记录真实性、准确性保障措施</w:t>
            </w:r>
            <w:r>
              <w:rPr>
                <w:rFonts w:hint="eastAsia" w:ascii="宋体" w:hAnsi="宋体" w:eastAsia="宋体" w:cs="宋体"/>
                <w:color w:val="auto"/>
                <w:sz w:val="21"/>
                <w:szCs w:val="21"/>
                <w:lang w:val="en-US" w:eastAsia="zh-CN"/>
              </w:rPr>
              <w:t>：每完全满足一个评审标准得1分，满分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3.缺陷分类及不合格整改意见：</w:t>
            </w:r>
            <w:r>
              <w:rPr>
                <w:rFonts w:hint="eastAsia" w:ascii="宋体" w:hAnsi="宋体" w:eastAsia="宋体" w:cs="宋体"/>
                <w:color w:val="auto"/>
                <w:sz w:val="21"/>
                <w:szCs w:val="21"/>
                <w:lang w:val="en-US" w:eastAsia="zh-CN"/>
              </w:rPr>
              <w:t>每完全满足一个评审标准得1分，满分</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4"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反馈机制</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针对本项目特点制定反馈机制，反馈机制内容包括：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1.定期回访服务对象相关负责人的安排方案；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2.意见反馈机制。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2.可实施性：方案应紧密结合本项目实际需求，提出逻辑清晰、步骤明确、操作可行的实施计划，确保能够在规定条件下落地执行。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1.有定期回访服务对象相关负责人的安排方案：每完全满足一个评审标准得 </w:t>
            </w:r>
            <w:r>
              <w:rPr>
                <w:rFonts w:hint="default" w:ascii="宋体" w:hAnsi="宋体" w:eastAsia="宋体" w:cs="宋体"/>
                <w:color w:val="auto"/>
                <w:sz w:val="21"/>
                <w:szCs w:val="21"/>
                <w:lang w:val="en-US" w:eastAsia="zh-CN"/>
              </w:rPr>
              <w:t xml:space="preserve">1 </w:t>
            </w:r>
            <w:r>
              <w:rPr>
                <w:rFonts w:hint="eastAsia" w:ascii="宋体" w:hAnsi="宋体" w:eastAsia="宋体" w:cs="宋体"/>
                <w:color w:val="auto"/>
                <w:sz w:val="21"/>
                <w:szCs w:val="21"/>
                <w:lang w:val="en-US" w:eastAsia="zh-CN"/>
              </w:rPr>
              <w:t xml:space="preserve">分，满分 </w:t>
            </w:r>
            <w:r>
              <w:rPr>
                <w:rFonts w:hint="eastAsia" w:ascii="宋体" w:hAnsi="宋体" w:cs="宋体"/>
                <w:color w:val="auto"/>
                <w:sz w:val="21"/>
                <w:szCs w:val="21"/>
                <w:lang w:val="en-US" w:eastAsia="zh-CN"/>
              </w:rPr>
              <w:t>2</w:t>
            </w:r>
            <w:r>
              <w:rPr>
                <w:rFonts w:hint="default"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2.有意见反馈机制：每完全满足一个评审标准得 </w:t>
            </w:r>
            <w:r>
              <w:rPr>
                <w:rFonts w:hint="default" w:ascii="宋体" w:hAnsi="宋体" w:eastAsia="宋体" w:cs="宋体"/>
                <w:color w:val="auto"/>
                <w:sz w:val="21"/>
                <w:szCs w:val="21"/>
                <w:lang w:val="en-US" w:eastAsia="zh-CN"/>
              </w:rPr>
              <w:t xml:space="preserve">1 </w:t>
            </w:r>
            <w:r>
              <w:rPr>
                <w:rFonts w:hint="eastAsia" w:ascii="宋体" w:hAnsi="宋体" w:eastAsia="宋体" w:cs="宋体"/>
                <w:color w:val="auto"/>
                <w:sz w:val="21"/>
                <w:szCs w:val="21"/>
                <w:lang w:val="en-US" w:eastAsia="zh-CN"/>
              </w:rPr>
              <w:t>分，满分</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服务承诺</w:t>
            </w:r>
          </w:p>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shd w:val="clear" w:color="auto" w:fill="auto"/>
            <w:noWrap w:val="0"/>
            <w:vAlign w:val="top"/>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针对本项目特点制定服务承诺，服务承诺内容包括：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1.对服务达到的质量标准、拟采取的措施做出的服务承诺；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2.对按时按质按量完成委托，提供优质服务，并对成果的质量负责的服务承诺</w:t>
            </w:r>
            <w:r>
              <w:rPr>
                <w:rFonts w:hint="eastAsia" w:ascii="宋体" w:hAnsi="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3.对接到采购人通知，响应时间、方式、措施的服务承诺。</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2.可实施性：方案应紧密结合本项目实际需求，提出逻辑清晰、步骤明确、操作可行的实施计划，确保能够在规定条件下落地执行。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3.针对性：方案内容应精准对应本项目特点及关键问题，所采用的方法、措施科学合理，切合项目实际场景，避免泛泛而谈。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1.对服务达到的质量标准、拟采取的措施做出的服务承诺：每完全满足一个评审标准得 </w:t>
            </w:r>
            <w:r>
              <w:rPr>
                <w:rFonts w:hint="default" w:ascii="宋体" w:hAnsi="宋体" w:eastAsia="宋体" w:cs="宋体"/>
                <w:color w:val="auto"/>
                <w:sz w:val="21"/>
                <w:szCs w:val="21"/>
                <w:lang w:val="en-US" w:eastAsia="zh-CN"/>
              </w:rPr>
              <w:t xml:space="preserve">1 </w:t>
            </w:r>
            <w:r>
              <w:rPr>
                <w:rFonts w:hint="eastAsia" w:ascii="宋体" w:hAnsi="宋体" w:eastAsia="宋体" w:cs="宋体"/>
                <w:color w:val="auto"/>
                <w:sz w:val="21"/>
                <w:szCs w:val="21"/>
                <w:lang w:val="en-US" w:eastAsia="zh-CN"/>
              </w:rPr>
              <w:t xml:space="preserve">分，满分 </w:t>
            </w:r>
            <w:r>
              <w:rPr>
                <w:rFonts w:hint="default" w:ascii="宋体" w:hAnsi="宋体" w:eastAsia="宋体" w:cs="宋体"/>
                <w:color w:val="auto"/>
                <w:sz w:val="21"/>
                <w:szCs w:val="21"/>
                <w:lang w:val="en-US" w:eastAsia="zh-CN"/>
              </w:rPr>
              <w:t xml:space="preserve">3 </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2.对按时按质按量完成委托，提供优质服务，并对成果的质量负责的服务承诺：每完全满足一个评审标准得 </w:t>
            </w:r>
            <w:r>
              <w:rPr>
                <w:rFonts w:hint="default" w:ascii="宋体" w:hAnsi="宋体" w:eastAsia="宋体" w:cs="宋体"/>
                <w:color w:val="auto"/>
                <w:sz w:val="21"/>
                <w:szCs w:val="21"/>
                <w:lang w:val="en-US" w:eastAsia="zh-CN"/>
              </w:rPr>
              <w:t xml:space="preserve">1 </w:t>
            </w:r>
            <w:r>
              <w:rPr>
                <w:rFonts w:hint="eastAsia" w:ascii="宋体" w:hAnsi="宋体" w:eastAsia="宋体" w:cs="宋体"/>
                <w:color w:val="auto"/>
                <w:sz w:val="21"/>
                <w:szCs w:val="21"/>
                <w:lang w:val="en-US" w:eastAsia="zh-CN"/>
              </w:rPr>
              <w:t xml:space="preserve">分，满分 </w:t>
            </w:r>
            <w:r>
              <w:rPr>
                <w:rFonts w:hint="default" w:ascii="宋体" w:hAnsi="宋体" w:eastAsia="宋体" w:cs="宋体"/>
                <w:color w:val="auto"/>
                <w:sz w:val="21"/>
                <w:szCs w:val="21"/>
                <w:lang w:val="en-US" w:eastAsia="zh-CN"/>
              </w:rPr>
              <w:t xml:space="preserve">3 </w:t>
            </w:r>
            <w:r>
              <w:rPr>
                <w:rFonts w:hint="eastAsia" w:ascii="宋体" w:hAnsi="宋体" w:eastAsia="宋体" w:cs="宋体"/>
                <w:color w:val="auto"/>
                <w:sz w:val="21"/>
                <w:szCs w:val="21"/>
                <w:lang w:val="en-US" w:eastAsia="zh-CN"/>
              </w:rPr>
              <w:t>分</w:t>
            </w:r>
            <w:r>
              <w:rPr>
                <w:rFonts w:hint="eastAsia" w:ascii="宋体" w:hAnsi="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3.对接到采购人通知，响应时间、方式、措施的服务承诺：</w:t>
            </w:r>
            <w:r>
              <w:rPr>
                <w:rFonts w:hint="eastAsia" w:ascii="宋体" w:hAnsi="宋体" w:eastAsia="宋体" w:cs="宋体"/>
                <w:color w:val="auto"/>
                <w:sz w:val="21"/>
                <w:szCs w:val="21"/>
                <w:lang w:val="en-US" w:eastAsia="zh-CN"/>
              </w:rPr>
              <w:t xml:space="preserve">每完全满足一个评审标准得 </w:t>
            </w:r>
            <w:r>
              <w:rPr>
                <w:rFonts w:hint="default" w:ascii="宋体" w:hAnsi="宋体" w:eastAsia="宋体" w:cs="宋体"/>
                <w:color w:val="auto"/>
                <w:sz w:val="21"/>
                <w:szCs w:val="21"/>
                <w:lang w:val="en-US" w:eastAsia="zh-CN"/>
              </w:rPr>
              <w:t xml:space="preserve">1 </w:t>
            </w:r>
            <w:r>
              <w:rPr>
                <w:rFonts w:hint="eastAsia" w:ascii="宋体" w:hAnsi="宋体" w:eastAsia="宋体" w:cs="宋体"/>
                <w:color w:val="auto"/>
                <w:sz w:val="21"/>
                <w:szCs w:val="21"/>
                <w:lang w:val="en-US" w:eastAsia="zh-CN"/>
              </w:rPr>
              <w:t xml:space="preserve">分，满分 </w:t>
            </w:r>
            <w:r>
              <w:rPr>
                <w:rFonts w:hint="default" w:ascii="宋体" w:hAnsi="宋体" w:eastAsia="宋体" w:cs="宋体"/>
                <w:color w:val="auto"/>
                <w:sz w:val="21"/>
                <w:szCs w:val="21"/>
                <w:lang w:val="en-US" w:eastAsia="zh-CN"/>
              </w:rPr>
              <w:t xml:space="preserve">3 </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10</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pStyle w:val="28"/>
              <w:spacing w:before="65" w:line="231" w:lineRule="auto"/>
              <w:jc w:val="center"/>
              <w:rPr>
                <w:rFonts w:hint="default" w:ascii="宋体" w:hAnsi="宋体" w:eastAsia="宋体" w:cs="宋体"/>
                <w:color w:val="auto"/>
                <w:sz w:val="21"/>
                <w:szCs w:val="21"/>
                <w:lang w:val="en-US" w:eastAsia="zh-CN"/>
              </w:rPr>
            </w:pPr>
            <w:r>
              <w:rPr>
                <w:rFonts w:hint="eastAsia" w:ascii="宋体" w:hAnsi="宋体" w:eastAsia="宋体" w:cs="宋体"/>
                <w:color w:val="auto"/>
                <w:kern w:val="2"/>
                <w:sz w:val="21"/>
                <w:szCs w:val="21"/>
                <w:lang w:val="en-US" w:eastAsia="zh-CN" w:bidi="ar-SA"/>
              </w:rPr>
              <w:t>售后服务与培训</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（一）评审内容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针对本项目特点制定售后服务与培训方案，内容包括：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1.成果交付后的技术咨询、数据解读方案；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2.人员培训、指导方案</w:t>
            </w:r>
            <w:r>
              <w:rPr>
                <w:rFonts w:hint="eastAsia" w:ascii="宋体" w:hAnsi="宋体" w:cs="宋体"/>
                <w:color w:val="auto"/>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（二）评审标准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1.完整性：响应方案应全面覆盖本项目服务内容中的所有要求，逐项进行详细描述，无遗漏、缺项或含糊之处。</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2.可实施性：方案应紧密结合本项目实际需求，提出逻辑清晰、步骤明确、操作可行的实施计划，确保能够在规定条件下落地执行。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3.针对性：方案内容应精准对应本项目特点及关键问题，所采用的方法、措施科学合理，切合项目实际场景，避免泛泛而谈。</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（三）赋分标准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1.成果交付后的技术咨询、数据解读方案：每完全满足一个评审标准得 </w:t>
            </w:r>
            <w:r>
              <w:rPr>
                <w:rFonts w:hint="default" w:ascii="宋体" w:hAnsi="宋体" w:eastAsia="宋体" w:cs="宋体"/>
                <w:color w:val="auto"/>
                <w:sz w:val="21"/>
                <w:szCs w:val="21"/>
                <w:lang w:val="en-US" w:eastAsia="zh-CN"/>
              </w:rPr>
              <w:t xml:space="preserve">1 </w:t>
            </w:r>
            <w:r>
              <w:rPr>
                <w:rFonts w:hint="eastAsia" w:ascii="宋体" w:hAnsi="宋体" w:eastAsia="宋体" w:cs="宋体"/>
                <w:color w:val="auto"/>
                <w:sz w:val="21"/>
                <w:szCs w:val="21"/>
                <w:lang w:val="en-US" w:eastAsia="zh-CN"/>
              </w:rPr>
              <w:t xml:space="preserve">分，满分 </w:t>
            </w:r>
            <w:r>
              <w:rPr>
                <w:rFonts w:hint="default" w:ascii="宋体" w:hAnsi="宋体" w:eastAsia="宋体" w:cs="宋体"/>
                <w:color w:val="auto"/>
                <w:sz w:val="21"/>
                <w:szCs w:val="21"/>
                <w:lang w:val="en-US" w:eastAsia="zh-CN"/>
              </w:rPr>
              <w:t xml:space="preserve">3 </w:t>
            </w:r>
            <w:r>
              <w:rPr>
                <w:rFonts w:hint="eastAsia" w:ascii="宋体" w:hAnsi="宋体" w:eastAsia="宋体" w:cs="宋体"/>
                <w:color w:val="auto"/>
                <w:sz w:val="21"/>
                <w:szCs w:val="21"/>
                <w:lang w:val="en-US" w:eastAsia="zh-CN"/>
              </w:rPr>
              <w:t xml:space="preserve">分； </w:t>
            </w:r>
          </w:p>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2.人员培训、指导方案：每完全满足一个评审标准得 </w:t>
            </w:r>
            <w:r>
              <w:rPr>
                <w:rFonts w:hint="default" w:ascii="宋体" w:hAnsi="宋体" w:eastAsia="宋体" w:cs="宋体"/>
                <w:color w:val="auto"/>
                <w:sz w:val="21"/>
                <w:szCs w:val="21"/>
                <w:lang w:val="en-US" w:eastAsia="zh-CN"/>
              </w:rPr>
              <w:t xml:space="preserve">1 </w:t>
            </w:r>
            <w:r>
              <w:rPr>
                <w:rFonts w:hint="eastAsia" w:ascii="宋体" w:hAnsi="宋体" w:eastAsia="宋体" w:cs="宋体"/>
                <w:color w:val="auto"/>
                <w:sz w:val="21"/>
                <w:szCs w:val="21"/>
                <w:lang w:val="en-US" w:eastAsia="zh-CN"/>
              </w:rPr>
              <w:t xml:space="preserve">分，满分 </w:t>
            </w:r>
            <w:r>
              <w:rPr>
                <w:rFonts w:hint="default" w:ascii="宋体" w:hAnsi="宋体" w:eastAsia="宋体" w:cs="宋体"/>
                <w:color w:val="auto"/>
                <w:sz w:val="21"/>
                <w:szCs w:val="21"/>
                <w:lang w:val="en-US" w:eastAsia="zh-CN"/>
              </w:rPr>
              <w:t xml:space="preserve">3 </w:t>
            </w:r>
            <w:r>
              <w:rPr>
                <w:rFonts w:hint="eastAsia" w:ascii="宋体" w:hAnsi="宋体" w:eastAsia="宋体" w:cs="宋体"/>
                <w:color w:val="auto"/>
                <w:sz w:val="21"/>
                <w:szCs w:val="21"/>
                <w:lang w:val="en-US" w:eastAsia="zh-CN"/>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11</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创新服务</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default" w:ascii="宋体" w:hAnsi="宋体" w:eastAsia="宋体" w:cs="宋体"/>
                <w:color w:val="auto"/>
                <w:szCs w:val="24"/>
                <w:lang w:val="en-US"/>
              </w:rPr>
            </w:pPr>
            <w:r>
              <w:rPr>
                <w:rFonts w:hint="eastAsia" w:ascii="宋体" w:hAnsi="宋体" w:eastAsia="宋体" w:cs="宋体"/>
                <w:color w:val="auto"/>
                <w:sz w:val="21"/>
                <w:szCs w:val="21"/>
                <w:lang w:val="en-US" w:eastAsia="zh-CN"/>
              </w:rPr>
              <w:t>针对本项目提出其他有利于项目实施和后续服务的合理化建议及承诺。方案各部分内容全面详细、阐述条理清晰详尽、符合本项目采购需求，能保障本项目高效实施、后期保障有力得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分；方案设置一般、针对性不强得</w:t>
            </w:r>
            <w:r>
              <w:rPr>
                <w:rFonts w:hint="eastAsia" w:ascii="宋体" w:hAnsi="宋体" w:cs="宋体"/>
                <w:color w:val="auto"/>
                <w:sz w:val="21"/>
                <w:szCs w:val="21"/>
                <w:lang w:val="en-US" w:eastAsia="zh-CN"/>
              </w:rPr>
              <w:t>1-2</w:t>
            </w:r>
            <w:r>
              <w:rPr>
                <w:rFonts w:hint="eastAsia" w:ascii="宋体" w:hAnsi="宋体" w:eastAsia="宋体" w:cs="宋体"/>
                <w:color w:val="auto"/>
                <w:sz w:val="21"/>
                <w:szCs w:val="21"/>
                <w:lang w:val="en-US" w:eastAsia="zh-CN"/>
              </w:rPr>
              <w:t>分</w:t>
            </w:r>
            <w:r>
              <w:rPr>
                <w:rFonts w:hint="eastAsia" w:ascii="宋体" w:hAnsi="宋体" w:cs="宋体"/>
                <w:color w:val="auto"/>
                <w:sz w:val="21"/>
                <w:szCs w:val="21"/>
                <w:lang w:val="en-US"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12</w:t>
            </w:r>
          </w:p>
        </w:tc>
        <w:tc>
          <w:tcPr>
            <w:tcW w:w="11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210" w:firstLineChars="1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业绩</w:t>
            </w:r>
          </w:p>
        </w:tc>
        <w:tc>
          <w:tcPr>
            <w:tcW w:w="89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jc w:val="left"/>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c>
          <w:tcPr>
            <w:tcW w:w="660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20" w:lineRule="exact"/>
              <w:ind w:firstLine="420" w:firstLineChars="200"/>
              <w:jc w:val="lef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Cs w:val="24"/>
              </w:rPr>
              <w:t>202</w:t>
            </w:r>
            <w:r>
              <w:rPr>
                <w:rFonts w:hint="eastAsia" w:ascii="宋体" w:hAnsi="宋体" w:cs="宋体"/>
                <w:color w:val="auto"/>
                <w:szCs w:val="24"/>
                <w:lang w:val="en-US" w:eastAsia="zh-CN"/>
              </w:rPr>
              <w:t>3</w:t>
            </w:r>
            <w:r>
              <w:rPr>
                <w:rFonts w:hint="eastAsia" w:ascii="宋体" w:hAnsi="宋体" w:eastAsia="宋体" w:cs="宋体"/>
                <w:color w:val="auto"/>
                <w:szCs w:val="24"/>
              </w:rPr>
              <w:t>年</w:t>
            </w:r>
            <w:r>
              <w:rPr>
                <w:rFonts w:hint="eastAsia" w:ascii="宋体" w:hAnsi="宋体" w:cs="宋体"/>
                <w:color w:val="auto"/>
                <w:szCs w:val="24"/>
                <w:lang w:val="en-US" w:eastAsia="zh-CN"/>
              </w:rPr>
              <w:t>6</w:t>
            </w:r>
            <w:r>
              <w:rPr>
                <w:rFonts w:hint="eastAsia" w:ascii="宋体" w:hAnsi="宋体" w:eastAsia="宋体" w:cs="宋体"/>
                <w:color w:val="auto"/>
                <w:szCs w:val="24"/>
                <w:lang w:val="en-US" w:eastAsia="zh-CN"/>
              </w:rPr>
              <w:t>月</w:t>
            </w:r>
            <w:r>
              <w:rPr>
                <w:rFonts w:hint="eastAsia" w:ascii="宋体" w:hAnsi="宋体" w:eastAsia="宋体" w:cs="宋体"/>
                <w:color w:val="auto"/>
                <w:szCs w:val="24"/>
              </w:rPr>
              <w:t>至今类似项目业绩，每提供一个类似项目业绩</w:t>
            </w:r>
            <w:r>
              <w:rPr>
                <w:rFonts w:hint="eastAsia" w:ascii="宋体" w:hAnsi="宋体" w:eastAsia="宋体" w:cs="宋体"/>
                <w:color w:val="auto"/>
                <w:szCs w:val="24"/>
                <w:lang w:val="en-US" w:eastAsia="zh-CN"/>
              </w:rPr>
              <w:t>得</w:t>
            </w:r>
            <w:r>
              <w:rPr>
                <w:rFonts w:hint="eastAsia" w:ascii="宋体" w:hAnsi="宋体" w:cs="宋体"/>
                <w:color w:val="auto"/>
                <w:szCs w:val="24"/>
                <w:lang w:val="en-US" w:eastAsia="zh-CN"/>
              </w:rPr>
              <w:t>1</w:t>
            </w:r>
            <w:r>
              <w:rPr>
                <w:rFonts w:hint="eastAsia" w:ascii="宋体" w:hAnsi="宋体" w:eastAsia="宋体" w:cs="宋体"/>
                <w:color w:val="auto"/>
                <w:szCs w:val="24"/>
              </w:rPr>
              <w:t>分，</w:t>
            </w:r>
            <w:r>
              <w:rPr>
                <w:rFonts w:hint="eastAsia" w:ascii="宋体" w:hAnsi="宋体" w:eastAsia="宋体" w:cs="宋体"/>
                <w:color w:val="auto"/>
                <w:szCs w:val="24"/>
                <w:lang w:val="en-US" w:eastAsia="zh-CN"/>
              </w:rPr>
              <w:t>最高</w:t>
            </w:r>
            <w:r>
              <w:rPr>
                <w:rFonts w:hint="eastAsia" w:ascii="宋体" w:hAnsi="宋体" w:cs="宋体"/>
                <w:color w:val="auto"/>
                <w:szCs w:val="24"/>
                <w:lang w:val="en-US" w:eastAsia="zh-CN"/>
              </w:rPr>
              <w:t>3</w:t>
            </w:r>
            <w:r>
              <w:rPr>
                <w:rFonts w:hint="eastAsia" w:ascii="宋体" w:hAnsi="宋体" w:eastAsia="宋体" w:cs="宋体"/>
                <w:color w:val="auto"/>
                <w:szCs w:val="24"/>
                <w:lang w:val="en-US" w:eastAsia="zh-CN"/>
              </w:rPr>
              <w:t>分</w:t>
            </w:r>
            <w:r>
              <w:rPr>
                <w:rFonts w:hint="eastAsia" w:ascii="宋体" w:hAnsi="宋体" w:eastAsia="宋体" w:cs="宋体"/>
                <w:color w:val="auto"/>
                <w:szCs w:val="24"/>
              </w:rPr>
              <w:t>。（以提供的项目</w:t>
            </w:r>
            <w:r>
              <w:rPr>
                <w:rFonts w:hint="eastAsia" w:hAnsi="宋体" w:cs="宋体"/>
                <w:color w:val="auto"/>
                <w:szCs w:val="24"/>
                <w:lang w:val="en-US" w:eastAsia="zh-CN"/>
              </w:rPr>
              <w:t>中标通知书及</w:t>
            </w:r>
            <w:r>
              <w:rPr>
                <w:rFonts w:hint="eastAsia" w:ascii="宋体" w:hAnsi="宋体" w:eastAsia="宋体" w:cs="宋体"/>
                <w:color w:val="auto"/>
                <w:szCs w:val="24"/>
              </w:rPr>
              <w:t>合同复印件作为评分依据</w:t>
            </w:r>
            <w:r>
              <w:rPr>
                <w:rFonts w:hint="eastAsia" w:ascii="宋体" w:hAnsi="宋体" w:eastAsia="宋体" w:cs="宋体"/>
                <w:color w:val="auto"/>
                <w:szCs w:val="24"/>
                <w:lang w:eastAsia="zh-CN"/>
              </w:rPr>
              <w:t>，</w:t>
            </w:r>
            <w:r>
              <w:rPr>
                <w:rFonts w:hint="eastAsia" w:ascii="宋体" w:hAnsi="宋体" w:eastAsia="宋体" w:cs="宋体"/>
                <w:color w:val="auto"/>
                <w:sz w:val="21"/>
                <w:szCs w:val="21"/>
                <w:lang w:val="en-US" w:eastAsia="zh-CN"/>
              </w:rPr>
              <w:t>未提供或提供虚假合同或中标通知书不得分。</w:t>
            </w:r>
            <w:r>
              <w:rPr>
                <w:rFonts w:hint="eastAsia" w:ascii="宋体" w:hAnsi="宋体" w:eastAsia="宋体" w:cs="宋体"/>
                <w:color w:val="auto"/>
                <w:szCs w:val="24"/>
              </w:rPr>
              <w:t>）</w:t>
            </w:r>
          </w:p>
        </w:tc>
      </w:tr>
    </w:tbl>
    <w:p>
      <w:pPr>
        <w:spacing w:line="360" w:lineRule="auto"/>
        <w:rPr>
          <w:rFonts w:hint="eastAsia" w:ascii="宋体" w:hAnsi="宋体" w:eastAsia="宋体" w:cs="宋体"/>
          <w:color w:val="auto"/>
          <w:sz w:val="24"/>
          <w:lang w:val="en-US" w:eastAsia="zh-CN"/>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w:t>
      </w:r>
      <w:r>
        <w:rPr>
          <w:rFonts w:hint="eastAsia" w:ascii="宋体" w:hAnsi="宋体" w:eastAsia="宋体" w:cs="宋体"/>
          <w:color w:val="auto"/>
          <w:sz w:val="24"/>
        </w:rPr>
        <w:t>定标</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w:t>
      </w:r>
      <w:r>
        <w:rPr>
          <w:rFonts w:hint="eastAsia" w:ascii="宋体" w:hAnsi="宋体" w:eastAsia="宋体" w:cs="宋体"/>
          <w:color w:val="auto"/>
          <w:sz w:val="24"/>
          <w:lang w:val="en-US" w:eastAsia="zh-CN"/>
        </w:rPr>
        <w:t xml:space="preserve">2 </w:t>
      </w:r>
      <w:r>
        <w:rPr>
          <w:rFonts w:hint="eastAsia" w:ascii="宋体" w:hAnsi="宋体" w:eastAsia="宋体" w:cs="宋体"/>
          <w:color w:val="auto"/>
          <w:sz w:val="24"/>
        </w:rPr>
        <w:t>个工作日内将磋商报告送采购人。</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w:t>
      </w:r>
      <w:r>
        <w:rPr>
          <w:rFonts w:hint="eastAsia" w:ascii="宋体" w:hAnsi="宋体" w:eastAsia="宋体" w:cs="宋体"/>
          <w:color w:val="auto"/>
          <w:sz w:val="24"/>
          <w:lang w:val="en-US" w:eastAsia="zh-CN"/>
        </w:rPr>
        <w:t>5</w:t>
      </w:r>
      <w:r>
        <w:rPr>
          <w:rFonts w:hint="eastAsia" w:ascii="宋体" w:hAnsi="宋体" w:eastAsia="宋体" w:cs="宋体"/>
          <w:color w:val="auto"/>
          <w:sz w:val="24"/>
        </w:rPr>
        <w:t>个工作日内，按照磋商报告中推荐的</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候选供应商顺序确定成交供应商；也可以事先授权磋商小组直接确定成交供应商（具体确定方式以采购人在《政府采购项目委托代理协议书》中选择的确定成交供应商的方式为准）。</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pPr>
        <w:tabs>
          <w:tab w:val="left" w:pos="426"/>
        </w:tabs>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七．签订合同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定标后，采购代理机构将立即组织成交供应商和采购人洽谈并签订中标合同。签订的合同需经富县政府采购管理中心确</w:t>
      </w:r>
      <w:r>
        <w:rPr>
          <w:rFonts w:hint="eastAsia" w:ascii="宋体" w:hAnsi="宋体" w:cs="宋体"/>
          <w:color w:val="auto"/>
          <w:sz w:val="24"/>
          <w:lang w:val="en-US" w:eastAsia="zh-CN"/>
        </w:rPr>
        <w:t>认</w:t>
      </w:r>
      <w:r>
        <w:rPr>
          <w:rFonts w:hint="eastAsia" w:ascii="宋体" w:hAnsi="宋体" w:eastAsia="宋体" w:cs="宋体"/>
          <w:color w:val="auto"/>
          <w:sz w:val="24"/>
        </w:rPr>
        <w:t>。磋商文件及成交供应商的响应文件和澄清答复均作为签订合同的依据。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磋商文件、磋商文件的修改、补充文件,成交供应商的响应文件、补充或修改的文件及澄清或承诺文件等，均为双方签订《合同》的组成部分,并与《合同》一并作为本磋商文件所列采购项目的互补性法律文件,与《合同》具有同等法律效力。</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2、采购人和成交供应商应当自成交通知书发出之日起</w:t>
      </w:r>
      <w:r>
        <w:rPr>
          <w:rFonts w:hint="eastAsia" w:ascii="宋体" w:hAnsi="宋体" w:cs="宋体"/>
          <w:color w:val="auto"/>
          <w:sz w:val="24"/>
          <w:lang w:val="en-US" w:eastAsia="zh-CN"/>
        </w:rPr>
        <w:t>2</w:t>
      </w:r>
      <w:r>
        <w:rPr>
          <w:rFonts w:hint="eastAsia" w:ascii="宋体" w:hAnsi="宋体" w:eastAsia="宋体" w:cs="宋体"/>
          <w:color w:val="auto"/>
          <w:sz w:val="24"/>
          <w:lang w:val="en-US" w:eastAsia="zh-CN"/>
        </w:rPr>
        <w:t>5</w:t>
      </w:r>
      <w:r>
        <w:rPr>
          <w:rFonts w:hint="eastAsia" w:ascii="宋体" w:hAnsi="宋体" w:eastAsia="宋体" w:cs="宋体"/>
          <w:color w:val="auto"/>
          <w:sz w:val="24"/>
        </w:rPr>
        <w:t>个日历日内,根据磋商文件确定的事项和成交供应商的响应文件,参照本磋商文件《合同范本》订立书面合同。合同的标的、价款、质量、履行期限等主要条款应当与磋商文件和成交供应商的响应文件内容一致。 采购人或成交供应商不得拒绝或拖延与另一方签订合同,采购人和成交供应商不得再行订立背离磋商文件、响应文件实质性内容的其他协议或其他附加条件。</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3、政府采购合同履行中，采购人需追加与合同标的相同的货物、工程或者服务的，在不改变合同其他条款的前提下，可以根据相关政策法规与成交供应商协商签订补充合同。</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4、成交供应商无正当理由拒签合同的,或接到成交通知书后在规定的时间内,借故拖延、拒签合同者,采购人</w:t>
      </w:r>
      <w:r>
        <w:rPr>
          <w:rFonts w:hint="eastAsia" w:ascii="宋体" w:hAnsi="宋体" w:eastAsia="宋体" w:cs="宋体"/>
          <w:color w:val="auto"/>
          <w:sz w:val="24"/>
          <w:lang w:val="en-US" w:eastAsia="zh-CN"/>
        </w:rPr>
        <w:t>有权</w:t>
      </w:r>
      <w:r>
        <w:rPr>
          <w:rFonts w:hint="eastAsia" w:ascii="宋体" w:hAnsi="宋体" w:eastAsia="宋体" w:cs="宋体"/>
          <w:color w:val="auto"/>
          <w:sz w:val="24"/>
        </w:rPr>
        <w:t>取消其成交资格</w:t>
      </w:r>
      <w:r>
        <w:rPr>
          <w:rFonts w:hint="eastAsia" w:ascii="宋体" w:hAnsi="宋体" w:eastAsia="宋体" w:cs="宋体"/>
          <w:color w:val="auto"/>
          <w:sz w:val="24"/>
          <w:lang w:eastAsia="zh-CN"/>
        </w:rPr>
        <w:t>，</w:t>
      </w:r>
      <w:r>
        <w:rPr>
          <w:rFonts w:hint="eastAsia" w:ascii="宋体" w:hAnsi="宋体" w:eastAsia="宋体" w:cs="宋体"/>
          <w:color w:val="auto"/>
          <w:sz w:val="24"/>
        </w:rPr>
        <w:t>并按评审顺序重新确定</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单位；给采购人造成损失</w:t>
      </w:r>
      <w:r>
        <w:rPr>
          <w:rFonts w:hint="eastAsia" w:ascii="宋体" w:hAnsi="宋体" w:eastAsia="宋体" w:cs="宋体"/>
          <w:color w:val="auto"/>
          <w:sz w:val="24"/>
          <w:lang w:val="en-US" w:eastAsia="zh-CN"/>
        </w:rPr>
        <w:t>得</w:t>
      </w:r>
      <w:r>
        <w:rPr>
          <w:rFonts w:hint="eastAsia" w:ascii="宋体" w:hAnsi="宋体" w:eastAsia="宋体" w:cs="宋体"/>
          <w:color w:val="auto"/>
          <w:sz w:val="24"/>
        </w:rPr>
        <w:t>, 成交供应商应当予以赔偿。同时报请政府采购监督机构通报全省,取消其进入政府采购市场的资格,并按规定予以处罚</w:t>
      </w:r>
      <w:r>
        <w:rPr>
          <w:rFonts w:hint="eastAsia" w:ascii="宋体" w:hAnsi="宋体" w:eastAsia="宋体" w:cs="宋体"/>
          <w:color w:val="auto"/>
          <w:sz w:val="24"/>
          <w:lang w:val="en-US" w:eastAsia="zh-CN"/>
        </w:rPr>
        <w:t>并</w:t>
      </w:r>
      <w:r>
        <w:rPr>
          <w:rFonts w:hint="eastAsia" w:ascii="宋体" w:hAnsi="宋体" w:eastAsia="宋体" w:cs="宋体"/>
          <w:color w:val="auto"/>
          <w:sz w:val="24"/>
        </w:rPr>
        <w:t>承担相应的法律责任。</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5、成交供应商应当按照合同约定履行义务，完成成交的项目。成交供应商不得向他人转让成交的项目。</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6、根据需要，采购代理机构可会同采购人负责监督、协调和处理履约过程中出现的问题；</w:t>
      </w:r>
    </w:p>
    <w:p>
      <w:pPr>
        <w:spacing w:beforeAutospacing="0" w:afterAutospacing="0"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7、政府采购管理部门在合同履行期间以及履行期后，可以随时检查项目的执行情况，对采购标准、采购内容进行调查核实，并对发现的问题进行处理。</w:t>
      </w:r>
    </w:p>
    <w:p>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八．其它事项</w:t>
      </w:r>
    </w:p>
    <w:p>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1、供应商的响应报价超过采购预算，根据《中华人民共和国政府采购法》和《政府采购竞争性磋商采购方式管理暂行办法》的有关规定报延安市政府采购管理部门批准后，进行重新磋商或变更为竞争性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的方式组织采购；</w:t>
      </w:r>
    </w:p>
    <w:p>
      <w:pPr>
        <w:spacing w:line="360" w:lineRule="auto"/>
        <w:ind w:firstLine="600" w:firstLineChars="250"/>
        <w:jc w:val="left"/>
        <w:rPr>
          <w:rFonts w:hint="eastAsia" w:ascii="宋体" w:hAnsi="宋体" w:eastAsia="宋体" w:cs="宋体"/>
          <w:color w:val="auto"/>
          <w:sz w:val="24"/>
        </w:rPr>
      </w:pPr>
      <w:r>
        <w:rPr>
          <w:rFonts w:hint="eastAsia" w:ascii="宋体" w:hAnsi="宋体" w:eastAsia="宋体" w:cs="宋体"/>
          <w:color w:val="auto"/>
          <w:sz w:val="24"/>
        </w:rPr>
        <w:t>2、中华人民共和国财政部令第18号《政府采购货物和服务招标投标管理办法》第四十三条 投标截止时间结束后参加投标的供应商不足三家的，除采购任务取消情形外，招标采购单位应当报告设区的市、自治州以上人民政府财政部门，由财政部门按照以下原则处理：</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(一)磋商文件没有不合理条款、招标公告时间及程序符合规定的，同意采取竞争性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、询价或者单一来源方式采购；</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(二)磋商文件存在不合理条款的，招标公告时间及程序不符合规定的，应予废标，并责成招标采购单位依法重新招标。</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在评标期间，出现符合专业条件的供应商或者对</w:t>
      </w:r>
      <w:r>
        <w:rPr>
          <w:rFonts w:hint="eastAsia" w:ascii="宋体" w:hAnsi="宋体" w:eastAsia="宋体" w:cs="宋体"/>
          <w:color w:val="auto"/>
          <w:sz w:val="24"/>
          <w:lang w:eastAsia="zh-CN"/>
        </w:rPr>
        <w:t>磋商文件</w:t>
      </w:r>
      <w:r>
        <w:rPr>
          <w:rFonts w:hint="eastAsia" w:ascii="宋体" w:hAnsi="宋体" w:eastAsia="宋体" w:cs="宋体"/>
          <w:color w:val="auto"/>
          <w:sz w:val="24"/>
        </w:rPr>
        <w:t>作出实质响应的供应商不足三家情形的，可以比照前款规定执行。</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kern w:val="0"/>
          <w:sz w:val="24"/>
        </w:rPr>
        <w:t>转为</w:t>
      </w:r>
      <w:r>
        <w:rPr>
          <w:rFonts w:hint="eastAsia" w:ascii="宋体" w:hAnsi="宋体" w:eastAsia="宋体" w:cs="宋体"/>
          <w:color w:val="auto"/>
          <w:sz w:val="24"/>
        </w:rPr>
        <w:t>采取竞争性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方式，磋商小组自行转为竞争性</w:t>
      </w:r>
      <w:r>
        <w:rPr>
          <w:rFonts w:hint="eastAsia" w:ascii="宋体" w:hAnsi="宋体" w:eastAsia="宋体" w:cs="宋体"/>
          <w:color w:val="auto"/>
          <w:sz w:val="24"/>
          <w:lang w:eastAsia="zh-CN"/>
        </w:rPr>
        <w:t>磋商</w:t>
      </w:r>
      <w:r>
        <w:rPr>
          <w:rFonts w:hint="eastAsia" w:ascii="宋体" w:hAnsi="宋体" w:eastAsia="宋体" w:cs="宋体"/>
          <w:color w:val="auto"/>
          <w:sz w:val="24"/>
        </w:rPr>
        <w:t>小组，</w:t>
      </w:r>
      <w:r>
        <w:rPr>
          <w:rFonts w:hint="eastAsia" w:ascii="宋体" w:hAnsi="宋体" w:eastAsia="宋体" w:cs="宋体"/>
          <w:color w:val="auto"/>
          <w:sz w:val="24"/>
          <w:lang w:eastAsia="zh-CN"/>
        </w:rPr>
        <w:t>磋商</w:t>
      </w:r>
      <w:r>
        <w:rPr>
          <w:rFonts w:hint="eastAsia" w:ascii="宋体" w:hAnsi="宋体" w:eastAsia="宋体" w:cs="宋体"/>
          <w:color w:val="auto"/>
          <w:sz w:val="24"/>
        </w:rPr>
        <w:t>文件以响应文件为基础，若有重大变动，以书面形式通知参加</w:t>
      </w:r>
      <w:r>
        <w:rPr>
          <w:rFonts w:hint="eastAsia" w:ascii="宋体" w:hAnsi="宋体" w:eastAsia="宋体" w:cs="宋体"/>
          <w:color w:val="auto"/>
          <w:sz w:val="24"/>
          <w:lang w:eastAsia="zh-CN"/>
        </w:rPr>
        <w:t>磋商</w:t>
      </w:r>
      <w:r>
        <w:rPr>
          <w:rFonts w:hint="eastAsia" w:ascii="宋体" w:hAnsi="宋体" w:eastAsia="宋体" w:cs="宋体"/>
          <w:color w:val="auto"/>
          <w:sz w:val="24"/>
        </w:rPr>
        <w:t>的全体</w:t>
      </w:r>
      <w:r>
        <w:rPr>
          <w:rFonts w:hint="eastAsia" w:ascii="宋体" w:hAnsi="宋体" w:eastAsia="宋体" w:cs="宋体"/>
          <w:color w:val="auto"/>
          <w:sz w:val="24"/>
          <w:lang w:eastAsia="zh-CN"/>
        </w:rPr>
        <w:t>磋商</w:t>
      </w:r>
      <w:r>
        <w:rPr>
          <w:rFonts w:hint="eastAsia" w:ascii="宋体" w:hAnsi="宋体" w:eastAsia="宋体" w:cs="宋体"/>
          <w:color w:val="auto"/>
          <w:sz w:val="24"/>
        </w:rPr>
        <w:t>响应单位；</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方式的，在</w:t>
      </w:r>
      <w:r>
        <w:rPr>
          <w:rFonts w:hint="eastAsia" w:ascii="宋体" w:hAnsi="宋体" w:eastAsia="宋体" w:cs="宋体"/>
          <w:color w:val="auto"/>
          <w:sz w:val="24"/>
          <w:lang w:eastAsia="zh-CN"/>
        </w:rPr>
        <w:t>磋商</w:t>
      </w:r>
      <w:r>
        <w:rPr>
          <w:rFonts w:hint="eastAsia" w:ascii="宋体" w:hAnsi="宋体" w:eastAsia="宋体" w:cs="宋体"/>
          <w:color w:val="auto"/>
          <w:sz w:val="24"/>
        </w:rPr>
        <w:t>过程中采取二次报价的形式，即各</w:t>
      </w:r>
      <w:r>
        <w:rPr>
          <w:rFonts w:hint="eastAsia" w:ascii="宋体" w:hAnsi="宋体" w:eastAsia="宋体" w:cs="宋体"/>
          <w:color w:val="auto"/>
          <w:sz w:val="24"/>
          <w:lang w:eastAsia="zh-CN"/>
        </w:rPr>
        <w:t>供应商</w:t>
      </w:r>
      <w:r>
        <w:rPr>
          <w:rFonts w:hint="eastAsia" w:ascii="宋体" w:hAnsi="宋体" w:eastAsia="宋体" w:cs="宋体"/>
          <w:color w:val="auto"/>
          <w:sz w:val="24"/>
        </w:rPr>
        <w:t>的开标报价为第一次报价，</w:t>
      </w:r>
      <w:r>
        <w:rPr>
          <w:rFonts w:hint="eastAsia" w:ascii="宋体" w:hAnsi="宋体" w:eastAsia="宋体" w:cs="宋体"/>
          <w:color w:val="auto"/>
          <w:sz w:val="24"/>
          <w:lang w:eastAsia="zh-CN"/>
        </w:rPr>
        <w:t>磋商</w:t>
      </w:r>
      <w:r>
        <w:rPr>
          <w:rFonts w:hint="eastAsia" w:ascii="宋体" w:hAnsi="宋体" w:eastAsia="宋体" w:cs="宋体"/>
          <w:color w:val="auto"/>
          <w:sz w:val="24"/>
        </w:rPr>
        <w:t>后参与竞争性</w:t>
      </w:r>
      <w:r>
        <w:rPr>
          <w:rFonts w:hint="eastAsia" w:ascii="宋体" w:hAnsi="宋体" w:eastAsia="宋体" w:cs="宋体"/>
          <w:color w:val="auto"/>
          <w:sz w:val="24"/>
          <w:lang w:eastAsia="zh-CN"/>
        </w:rPr>
        <w:t>磋商</w:t>
      </w:r>
      <w:r>
        <w:rPr>
          <w:rFonts w:hint="eastAsia" w:ascii="宋体" w:hAnsi="宋体" w:eastAsia="宋体" w:cs="宋体"/>
          <w:color w:val="auto"/>
          <w:sz w:val="24"/>
        </w:rPr>
        <w:t>的各单位进行第二次报价；</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kern w:val="0"/>
          <w:sz w:val="24"/>
        </w:rPr>
        <w:t>转为</w:t>
      </w:r>
      <w:r>
        <w:rPr>
          <w:rFonts w:hint="eastAsia" w:ascii="宋体" w:hAnsi="宋体" w:eastAsia="宋体" w:cs="宋体"/>
          <w:color w:val="auto"/>
          <w:sz w:val="24"/>
        </w:rPr>
        <w:t>竞争性</w:t>
      </w:r>
      <w:r>
        <w:rPr>
          <w:rFonts w:hint="eastAsia" w:ascii="宋体" w:hAnsi="宋体" w:eastAsia="宋体" w:cs="宋体"/>
          <w:color w:val="auto"/>
          <w:sz w:val="24"/>
          <w:lang w:eastAsia="zh-CN"/>
        </w:rPr>
        <w:t>磋商</w:t>
      </w:r>
      <w:r>
        <w:rPr>
          <w:rFonts w:hint="eastAsia" w:ascii="宋体" w:hAnsi="宋体" w:eastAsia="宋体" w:cs="宋体"/>
          <w:color w:val="auto"/>
          <w:sz w:val="24"/>
        </w:rPr>
        <w:t>方式的，当第二次报价全部超过财政预算限额或均低于公认的制作成本时，</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小组有权决定是否</w:t>
      </w:r>
      <w:r>
        <w:rPr>
          <w:rFonts w:hint="eastAsia" w:ascii="宋体" w:hAnsi="宋体" w:eastAsia="宋体" w:cs="宋体"/>
          <w:color w:val="auto"/>
          <w:sz w:val="24"/>
          <w:lang w:eastAsia="zh-CN"/>
        </w:rPr>
        <w:t>磋商</w:t>
      </w:r>
      <w:r>
        <w:rPr>
          <w:rFonts w:hint="eastAsia" w:ascii="宋体" w:hAnsi="宋体" w:eastAsia="宋体" w:cs="宋体"/>
          <w:color w:val="auto"/>
          <w:sz w:val="24"/>
        </w:rPr>
        <w:t>失败或进行第三次报价。当第三次报价若超出财政预算，且采购人又无力支付，</w:t>
      </w:r>
      <w:r>
        <w:rPr>
          <w:rFonts w:hint="eastAsia" w:ascii="宋体" w:hAnsi="宋体" w:eastAsia="宋体" w:cs="宋体"/>
          <w:color w:val="auto"/>
          <w:sz w:val="24"/>
          <w:lang w:eastAsia="zh-CN"/>
        </w:rPr>
        <w:t>磋商</w:t>
      </w:r>
      <w:r>
        <w:rPr>
          <w:rFonts w:hint="eastAsia" w:ascii="宋体" w:hAnsi="宋体" w:eastAsia="宋体" w:cs="宋体"/>
          <w:color w:val="auto"/>
          <w:sz w:val="24"/>
        </w:rPr>
        <w:t>小组有权决定</w:t>
      </w:r>
      <w:r>
        <w:rPr>
          <w:rFonts w:hint="eastAsia" w:ascii="宋体" w:hAnsi="宋体" w:eastAsia="宋体" w:cs="宋体"/>
          <w:color w:val="auto"/>
          <w:sz w:val="24"/>
          <w:lang w:eastAsia="zh-CN"/>
        </w:rPr>
        <w:t>磋商</w:t>
      </w:r>
      <w:r>
        <w:rPr>
          <w:rFonts w:hint="eastAsia" w:ascii="宋体" w:hAnsi="宋体" w:eastAsia="宋体" w:cs="宋体"/>
          <w:color w:val="auto"/>
          <w:sz w:val="24"/>
        </w:rPr>
        <w:t>失败；</w:t>
      </w:r>
    </w:p>
    <w:p>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、其他未尽事宜，按照《中华人民共和国政府采购法》、《中华人民共和国政府采购法实施条例》等法律法规的有关条款执行。</w:t>
      </w:r>
    </w:p>
    <w:p>
      <w:pPr>
        <w:spacing w:line="360" w:lineRule="auto"/>
        <w:ind w:firstLine="480" w:firstLineChars="200"/>
        <w:jc w:val="lef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7、本项目不统一组织现场踏勘，如响应供应商认为有必要，可自行踏勘现场，其相关费用及风险由其自行承担。</w:t>
      </w:r>
    </w:p>
    <w:p>
      <w:pPr>
        <w:numPr>
          <w:ilvl w:val="0"/>
          <w:numId w:val="0"/>
        </w:numPr>
        <w:spacing w:line="360" w:lineRule="auto"/>
        <w:jc w:val="both"/>
        <w:rPr>
          <w:rFonts w:hint="eastAsia" w:ascii="宋体" w:hAnsi="宋体" w:eastAsia="宋体" w:cs="宋体"/>
          <w:b/>
          <w:bCs w:val="0"/>
          <w:color w:val="000000"/>
          <w:sz w:val="32"/>
          <w:szCs w:val="32"/>
        </w:rPr>
      </w:pPr>
      <w:r>
        <w:rPr>
          <w:rFonts w:hint="eastAsia" w:ascii="宋体" w:hAnsi="宋体" w:eastAsia="宋体" w:cs="宋体"/>
          <w:b/>
          <w:color w:val="auto"/>
          <w:sz w:val="32"/>
          <w:szCs w:val="32"/>
        </w:rPr>
        <w:br w:type="page"/>
      </w:r>
      <w:r>
        <w:rPr>
          <w:rFonts w:hint="eastAsia" w:ascii="宋体" w:hAnsi="宋体" w:cs="宋体"/>
          <w:b/>
          <w:color w:val="auto"/>
          <w:sz w:val="32"/>
          <w:szCs w:val="32"/>
          <w:lang w:val="en-US" w:eastAsia="zh-CN"/>
        </w:rPr>
        <w:t xml:space="preserve">               第三部分  </w:t>
      </w:r>
      <w:r>
        <w:rPr>
          <w:rFonts w:hint="eastAsia" w:ascii="宋体" w:hAnsi="宋体" w:eastAsia="宋体" w:cs="宋体"/>
          <w:b/>
          <w:bCs w:val="0"/>
          <w:color w:val="000000"/>
          <w:sz w:val="32"/>
          <w:szCs w:val="32"/>
        </w:rPr>
        <w:t>磋商内容及</w:t>
      </w:r>
      <w:r>
        <w:rPr>
          <w:rFonts w:hint="eastAsia" w:ascii="宋体" w:hAnsi="宋体" w:eastAsia="宋体" w:cs="宋体"/>
          <w:b/>
          <w:bCs w:val="0"/>
          <w:color w:val="000000"/>
          <w:sz w:val="32"/>
          <w:szCs w:val="32"/>
          <w:lang w:val="en-US" w:eastAsia="zh-CN"/>
        </w:rPr>
        <w:t>服务</w:t>
      </w:r>
      <w:r>
        <w:rPr>
          <w:rFonts w:hint="eastAsia" w:ascii="宋体" w:hAnsi="宋体" w:eastAsia="宋体" w:cs="宋体"/>
          <w:b/>
          <w:bCs w:val="0"/>
          <w:color w:val="000000"/>
          <w:sz w:val="32"/>
          <w:szCs w:val="32"/>
        </w:rPr>
        <w:t>要求</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宋体"/>
          <w:i w:val="0"/>
          <w:iCs w:val="0"/>
          <w:caps w:val="0"/>
          <w:color w:val="000000"/>
          <w:spacing w:val="0"/>
          <w:sz w:val="24"/>
          <w:szCs w:val="24"/>
          <w:shd w:val="clear" w:color="auto" w:fill="FFFFFF"/>
          <w:lang w:val="en-US" w:eastAsia="zh-CN"/>
        </w:rPr>
      </w:pPr>
      <w:r>
        <w:rPr>
          <w:rFonts w:hint="eastAsia" w:ascii="宋体" w:hAnsi="宋体" w:eastAsia="宋体" w:cs="宋体"/>
          <w:b w:val="0"/>
          <w:bCs/>
          <w:color w:val="000000"/>
          <w:sz w:val="24"/>
          <w:szCs w:val="24"/>
          <w:lang w:val="en-US" w:eastAsia="zh-CN"/>
        </w:rPr>
        <w:t>一、</w:t>
      </w:r>
      <w:r>
        <w:rPr>
          <w:rFonts w:hint="eastAsia" w:ascii="宋体" w:hAnsi="宋体" w:eastAsia="宋体" w:cs="宋体"/>
          <w:b w:val="0"/>
          <w:bCs/>
          <w:color w:val="000000"/>
          <w:sz w:val="24"/>
          <w:szCs w:val="24"/>
        </w:rPr>
        <w:t>项目</w:t>
      </w:r>
      <w:r>
        <w:rPr>
          <w:rFonts w:hint="eastAsia" w:ascii="Times New Roman" w:hAnsi="Times New Roman" w:eastAsia="宋体" w:cs="宋体"/>
          <w:i w:val="0"/>
          <w:iCs w:val="0"/>
          <w:caps w:val="0"/>
          <w:color w:val="000000"/>
          <w:spacing w:val="0"/>
          <w:sz w:val="24"/>
          <w:szCs w:val="24"/>
          <w:shd w:val="clear" w:color="auto" w:fill="FFFFFF"/>
          <w:lang w:val="en-US" w:eastAsia="zh-CN"/>
        </w:rPr>
        <w:t>编号：</w:t>
      </w:r>
      <w:r>
        <w:rPr>
          <w:rFonts w:hint="eastAsia" w:cs="宋体"/>
          <w:i w:val="0"/>
          <w:iCs w:val="0"/>
          <w:caps w:val="0"/>
          <w:color w:val="000000"/>
          <w:spacing w:val="0"/>
          <w:sz w:val="24"/>
          <w:szCs w:val="24"/>
          <w:shd w:val="clear" w:color="auto" w:fill="FFFFFF"/>
          <w:lang w:val="en-US" w:eastAsia="zh-CN"/>
        </w:rPr>
        <w:t>FZC2026-060</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Times New Roman" w:hAnsi="Times New Roman" w:eastAsia="宋体" w:cs="宋体"/>
          <w:i w:val="0"/>
          <w:iCs w:val="0"/>
          <w:caps w:val="0"/>
          <w:color w:val="000000"/>
          <w:spacing w:val="0"/>
          <w:sz w:val="24"/>
          <w:szCs w:val="24"/>
          <w:shd w:val="clear" w:color="auto" w:fill="FFFFFF"/>
          <w:lang w:val="en-US" w:eastAsia="zh-CN"/>
        </w:rPr>
      </w:pPr>
      <w:r>
        <w:rPr>
          <w:rFonts w:hint="eastAsia" w:ascii="Times New Roman" w:hAnsi="Times New Roman" w:eastAsia="宋体" w:cs="宋体"/>
          <w:i w:val="0"/>
          <w:iCs w:val="0"/>
          <w:caps w:val="0"/>
          <w:color w:val="000000"/>
          <w:spacing w:val="0"/>
          <w:sz w:val="24"/>
          <w:szCs w:val="24"/>
          <w:shd w:val="clear" w:color="auto" w:fill="FFFFFF"/>
          <w:lang w:val="en-US" w:eastAsia="zh-CN"/>
        </w:rPr>
        <w:t>二、项目名称：</w:t>
      </w:r>
      <w:r>
        <w:rPr>
          <w:rFonts w:hint="eastAsia" w:cs="宋体"/>
          <w:i w:val="0"/>
          <w:iCs w:val="0"/>
          <w:caps w:val="0"/>
          <w:color w:val="000000"/>
          <w:spacing w:val="0"/>
          <w:sz w:val="24"/>
          <w:szCs w:val="24"/>
          <w:shd w:val="clear" w:color="auto" w:fill="FFFFFF"/>
          <w:lang w:val="en-US" w:eastAsia="zh-CN"/>
        </w:rPr>
        <w:t>已交楼未进行消防验收项目（检测标段）</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default" w:ascii="宋体" w:hAnsi="宋体" w:eastAsia="宋体" w:cs="宋体"/>
          <w:b w:val="0"/>
          <w:bCs/>
          <w:color w:val="000000"/>
          <w:sz w:val="24"/>
          <w:szCs w:val="24"/>
          <w:lang w:val="en-US"/>
        </w:rPr>
      </w:pPr>
      <w:r>
        <w:rPr>
          <w:rFonts w:hint="eastAsia" w:ascii="宋体" w:hAnsi="宋体" w:eastAsia="宋体" w:cs="宋体"/>
          <w:b w:val="0"/>
          <w:bCs/>
          <w:color w:val="000000"/>
          <w:sz w:val="24"/>
          <w:szCs w:val="24"/>
          <w:lang w:val="en-US" w:eastAsia="zh-CN"/>
        </w:rPr>
        <w:t>三、</w:t>
      </w:r>
      <w:r>
        <w:rPr>
          <w:rFonts w:hint="eastAsia" w:ascii="宋体" w:hAnsi="宋体" w:eastAsia="宋体" w:cs="宋体"/>
          <w:b w:val="0"/>
          <w:bCs/>
          <w:color w:val="000000"/>
          <w:sz w:val="24"/>
          <w:szCs w:val="24"/>
        </w:rPr>
        <w:t>预算金额：</w:t>
      </w:r>
      <w:r>
        <w:rPr>
          <w:rFonts w:hint="eastAsia" w:ascii="宋体" w:hAnsi="宋体" w:cs="宋体"/>
          <w:b w:val="0"/>
          <w:bCs/>
          <w:color w:val="000000"/>
          <w:sz w:val="24"/>
          <w:szCs w:val="24"/>
          <w:lang w:val="en-US" w:eastAsia="zh-CN"/>
        </w:rPr>
        <w:t>899262.00元。</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val="en-US" w:eastAsia="zh-CN"/>
        </w:rPr>
        <w:t>四、</w:t>
      </w:r>
      <w:r>
        <w:rPr>
          <w:rFonts w:hint="eastAsia" w:ascii="宋体" w:hAnsi="宋体" w:eastAsia="宋体" w:cs="宋体"/>
          <w:b w:val="0"/>
          <w:bCs/>
          <w:color w:val="000000"/>
          <w:sz w:val="24"/>
          <w:szCs w:val="24"/>
        </w:rPr>
        <w:t>项目</w:t>
      </w:r>
      <w:r>
        <w:rPr>
          <w:rFonts w:hint="eastAsia" w:ascii="宋体" w:hAnsi="宋体" w:eastAsia="宋体" w:cs="宋体"/>
          <w:b w:val="0"/>
          <w:bCs/>
          <w:color w:val="000000"/>
          <w:sz w:val="24"/>
          <w:szCs w:val="24"/>
          <w:lang w:eastAsia="zh-CN"/>
        </w:rPr>
        <w:t>主要</w:t>
      </w:r>
      <w:r>
        <w:rPr>
          <w:rFonts w:hint="eastAsia" w:ascii="宋体" w:hAnsi="宋体" w:eastAsia="宋体" w:cs="宋体"/>
          <w:b w:val="0"/>
          <w:bCs/>
          <w:color w:val="000000"/>
          <w:sz w:val="24"/>
          <w:szCs w:val="24"/>
          <w:lang w:val="en-US" w:eastAsia="zh-CN"/>
        </w:rPr>
        <w:t>服务</w:t>
      </w:r>
      <w:r>
        <w:rPr>
          <w:rFonts w:hint="eastAsia" w:ascii="宋体" w:hAnsi="宋体" w:eastAsia="宋体" w:cs="宋体"/>
          <w:b w:val="0"/>
          <w:bCs/>
          <w:color w:val="000000"/>
          <w:sz w:val="24"/>
          <w:szCs w:val="24"/>
          <w:lang w:eastAsia="zh-CN"/>
        </w:rPr>
        <w:t>内容</w:t>
      </w:r>
      <w:r>
        <w:rPr>
          <w:rFonts w:hint="eastAsia" w:ascii="宋体" w:hAnsi="宋体" w:eastAsia="宋体" w:cs="宋体"/>
          <w:b w:val="0"/>
          <w:bCs/>
          <w:color w:val="000000"/>
          <w:sz w:val="24"/>
          <w:szCs w:val="24"/>
          <w:lang w:val="en-US" w:eastAsia="zh-CN"/>
        </w:rPr>
        <w:t>及要求</w:t>
      </w:r>
      <w:r>
        <w:rPr>
          <w:rFonts w:hint="eastAsia" w:ascii="宋体" w:hAnsi="宋体" w:eastAsia="宋体" w:cs="宋体"/>
          <w:b w:val="0"/>
          <w:bCs/>
          <w:color w:val="000000"/>
          <w:sz w:val="24"/>
          <w:szCs w:val="24"/>
          <w:lang w:eastAsia="zh-CN"/>
        </w:rPr>
        <w:t>：</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jc w:val="both"/>
        <w:textAlignment w:val="auto"/>
        <w:rPr>
          <w:rFonts w:hint="eastAsia" w:ascii="宋体" w:hAnsi="宋体" w:eastAsia="宋体" w:cs="宋体"/>
          <w:i w:val="0"/>
          <w:iCs w:val="0"/>
          <w:caps w:val="0"/>
          <w:color w:val="333333"/>
          <w:spacing w:val="0"/>
          <w:sz w:val="24"/>
          <w:szCs w:val="24"/>
          <w:shd w:val="clear" w:color="auto" w:fill="FFFFFF"/>
        </w:rPr>
      </w:pPr>
      <w:r>
        <w:rPr>
          <w:rFonts w:hint="eastAsia" w:ascii="宋体" w:hAnsi="宋体" w:eastAsia="宋体" w:cs="宋体"/>
          <w:i w:val="0"/>
          <w:iCs w:val="0"/>
          <w:caps w:val="0"/>
          <w:color w:val="333333"/>
          <w:spacing w:val="0"/>
          <w:sz w:val="24"/>
          <w:szCs w:val="24"/>
          <w:shd w:val="clear" w:color="auto" w:fill="FFFFFF"/>
          <w:lang w:val="en-US" w:eastAsia="zh-CN"/>
        </w:rPr>
        <w:t>1.项目概况：</w:t>
      </w:r>
      <w:r>
        <w:rPr>
          <w:rFonts w:hint="eastAsia" w:ascii="宋体" w:hAnsi="宋体" w:eastAsia="宋体" w:cs="宋体"/>
          <w:i w:val="0"/>
          <w:iCs w:val="0"/>
          <w:caps w:val="0"/>
          <w:color w:val="333333"/>
          <w:spacing w:val="0"/>
          <w:sz w:val="24"/>
          <w:szCs w:val="24"/>
          <w:shd w:val="clear" w:color="auto" w:fill="FFFFFF"/>
        </w:rPr>
        <w:t>对 41个办公楼进行整改及消防检查及安全评估。</w:t>
      </w:r>
    </w:p>
    <w:p>
      <w:pPr>
        <w:pStyle w:val="7"/>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2、付款方式：</w:t>
      </w:r>
      <w:bookmarkStart w:id="5" w:name="OLE_LINK3"/>
      <w:r>
        <w:rPr>
          <w:rFonts w:hint="eastAsia" w:ascii="宋体" w:hAnsi="宋体" w:eastAsia="宋体" w:cs="宋体"/>
          <w:b w:val="0"/>
          <w:bCs/>
          <w:color w:val="000000"/>
          <w:kern w:val="2"/>
          <w:sz w:val="24"/>
          <w:szCs w:val="24"/>
          <w:lang w:val="en-US" w:eastAsia="zh-CN" w:bidi="ar-SA"/>
        </w:rPr>
        <w:t>检测及评估经过验收合格后一次性付款</w:t>
      </w:r>
      <w:bookmarkEnd w:id="5"/>
    </w:p>
    <w:p>
      <w:pPr>
        <w:pStyle w:val="7"/>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cs="宋体"/>
          <w:b w:val="0"/>
          <w:bCs/>
          <w:color w:val="auto"/>
          <w:sz w:val="24"/>
          <w:szCs w:val="24"/>
          <w:lang w:val="en-US" w:eastAsia="zh-CN"/>
        </w:rPr>
      </w:pPr>
      <w:r>
        <w:rPr>
          <w:rFonts w:hint="eastAsia" w:ascii="宋体" w:hAnsi="宋体" w:eastAsia="宋体" w:cs="宋体"/>
          <w:b w:val="0"/>
          <w:bCs/>
          <w:color w:val="000000"/>
          <w:kern w:val="2"/>
          <w:sz w:val="24"/>
          <w:szCs w:val="24"/>
          <w:lang w:val="en-US" w:eastAsia="zh-CN" w:bidi="ar-SA"/>
        </w:rPr>
        <w:t>3、服务期限：合同签订并具备进场条件后3-7个日历 天完成现场检测，5-10个日历天完成现场评估(建筑面积超 5万m²或多楼栋项目双方另行约定工期</w:t>
      </w:r>
      <w:r>
        <w:rPr>
          <w:rFonts w:hint="eastAsia" w:ascii="宋体" w:hAnsi="宋体" w:eastAsia="宋体" w:cs="宋体"/>
          <w:b w:val="0"/>
          <w:bCs/>
          <w:color w:val="auto"/>
          <w:kern w:val="2"/>
          <w:sz w:val="24"/>
          <w:szCs w:val="24"/>
          <w:lang w:val="en-US" w:eastAsia="zh-CN" w:bidi="ar-SA"/>
        </w:rPr>
        <w:t>)；</w:t>
      </w:r>
      <w:r>
        <w:rPr>
          <w:color w:val="auto"/>
          <w:spacing w:val="18"/>
        </w:rPr>
        <w:t>现场完工后7个工作日内提交全套正式报告(纸质版+</w:t>
      </w:r>
      <w:r>
        <w:rPr>
          <w:color w:val="auto"/>
          <w:spacing w:val="7"/>
        </w:rPr>
        <w:t xml:space="preserve"> </w:t>
      </w:r>
      <w:r>
        <w:rPr>
          <w:color w:val="auto"/>
          <w:spacing w:val="17"/>
        </w:rPr>
        <w:t>电子版)。</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4、消防设施检测服务内容及技术标准：</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（1）设备条件：自有全套消防检测仪器设备，仪器在计量检定有效期内。体系要求：具备完善质量管理体系、安全生产管理制度、 检测评估作业流程制度。</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禁止条款：不得转包、违法分包本项目检测及评估工作。</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（2）检测范围：火灾自动报警系统、消防应急照明和疏散指示系统、消火栓系统、自动喷水灭火系统、防烟排烟系统、防火分隔设 施、消防供配电系统、气体/泡沫灭火系统等全部在用建筑 消防设施。</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（3）检测执行规范：GB/T44481《建筑消防设施检测技术规程》、GB50166、 GB50084、GB50974、GB51309等现行国家及行业规范。</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（4）现场作业要求：进场前编制专项检测实施方案，提前与采购人对接测试 时间，营业场所错峰测试，减少正常运营影响。关键设备100%实测，末端点位按规范比例抽样检测；全系统联动试验，模拟火警完成切非消防电源、启泵、启停风 机、防火卷帘联动下降等全逻辑测试。逐项如实记录原始检测数据，现场留存隐患点位照片、 视频，缺陷按A类严重缺陷、B类主要缺陷、C 类一般缺陷 分类标注。检测过程接受甲方、监理及消防管理部门现场抽查。</w:t>
      </w:r>
    </w:p>
    <w:p>
      <w:pPr>
        <w:pStyle w:val="7"/>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（5）成果交付：出具正式《建筑消防设施检测报告》,报告内容完整、 数据真实、结论明确；逐条列明不合格隐患、问题原因、整改依据及整改建议。</w:t>
      </w:r>
    </w:p>
    <w:p>
      <w:pPr>
        <w:pStyle w:val="7"/>
        <w:keepNext w:val="0"/>
        <w:keepLines w:val="0"/>
        <w:pageBreakBefore w:val="0"/>
        <w:kinsoku/>
        <w:wordWrap/>
        <w:overflowPunct/>
        <w:topLinePunct w:val="0"/>
        <w:autoSpaceDE/>
        <w:autoSpaceDN/>
        <w:bidi w:val="0"/>
        <w:adjustRightInd/>
        <w:snapToGrid/>
        <w:spacing w:line="440" w:lineRule="exact"/>
        <w:ind w:right="1431"/>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kern w:val="2"/>
          <w:sz w:val="24"/>
          <w:szCs w:val="24"/>
          <w:lang w:val="en-US" w:eastAsia="zh-CN" w:bidi="ar-SA"/>
        </w:rPr>
        <w:t>附件包含：原始检测记录表、仪器检定证书复印件、现场影像资料汇总册。</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5.消防安全评估服务内容及技术标准</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（1）评估内容</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资料核查：建筑消防验收/备案资料、消防安全管理制 度、巡查维保记录、消防演练记录、特种岗位人员持证资料等。</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建筑总体防火评估：总平面布局、防火间距、消防车道、 消防车登高操作场地、室外消防水源、危险品存放等。</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建筑内部防火评估：建筑耐火等级、防火分区划分、安 全出口与疏散走道、疏散距离、防火门、防火卷帘、竖井封 堵等防火分隔。</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消防安全管理评估：用火用电用气管理、易燃易爆管控、 微型消防站配置、应急预案等；对照《重大火灾隐患判定方  法》判定是否构成重大火灾隐患，并划分火灾风险等级(低 /中/高风险)。</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（2）执行标准：GB50016《建筑设计防火规范》、GB35181《重大火灾隐 患判定方法》、T/CFPA038消防安全评估相关规范。</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（3）成果交付</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出具正式《消防安全评估报告》,含项目概况、合规性分析、火灾风险评级、隐患明细清单、分级整改方案(立即 整改/限期整改/改造整改);附现场踏勘照片、相关资料复 印件。</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6.验收要求</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甲方依据现行消防规范、本合同服务条款对检测、评估成果进行验收；</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存在漏检、数据造假、报告缺项、内容不符合规范要求 的，服务商无条件免费返工重做，直至验收合格，并承担由 此造成的全部损失。</w:t>
      </w:r>
    </w:p>
    <w:p>
      <w:pPr>
        <w:keepNext w:val="0"/>
        <w:keepLines w:val="0"/>
        <w:pageBreakBefore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cs="宋体"/>
          <w:b w:val="0"/>
          <w:bCs/>
          <w:color w:val="000000"/>
          <w:sz w:val="24"/>
          <w:szCs w:val="24"/>
          <w:lang w:val="en-US" w:eastAsia="zh-CN"/>
        </w:rPr>
      </w:pPr>
      <w:r>
        <w:rPr>
          <w:rFonts w:hint="eastAsia" w:ascii="宋体" w:hAnsi="宋体" w:cs="宋体"/>
          <w:b w:val="0"/>
          <w:bCs/>
          <w:color w:val="000000"/>
          <w:sz w:val="24"/>
          <w:szCs w:val="24"/>
          <w:lang w:val="en-US" w:eastAsia="zh-CN"/>
        </w:rPr>
        <w:t>7.其他要求</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作业人员统一着装、持证上岗，遵守甲方现场安全管理规定；</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default"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检测作业做好安全防护，因中标方操作不当造成设备损 坏、财产损失由中标单位全额赔偿。</w:t>
      </w:r>
    </w:p>
    <w:p>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Times New Roman" w:hAnsi="Times New Roman" w:cs="宋体"/>
          <w:i w:val="0"/>
          <w:iCs w:val="0"/>
          <w:caps w:val="0"/>
          <w:color w:val="000000"/>
          <w:spacing w:val="0"/>
          <w:sz w:val="24"/>
          <w:szCs w:val="24"/>
          <w:shd w:val="clear" w:color="auto" w:fill="FFFFFF"/>
          <w:lang w:val="en-US" w:eastAsia="zh-CN"/>
        </w:rPr>
      </w:pPr>
      <w:r>
        <w:rPr>
          <w:rFonts w:hint="eastAsia" w:ascii="宋体" w:hAnsi="宋体" w:cs="宋体"/>
          <w:b w:val="0"/>
          <w:bCs/>
          <w:color w:val="000000"/>
          <w:kern w:val="2"/>
          <w:sz w:val="24"/>
          <w:szCs w:val="24"/>
          <w:lang w:val="en-US" w:eastAsia="zh-CN" w:bidi="ar-SA"/>
        </w:rPr>
        <w:t>8</w:t>
      </w:r>
      <w:r>
        <w:rPr>
          <w:rFonts w:hint="eastAsia" w:ascii="宋体" w:hAnsi="宋体" w:eastAsia="宋体" w:cs="宋体"/>
          <w:b w:val="0"/>
          <w:bCs/>
          <w:color w:val="000000"/>
          <w:kern w:val="2"/>
          <w:sz w:val="24"/>
          <w:szCs w:val="24"/>
          <w:lang w:val="en-US" w:eastAsia="zh-CN" w:bidi="ar-SA"/>
        </w:rPr>
        <w:t>、</w:t>
      </w:r>
      <w:r>
        <w:rPr>
          <w:rFonts w:hint="eastAsia" w:ascii="Times New Roman" w:hAnsi="Times New Roman" w:cs="宋体"/>
          <w:i w:val="0"/>
          <w:iCs w:val="0"/>
          <w:caps w:val="0"/>
          <w:color w:val="000000"/>
          <w:spacing w:val="0"/>
          <w:sz w:val="24"/>
          <w:szCs w:val="24"/>
          <w:shd w:val="clear" w:color="auto" w:fill="FFFFFF"/>
          <w:lang w:val="en-US" w:eastAsia="zh-CN"/>
        </w:rPr>
        <w:t>售后要求：</w:t>
      </w:r>
    </w:p>
    <w:p>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报告交付后3个月内免费提供技术咨询、 隐患整改答疑服务；</w:t>
      </w:r>
    </w:p>
    <w:p>
      <w:pPr>
        <w:keepNext w:val="0"/>
        <w:keepLines w:val="0"/>
        <w:pageBreakBefore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采购人完成隐患整改后，中标单位提供1次免费现场复测服务，复测后出具复测意见；</w:t>
      </w:r>
    </w:p>
    <w:p>
      <w:pPr>
        <w:pStyle w:val="7"/>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val="0"/>
          <w:bCs/>
          <w:color w:val="000000"/>
          <w:kern w:val="2"/>
          <w:sz w:val="24"/>
          <w:szCs w:val="24"/>
          <w:lang w:val="en-US" w:eastAsia="zh-CN" w:bidi="ar-SA"/>
        </w:rPr>
      </w:pPr>
      <w:r>
        <w:rPr>
          <w:rFonts w:hint="eastAsia" w:ascii="宋体" w:hAnsi="宋体" w:eastAsia="宋体" w:cs="宋体"/>
          <w:b w:val="0"/>
          <w:bCs/>
          <w:color w:val="000000"/>
          <w:kern w:val="2"/>
          <w:sz w:val="24"/>
          <w:szCs w:val="24"/>
          <w:lang w:val="en-US" w:eastAsia="zh-CN" w:bidi="ar-SA"/>
        </w:rPr>
        <w:t>服务档案服务商留存不少于5年，向甲方交付全套纸质原件2份、电子档1份</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9、服务清单：</w:t>
      </w:r>
      <w:r>
        <w:rPr>
          <w:rFonts w:hint="eastAsia" w:ascii="宋体" w:hAnsi="宋体" w:eastAsia="宋体" w:cs="宋体"/>
          <w:b w:val="0"/>
          <w:bCs/>
          <w:color w:val="000000"/>
          <w:sz w:val="24"/>
          <w:szCs w:val="24"/>
          <w:lang w:val="en-US" w:eastAsia="zh-CN"/>
        </w:rPr>
        <w:t xml:space="preserve">    </w:t>
      </w: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p>
      <w:pPr>
        <w:pStyle w:val="7"/>
        <w:spacing w:line="288" w:lineRule="auto"/>
      </w:pPr>
    </w:p>
    <w:tbl>
      <w:tblPr>
        <w:tblStyle w:val="27"/>
        <w:tblW w:w="95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2"/>
        <w:gridCol w:w="1571"/>
        <w:gridCol w:w="849"/>
        <w:gridCol w:w="1486"/>
        <w:gridCol w:w="486"/>
        <w:gridCol w:w="540"/>
        <w:gridCol w:w="771"/>
        <w:gridCol w:w="683"/>
        <w:gridCol w:w="683"/>
        <w:gridCol w:w="198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7" w:hRule="atLeast"/>
        </w:trPr>
        <w:tc>
          <w:tcPr>
            <w:tcW w:w="2952" w:type="dxa"/>
            <w:gridSpan w:val="3"/>
            <w:vAlign w:val="top"/>
          </w:tcPr>
          <w:p>
            <w:pPr>
              <w:pStyle w:val="28"/>
              <w:spacing w:before="178" w:line="219" w:lineRule="auto"/>
              <w:ind w:left="1358"/>
              <w:rPr>
                <w:sz w:val="22"/>
                <w:szCs w:val="22"/>
              </w:rPr>
            </w:pPr>
            <w:bookmarkStart w:id="6" w:name="bookmark6"/>
            <w:bookmarkEnd w:id="6"/>
            <w:r>
              <w:rPr>
                <w:spacing w:val="-2"/>
                <w:sz w:val="22"/>
                <w:szCs w:val="22"/>
              </w:rPr>
              <w:t>项目基本信息</w:t>
            </w:r>
          </w:p>
        </w:tc>
        <w:tc>
          <w:tcPr>
            <w:tcW w:w="6633" w:type="dxa"/>
            <w:gridSpan w:val="7"/>
            <w:vAlign w:val="top"/>
          </w:tcPr>
          <w:p>
            <w:pPr>
              <w:pStyle w:val="28"/>
              <w:spacing w:before="178" w:line="219" w:lineRule="auto"/>
              <w:ind w:left="3653"/>
              <w:rPr>
                <w:sz w:val="22"/>
                <w:szCs w:val="22"/>
              </w:rPr>
            </w:pPr>
            <w:r>
              <w:rPr>
                <w:spacing w:val="-2"/>
                <w:sz w:val="22"/>
                <w:szCs w:val="22"/>
              </w:rPr>
              <w:t>建筑基本情况</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1" w:hRule="atLeast"/>
        </w:trPr>
        <w:tc>
          <w:tcPr>
            <w:tcW w:w="532" w:type="dxa"/>
            <w:vAlign w:val="top"/>
          </w:tcPr>
          <w:p>
            <w:pPr>
              <w:pStyle w:val="28"/>
              <w:spacing w:before="201" w:line="222" w:lineRule="auto"/>
              <w:ind w:left="146"/>
              <w:rPr>
                <w:sz w:val="22"/>
                <w:szCs w:val="22"/>
              </w:rPr>
            </w:pPr>
            <w:r>
              <w:rPr>
                <w:spacing w:val="-3"/>
                <w:sz w:val="22"/>
                <w:szCs w:val="22"/>
              </w:rPr>
              <w:t>序号</w:t>
            </w:r>
          </w:p>
        </w:tc>
        <w:tc>
          <w:tcPr>
            <w:tcW w:w="1571" w:type="dxa"/>
            <w:vAlign w:val="top"/>
          </w:tcPr>
          <w:p>
            <w:pPr>
              <w:pStyle w:val="28"/>
              <w:spacing w:before="201" w:line="221" w:lineRule="auto"/>
              <w:ind w:left="636"/>
              <w:rPr>
                <w:sz w:val="22"/>
                <w:szCs w:val="22"/>
              </w:rPr>
            </w:pPr>
            <w:r>
              <w:rPr>
                <w:spacing w:val="-3"/>
                <w:sz w:val="22"/>
                <w:szCs w:val="22"/>
              </w:rPr>
              <w:t>项目名称</w:t>
            </w:r>
          </w:p>
        </w:tc>
        <w:tc>
          <w:tcPr>
            <w:tcW w:w="849" w:type="dxa"/>
            <w:vAlign w:val="top"/>
          </w:tcPr>
          <w:p>
            <w:pPr>
              <w:pStyle w:val="28"/>
              <w:spacing w:before="45" w:line="221" w:lineRule="auto"/>
              <w:ind w:left="147"/>
              <w:rPr>
                <w:sz w:val="22"/>
                <w:szCs w:val="22"/>
              </w:rPr>
            </w:pPr>
            <w:r>
              <w:rPr>
                <w:spacing w:val="-4"/>
                <w:sz w:val="22"/>
                <w:szCs w:val="22"/>
              </w:rPr>
              <w:t>总建筑面</w:t>
            </w:r>
          </w:p>
          <w:p>
            <w:pPr>
              <w:pStyle w:val="28"/>
              <w:spacing w:before="49" w:line="218" w:lineRule="auto"/>
              <w:ind w:left="251"/>
              <w:rPr>
                <w:sz w:val="22"/>
                <w:szCs w:val="22"/>
              </w:rPr>
            </w:pPr>
            <w:r>
              <w:rPr>
                <w:spacing w:val="-14"/>
                <w:sz w:val="22"/>
                <w:szCs w:val="22"/>
              </w:rPr>
              <w:t>积</w:t>
            </w:r>
            <w:r>
              <w:rPr>
                <w:spacing w:val="-63"/>
                <w:sz w:val="22"/>
                <w:szCs w:val="22"/>
              </w:rPr>
              <w:t xml:space="preserve"> </w:t>
            </w:r>
            <w:r>
              <w:rPr>
                <w:spacing w:val="-14"/>
                <w:sz w:val="22"/>
                <w:szCs w:val="22"/>
              </w:rPr>
              <w:t>(㎡)</w:t>
            </w:r>
          </w:p>
        </w:tc>
        <w:tc>
          <w:tcPr>
            <w:tcW w:w="1486" w:type="dxa"/>
            <w:vAlign w:val="top"/>
          </w:tcPr>
          <w:p>
            <w:pPr>
              <w:pStyle w:val="28"/>
              <w:spacing w:before="201" w:line="221" w:lineRule="auto"/>
              <w:ind w:left="359"/>
              <w:rPr>
                <w:sz w:val="22"/>
                <w:szCs w:val="22"/>
              </w:rPr>
            </w:pPr>
            <w:r>
              <w:rPr>
                <w:spacing w:val="-2"/>
                <w:sz w:val="22"/>
                <w:szCs w:val="22"/>
              </w:rPr>
              <w:t>单体建筑名称</w:t>
            </w:r>
          </w:p>
        </w:tc>
        <w:tc>
          <w:tcPr>
            <w:tcW w:w="486" w:type="dxa"/>
            <w:vAlign w:val="top"/>
          </w:tcPr>
          <w:p>
            <w:pPr>
              <w:pStyle w:val="28"/>
              <w:spacing w:before="45" w:line="230" w:lineRule="auto"/>
              <w:ind w:left="119"/>
              <w:rPr>
                <w:sz w:val="22"/>
                <w:szCs w:val="22"/>
              </w:rPr>
            </w:pPr>
            <w:r>
              <w:rPr>
                <w:spacing w:val="-4"/>
                <w:sz w:val="22"/>
                <w:szCs w:val="22"/>
              </w:rPr>
              <w:t>地上</w:t>
            </w:r>
          </w:p>
          <w:p>
            <w:pPr>
              <w:pStyle w:val="28"/>
              <w:spacing w:before="38" w:line="218" w:lineRule="auto"/>
              <w:ind w:left="119"/>
              <w:rPr>
                <w:sz w:val="22"/>
                <w:szCs w:val="22"/>
              </w:rPr>
            </w:pPr>
            <w:r>
              <w:rPr>
                <w:spacing w:val="-4"/>
                <w:sz w:val="22"/>
                <w:szCs w:val="22"/>
              </w:rPr>
              <w:t>层数</w:t>
            </w:r>
          </w:p>
        </w:tc>
        <w:tc>
          <w:tcPr>
            <w:tcW w:w="540" w:type="dxa"/>
            <w:vAlign w:val="top"/>
          </w:tcPr>
          <w:p>
            <w:pPr>
              <w:pStyle w:val="28"/>
              <w:spacing w:before="45" w:line="222" w:lineRule="auto"/>
              <w:ind w:left="155"/>
              <w:rPr>
                <w:sz w:val="22"/>
                <w:szCs w:val="22"/>
              </w:rPr>
            </w:pPr>
            <w:r>
              <w:rPr>
                <w:spacing w:val="-4"/>
                <w:sz w:val="22"/>
                <w:szCs w:val="22"/>
              </w:rPr>
              <w:t>地下</w:t>
            </w:r>
          </w:p>
          <w:p>
            <w:pPr>
              <w:pStyle w:val="28"/>
              <w:spacing w:before="48" w:line="218" w:lineRule="auto"/>
              <w:ind w:left="155"/>
              <w:rPr>
                <w:sz w:val="22"/>
                <w:szCs w:val="22"/>
              </w:rPr>
            </w:pPr>
            <w:r>
              <w:rPr>
                <w:spacing w:val="-4"/>
                <w:sz w:val="22"/>
                <w:szCs w:val="22"/>
              </w:rPr>
              <w:t>层数</w:t>
            </w:r>
          </w:p>
        </w:tc>
        <w:tc>
          <w:tcPr>
            <w:tcW w:w="771" w:type="dxa"/>
            <w:vAlign w:val="top"/>
          </w:tcPr>
          <w:p>
            <w:pPr>
              <w:pStyle w:val="28"/>
              <w:spacing w:before="45"/>
              <w:ind w:left="202" w:right="190"/>
              <w:rPr>
                <w:sz w:val="22"/>
                <w:szCs w:val="22"/>
              </w:rPr>
            </w:pPr>
            <w:r>
              <w:rPr>
                <w:spacing w:val="-3"/>
                <w:sz w:val="22"/>
                <w:szCs w:val="22"/>
              </w:rPr>
              <w:t>地上面</w:t>
            </w:r>
            <w:r>
              <w:rPr>
                <w:spacing w:val="-14"/>
                <w:sz w:val="22"/>
                <w:szCs w:val="22"/>
              </w:rPr>
              <w:t>积</w:t>
            </w:r>
            <w:r>
              <w:rPr>
                <w:spacing w:val="-64"/>
                <w:sz w:val="22"/>
                <w:szCs w:val="22"/>
              </w:rPr>
              <w:t xml:space="preserve"> </w:t>
            </w:r>
            <w:r>
              <w:rPr>
                <w:spacing w:val="-14"/>
                <w:sz w:val="22"/>
                <w:szCs w:val="22"/>
              </w:rPr>
              <w:t>(㎡)</w:t>
            </w:r>
          </w:p>
        </w:tc>
        <w:tc>
          <w:tcPr>
            <w:tcW w:w="683" w:type="dxa"/>
            <w:vAlign w:val="top"/>
          </w:tcPr>
          <w:p>
            <w:pPr>
              <w:pStyle w:val="28"/>
              <w:spacing w:before="45"/>
              <w:ind w:left="141" w:right="131"/>
              <w:rPr>
                <w:sz w:val="22"/>
                <w:szCs w:val="22"/>
              </w:rPr>
            </w:pPr>
            <w:r>
              <w:rPr>
                <w:spacing w:val="-3"/>
                <w:sz w:val="22"/>
                <w:szCs w:val="22"/>
              </w:rPr>
              <w:t>地下面</w:t>
            </w:r>
            <w:r>
              <w:rPr>
                <w:spacing w:val="-14"/>
                <w:sz w:val="22"/>
                <w:szCs w:val="22"/>
              </w:rPr>
              <w:t>积</w:t>
            </w:r>
            <w:r>
              <w:rPr>
                <w:spacing w:val="-63"/>
                <w:sz w:val="22"/>
                <w:szCs w:val="22"/>
              </w:rPr>
              <w:t xml:space="preserve"> </w:t>
            </w:r>
            <w:r>
              <w:rPr>
                <w:spacing w:val="-14"/>
                <w:sz w:val="22"/>
                <w:szCs w:val="22"/>
              </w:rPr>
              <w:t>(㎡)</w:t>
            </w:r>
          </w:p>
        </w:tc>
        <w:tc>
          <w:tcPr>
            <w:tcW w:w="683" w:type="dxa"/>
            <w:vAlign w:val="top"/>
          </w:tcPr>
          <w:p>
            <w:pPr>
              <w:pStyle w:val="28"/>
              <w:spacing w:before="45"/>
              <w:ind w:left="115" w:right="61" w:firstLine="29"/>
              <w:rPr>
                <w:sz w:val="22"/>
                <w:szCs w:val="22"/>
              </w:rPr>
            </w:pPr>
            <w:r>
              <w:rPr>
                <w:spacing w:val="-4"/>
                <w:sz w:val="22"/>
                <w:szCs w:val="22"/>
              </w:rPr>
              <w:t>建筑高</w:t>
            </w:r>
            <w:r>
              <w:rPr>
                <w:spacing w:val="-6"/>
                <w:sz w:val="22"/>
                <w:szCs w:val="22"/>
              </w:rPr>
              <w:t>度（m）</w:t>
            </w:r>
          </w:p>
        </w:tc>
        <w:tc>
          <w:tcPr>
            <w:tcW w:w="1984" w:type="dxa"/>
            <w:vAlign w:val="top"/>
          </w:tcPr>
          <w:p>
            <w:pPr>
              <w:pStyle w:val="28"/>
              <w:spacing w:before="201" w:line="221" w:lineRule="auto"/>
              <w:ind w:left="488"/>
              <w:rPr>
                <w:sz w:val="22"/>
                <w:szCs w:val="22"/>
              </w:rPr>
            </w:pPr>
            <w:r>
              <w:rPr>
                <w:spacing w:val="-2"/>
                <w:sz w:val="22"/>
                <w:szCs w:val="22"/>
              </w:rPr>
              <w:t>现场消防设施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32" w:type="dxa"/>
            <w:vAlign w:val="top"/>
          </w:tcPr>
          <w:p>
            <w:pPr>
              <w:pStyle w:val="28"/>
              <w:spacing w:before="204" w:line="242" w:lineRule="auto"/>
              <w:ind w:left="329"/>
              <w:rPr>
                <w:sz w:val="22"/>
                <w:szCs w:val="22"/>
              </w:rPr>
            </w:pPr>
            <w:r>
              <w:rPr>
                <w:sz w:val="22"/>
                <w:szCs w:val="22"/>
              </w:rPr>
              <w:t>1</w:t>
            </w:r>
          </w:p>
        </w:tc>
        <w:tc>
          <w:tcPr>
            <w:tcW w:w="1571" w:type="dxa"/>
            <w:vAlign w:val="top"/>
          </w:tcPr>
          <w:p>
            <w:pPr>
              <w:pStyle w:val="28"/>
              <w:spacing w:before="49" w:line="239" w:lineRule="auto"/>
              <w:ind w:left="308" w:right="186" w:hanging="109"/>
              <w:rPr>
                <w:sz w:val="22"/>
                <w:szCs w:val="22"/>
              </w:rPr>
            </w:pPr>
            <w:r>
              <w:rPr>
                <w:spacing w:val="-2"/>
                <w:sz w:val="22"/>
                <w:szCs w:val="22"/>
              </w:rPr>
              <w:t>张村驿国土资源所办公楼修建项目</w:t>
            </w:r>
          </w:p>
        </w:tc>
        <w:tc>
          <w:tcPr>
            <w:tcW w:w="849" w:type="dxa"/>
            <w:vAlign w:val="top"/>
          </w:tcPr>
          <w:p>
            <w:pPr>
              <w:pStyle w:val="28"/>
              <w:spacing w:before="204"/>
              <w:ind w:left="254"/>
              <w:rPr>
                <w:sz w:val="22"/>
                <w:szCs w:val="22"/>
              </w:rPr>
            </w:pPr>
            <w:r>
              <w:rPr>
                <w:spacing w:val="-2"/>
                <w:sz w:val="22"/>
                <w:szCs w:val="22"/>
              </w:rPr>
              <w:t>249.25</w:t>
            </w:r>
          </w:p>
        </w:tc>
        <w:tc>
          <w:tcPr>
            <w:tcW w:w="1486" w:type="dxa"/>
            <w:vAlign w:val="top"/>
          </w:tcPr>
          <w:p>
            <w:pPr>
              <w:pStyle w:val="28"/>
              <w:spacing w:before="205" w:line="219" w:lineRule="auto"/>
              <w:ind w:left="142"/>
              <w:rPr>
                <w:sz w:val="22"/>
                <w:szCs w:val="22"/>
              </w:rPr>
            </w:pPr>
            <w:r>
              <w:rPr>
                <w:spacing w:val="-2"/>
                <w:sz w:val="22"/>
                <w:szCs w:val="22"/>
              </w:rPr>
              <w:t>张村驿国土资源所</w:t>
            </w:r>
          </w:p>
        </w:tc>
        <w:tc>
          <w:tcPr>
            <w:tcW w:w="486" w:type="dxa"/>
            <w:vAlign w:val="top"/>
          </w:tcPr>
          <w:p>
            <w:pPr>
              <w:pStyle w:val="28"/>
              <w:spacing w:before="205"/>
              <w:ind w:left="286"/>
              <w:rPr>
                <w:sz w:val="22"/>
                <w:szCs w:val="22"/>
              </w:rPr>
            </w:pPr>
            <w:r>
              <w:rPr>
                <w:sz w:val="22"/>
                <w:szCs w:val="22"/>
              </w:rPr>
              <w:t>3</w:t>
            </w:r>
          </w:p>
        </w:tc>
        <w:tc>
          <w:tcPr>
            <w:tcW w:w="540" w:type="dxa"/>
            <w:vAlign w:val="top"/>
          </w:tcPr>
          <w:p>
            <w:pPr>
              <w:pStyle w:val="28"/>
              <w:spacing w:before="205"/>
              <w:ind w:left="320"/>
              <w:rPr>
                <w:sz w:val="22"/>
                <w:szCs w:val="22"/>
              </w:rPr>
            </w:pPr>
            <w:r>
              <w:rPr>
                <w:sz w:val="22"/>
                <w:szCs w:val="22"/>
              </w:rPr>
              <w:t>0</w:t>
            </w:r>
          </w:p>
        </w:tc>
        <w:tc>
          <w:tcPr>
            <w:tcW w:w="771" w:type="dxa"/>
            <w:vAlign w:val="top"/>
          </w:tcPr>
          <w:p>
            <w:pPr>
              <w:pStyle w:val="28"/>
              <w:spacing w:before="204"/>
              <w:rPr>
                <w:sz w:val="22"/>
                <w:szCs w:val="22"/>
              </w:rPr>
            </w:pPr>
            <w:r>
              <w:rPr>
                <w:spacing w:val="-2"/>
                <w:sz w:val="22"/>
                <w:szCs w:val="22"/>
              </w:rPr>
              <w:t>249.25</w:t>
            </w:r>
          </w:p>
        </w:tc>
        <w:tc>
          <w:tcPr>
            <w:tcW w:w="683" w:type="dxa"/>
            <w:vAlign w:val="top"/>
          </w:tcPr>
          <w:p>
            <w:pPr>
              <w:pStyle w:val="28"/>
              <w:spacing w:before="205"/>
              <w:ind w:left="419"/>
              <w:rPr>
                <w:sz w:val="22"/>
                <w:szCs w:val="22"/>
              </w:rPr>
            </w:pPr>
            <w:r>
              <w:rPr>
                <w:sz w:val="22"/>
                <w:szCs w:val="22"/>
              </w:rPr>
              <w:t>0</w:t>
            </w:r>
          </w:p>
        </w:tc>
        <w:tc>
          <w:tcPr>
            <w:tcW w:w="683" w:type="dxa"/>
            <w:vAlign w:val="top"/>
          </w:tcPr>
          <w:p>
            <w:pPr>
              <w:pStyle w:val="28"/>
              <w:spacing w:before="205"/>
              <w:ind w:left="377"/>
              <w:rPr>
                <w:sz w:val="22"/>
                <w:szCs w:val="22"/>
              </w:rPr>
            </w:pPr>
            <w:r>
              <w:rPr>
                <w:spacing w:val="-13"/>
                <w:sz w:val="22"/>
                <w:szCs w:val="22"/>
              </w:rPr>
              <w:t>10</w:t>
            </w:r>
          </w:p>
        </w:tc>
        <w:tc>
          <w:tcPr>
            <w:tcW w:w="1984" w:type="dxa"/>
            <w:vAlign w:val="top"/>
          </w:tcPr>
          <w:p>
            <w:pPr>
              <w:pStyle w:val="28"/>
              <w:spacing w:before="49"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7" w:hRule="atLeast"/>
        </w:trPr>
        <w:tc>
          <w:tcPr>
            <w:tcW w:w="532"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28"/>
              <w:spacing w:before="72" w:line="242" w:lineRule="auto"/>
              <w:ind w:left="315"/>
              <w:rPr>
                <w:sz w:val="22"/>
                <w:szCs w:val="22"/>
              </w:rPr>
            </w:pPr>
            <w:r>
              <w:rPr>
                <w:sz w:val="22"/>
                <w:szCs w:val="22"/>
              </w:rPr>
              <w:t>2</w:t>
            </w:r>
          </w:p>
        </w:tc>
        <w:tc>
          <w:tcPr>
            <w:tcW w:w="1571" w:type="dxa"/>
            <w:vMerge w:val="restart"/>
            <w:tcBorders>
              <w:bottom w:val="nil"/>
            </w:tcBorders>
            <w:vAlign w:val="top"/>
          </w:tcPr>
          <w:p>
            <w:pPr>
              <w:spacing w:line="307" w:lineRule="auto"/>
              <w:rPr>
                <w:rFonts w:ascii="Arial"/>
                <w:sz w:val="21"/>
              </w:rPr>
            </w:pPr>
          </w:p>
          <w:p>
            <w:pPr>
              <w:spacing w:line="307" w:lineRule="auto"/>
              <w:rPr>
                <w:rFonts w:ascii="Arial"/>
                <w:sz w:val="21"/>
              </w:rPr>
            </w:pPr>
          </w:p>
          <w:p>
            <w:pPr>
              <w:spacing w:line="307" w:lineRule="auto"/>
              <w:rPr>
                <w:rFonts w:ascii="Arial"/>
                <w:sz w:val="21"/>
              </w:rPr>
            </w:pPr>
          </w:p>
          <w:p>
            <w:pPr>
              <w:pStyle w:val="28"/>
              <w:spacing w:before="71" w:line="264" w:lineRule="auto"/>
              <w:ind w:left="118" w:right="64" w:firstLine="75"/>
              <w:rPr>
                <w:sz w:val="22"/>
                <w:szCs w:val="22"/>
              </w:rPr>
            </w:pPr>
            <w:r>
              <w:rPr>
                <w:spacing w:val="-1"/>
                <w:sz w:val="22"/>
                <w:szCs w:val="22"/>
              </w:rPr>
              <w:t>城关派出所办公楼</w:t>
            </w:r>
            <w:r>
              <w:rPr>
                <w:spacing w:val="-4"/>
                <w:sz w:val="22"/>
                <w:szCs w:val="22"/>
              </w:rPr>
              <w:t>（教育局、司法局）</w:t>
            </w:r>
          </w:p>
        </w:tc>
        <w:tc>
          <w:tcPr>
            <w:tcW w:w="849" w:type="dxa"/>
            <w:vMerge w:val="restart"/>
            <w:tcBorders>
              <w:bottom w:val="nil"/>
            </w:tcBorders>
            <w:vAlign w:val="top"/>
          </w:tcPr>
          <w:p>
            <w:pPr>
              <w:spacing w:line="269" w:lineRule="auto"/>
              <w:rPr>
                <w:rFonts w:ascii="Arial"/>
                <w:sz w:val="21"/>
              </w:rPr>
            </w:pPr>
          </w:p>
          <w:p>
            <w:pPr>
              <w:spacing w:line="269" w:lineRule="auto"/>
              <w:rPr>
                <w:rFonts w:ascii="Arial"/>
                <w:sz w:val="21"/>
              </w:rPr>
            </w:pPr>
          </w:p>
          <w:p>
            <w:pPr>
              <w:spacing w:line="269" w:lineRule="auto"/>
              <w:rPr>
                <w:rFonts w:ascii="Arial"/>
                <w:sz w:val="21"/>
              </w:rPr>
            </w:pPr>
          </w:p>
          <w:p>
            <w:pPr>
              <w:spacing w:line="269" w:lineRule="auto"/>
              <w:rPr>
                <w:rFonts w:ascii="Arial"/>
                <w:sz w:val="21"/>
              </w:rPr>
            </w:pPr>
          </w:p>
          <w:p>
            <w:pPr>
              <w:pStyle w:val="28"/>
              <w:spacing w:before="71"/>
              <w:ind w:left="268"/>
              <w:rPr>
                <w:sz w:val="22"/>
                <w:szCs w:val="22"/>
              </w:rPr>
            </w:pPr>
            <w:r>
              <w:rPr>
                <w:spacing w:val="-4"/>
                <w:sz w:val="22"/>
                <w:szCs w:val="22"/>
              </w:rPr>
              <w:t>1560.8</w:t>
            </w:r>
          </w:p>
        </w:tc>
        <w:tc>
          <w:tcPr>
            <w:tcW w:w="1486" w:type="dxa"/>
            <w:vAlign w:val="top"/>
          </w:tcPr>
          <w:p>
            <w:pPr>
              <w:pStyle w:val="28"/>
              <w:spacing w:before="204" w:line="220" w:lineRule="auto"/>
              <w:ind w:left="137"/>
              <w:rPr>
                <w:sz w:val="22"/>
                <w:szCs w:val="22"/>
              </w:rPr>
            </w:pPr>
            <w:r>
              <w:rPr>
                <w:spacing w:val="-1"/>
                <w:sz w:val="22"/>
                <w:szCs w:val="22"/>
              </w:rPr>
              <w:t>城关派出所办公楼</w:t>
            </w:r>
          </w:p>
        </w:tc>
        <w:tc>
          <w:tcPr>
            <w:tcW w:w="486" w:type="dxa"/>
            <w:vAlign w:val="top"/>
          </w:tcPr>
          <w:p>
            <w:pPr>
              <w:pStyle w:val="28"/>
              <w:spacing w:before="204" w:line="242" w:lineRule="auto"/>
              <w:ind w:left="281"/>
              <w:rPr>
                <w:sz w:val="22"/>
                <w:szCs w:val="22"/>
              </w:rPr>
            </w:pPr>
            <w:r>
              <w:rPr>
                <w:sz w:val="22"/>
                <w:szCs w:val="22"/>
              </w:rPr>
              <w:t>4</w:t>
            </w:r>
          </w:p>
        </w:tc>
        <w:tc>
          <w:tcPr>
            <w:tcW w:w="540" w:type="dxa"/>
            <w:vAlign w:val="top"/>
          </w:tcPr>
          <w:p>
            <w:pPr>
              <w:pStyle w:val="28"/>
              <w:spacing w:before="204"/>
              <w:ind w:left="320"/>
              <w:rPr>
                <w:sz w:val="22"/>
                <w:szCs w:val="22"/>
              </w:rPr>
            </w:pPr>
            <w:r>
              <w:rPr>
                <w:sz w:val="22"/>
                <w:szCs w:val="22"/>
              </w:rPr>
              <w:t>0</w:t>
            </w:r>
          </w:p>
        </w:tc>
        <w:tc>
          <w:tcPr>
            <w:tcW w:w="771" w:type="dxa"/>
            <w:vAlign w:val="top"/>
          </w:tcPr>
          <w:p>
            <w:pPr>
              <w:pStyle w:val="28"/>
              <w:spacing w:before="204"/>
              <w:ind w:left="163"/>
              <w:rPr>
                <w:sz w:val="22"/>
                <w:szCs w:val="22"/>
              </w:rPr>
            </w:pPr>
            <w:r>
              <w:rPr>
                <w:spacing w:val="-4"/>
                <w:sz w:val="22"/>
                <w:szCs w:val="22"/>
              </w:rPr>
              <w:t>1173.94</w:t>
            </w:r>
          </w:p>
        </w:tc>
        <w:tc>
          <w:tcPr>
            <w:tcW w:w="683" w:type="dxa"/>
            <w:vAlign w:val="top"/>
          </w:tcPr>
          <w:p>
            <w:pPr>
              <w:pStyle w:val="28"/>
              <w:spacing w:before="204"/>
              <w:ind w:left="419"/>
              <w:rPr>
                <w:sz w:val="22"/>
                <w:szCs w:val="22"/>
              </w:rPr>
            </w:pPr>
            <w:r>
              <w:rPr>
                <w:sz w:val="22"/>
                <w:szCs w:val="22"/>
              </w:rPr>
              <w:t>0</w:t>
            </w:r>
          </w:p>
        </w:tc>
        <w:tc>
          <w:tcPr>
            <w:tcW w:w="683" w:type="dxa"/>
            <w:vAlign w:val="top"/>
          </w:tcPr>
          <w:p>
            <w:pPr>
              <w:pStyle w:val="28"/>
              <w:spacing w:before="204"/>
              <w:ind w:left="269"/>
              <w:rPr>
                <w:sz w:val="22"/>
                <w:szCs w:val="22"/>
              </w:rPr>
            </w:pPr>
            <w:r>
              <w:rPr>
                <w:spacing w:val="-6"/>
                <w:sz w:val="22"/>
                <w:szCs w:val="22"/>
              </w:rPr>
              <w:t>14.4</w:t>
            </w:r>
          </w:p>
        </w:tc>
        <w:tc>
          <w:tcPr>
            <w:tcW w:w="1984" w:type="dxa"/>
            <w:vAlign w:val="top"/>
          </w:tcPr>
          <w:p>
            <w:pPr>
              <w:pStyle w:val="28"/>
              <w:spacing w:before="48"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0" w:hRule="atLeast"/>
        </w:trPr>
        <w:tc>
          <w:tcPr>
            <w:tcW w:w="532" w:type="dxa"/>
            <w:vMerge w:val="continue"/>
            <w:tcBorders>
              <w:top w:val="nil"/>
              <w:bottom w:val="nil"/>
            </w:tcBorders>
            <w:vAlign w:val="top"/>
          </w:tcPr>
          <w:p>
            <w:pPr>
              <w:rPr>
                <w:rFonts w:ascii="Arial"/>
                <w:sz w:val="21"/>
              </w:rPr>
            </w:pPr>
          </w:p>
        </w:tc>
        <w:tc>
          <w:tcPr>
            <w:tcW w:w="1571" w:type="dxa"/>
            <w:vMerge w:val="continue"/>
            <w:tcBorders>
              <w:top w:val="nil"/>
              <w:bottom w:val="nil"/>
            </w:tcBorders>
            <w:vAlign w:val="top"/>
          </w:tcPr>
          <w:p>
            <w:pPr>
              <w:rPr>
                <w:rFonts w:ascii="Arial"/>
                <w:sz w:val="21"/>
              </w:rPr>
            </w:pPr>
          </w:p>
        </w:tc>
        <w:tc>
          <w:tcPr>
            <w:tcW w:w="849" w:type="dxa"/>
            <w:vMerge w:val="continue"/>
            <w:tcBorders>
              <w:top w:val="nil"/>
              <w:bottom w:val="nil"/>
            </w:tcBorders>
            <w:vAlign w:val="top"/>
          </w:tcPr>
          <w:p>
            <w:pPr>
              <w:rPr>
                <w:rFonts w:ascii="Arial"/>
                <w:sz w:val="21"/>
              </w:rPr>
            </w:pPr>
          </w:p>
        </w:tc>
        <w:tc>
          <w:tcPr>
            <w:tcW w:w="1486" w:type="dxa"/>
            <w:vAlign w:val="top"/>
          </w:tcPr>
          <w:p>
            <w:pPr>
              <w:pStyle w:val="28"/>
              <w:spacing w:before="205" w:line="221" w:lineRule="auto"/>
              <w:ind w:left="469"/>
              <w:rPr>
                <w:sz w:val="22"/>
                <w:szCs w:val="22"/>
              </w:rPr>
            </w:pPr>
            <w:r>
              <w:rPr>
                <w:spacing w:val="-2"/>
                <w:sz w:val="22"/>
                <w:szCs w:val="22"/>
              </w:rPr>
              <w:t>燃气锅炉房</w:t>
            </w:r>
          </w:p>
        </w:tc>
        <w:tc>
          <w:tcPr>
            <w:tcW w:w="486" w:type="dxa"/>
            <w:vAlign w:val="top"/>
          </w:tcPr>
          <w:p>
            <w:pPr>
              <w:pStyle w:val="28"/>
              <w:spacing w:before="204" w:line="242" w:lineRule="auto"/>
              <w:ind w:left="298"/>
              <w:rPr>
                <w:sz w:val="22"/>
                <w:szCs w:val="22"/>
              </w:rPr>
            </w:pPr>
            <w:r>
              <w:rPr>
                <w:sz w:val="22"/>
                <w:szCs w:val="22"/>
              </w:rPr>
              <w:t>1</w:t>
            </w:r>
          </w:p>
        </w:tc>
        <w:tc>
          <w:tcPr>
            <w:tcW w:w="540" w:type="dxa"/>
            <w:vAlign w:val="top"/>
          </w:tcPr>
          <w:p>
            <w:pPr>
              <w:pStyle w:val="28"/>
              <w:spacing w:before="205"/>
              <w:ind w:left="320"/>
              <w:rPr>
                <w:sz w:val="22"/>
                <w:szCs w:val="22"/>
              </w:rPr>
            </w:pPr>
            <w:r>
              <w:rPr>
                <w:sz w:val="22"/>
                <w:szCs w:val="22"/>
              </w:rPr>
              <w:t>0</w:t>
            </w:r>
          </w:p>
        </w:tc>
        <w:tc>
          <w:tcPr>
            <w:tcW w:w="771" w:type="dxa"/>
            <w:vAlign w:val="top"/>
          </w:tcPr>
          <w:p>
            <w:pPr>
              <w:pStyle w:val="28"/>
              <w:spacing w:before="204"/>
              <w:ind w:left="257"/>
              <w:rPr>
                <w:sz w:val="22"/>
                <w:szCs w:val="22"/>
              </w:rPr>
            </w:pPr>
            <w:r>
              <w:rPr>
                <w:spacing w:val="-2"/>
                <w:sz w:val="22"/>
                <w:szCs w:val="22"/>
              </w:rPr>
              <w:t>45.46</w:t>
            </w:r>
          </w:p>
        </w:tc>
        <w:tc>
          <w:tcPr>
            <w:tcW w:w="683" w:type="dxa"/>
            <w:vAlign w:val="top"/>
          </w:tcPr>
          <w:p>
            <w:pPr>
              <w:pStyle w:val="28"/>
              <w:spacing w:before="205"/>
              <w:ind w:left="419"/>
              <w:rPr>
                <w:sz w:val="22"/>
                <w:szCs w:val="22"/>
              </w:rPr>
            </w:pPr>
            <w:r>
              <w:rPr>
                <w:sz w:val="22"/>
                <w:szCs w:val="22"/>
              </w:rPr>
              <w:t>0</w:t>
            </w:r>
          </w:p>
        </w:tc>
        <w:tc>
          <w:tcPr>
            <w:tcW w:w="683" w:type="dxa"/>
            <w:vAlign w:val="top"/>
          </w:tcPr>
          <w:p>
            <w:pPr>
              <w:pStyle w:val="28"/>
              <w:spacing w:before="204"/>
              <w:ind w:left="307"/>
              <w:rPr>
                <w:sz w:val="22"/>
                <w:szCs w:val="22"/>
              </w:rPr>
            </w:pPr>
            <w:r>
              <w:rPr>
                <w:spacing w:val="-3"/>
                <w:sz w:val="22"/>
                <w:szCs w:val="22"/>
              </w:rPr>
              <w:t>4.5</w:t>
            </w:r>
          </w:p>
        </w:tc>
        <w:tc>
          <w:tcPr>
            <w:tcW w:w="1984" w:type="dxa"/>
            <w:vAlign w:val="top"/>
          </w:tcPr>
          <w:p>
            <w:pPr>
              <w:pStyle w:val="28"/>
              <w:spacing w:before="49"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8" w:hRule="atLeast"/>
        </w:trPr>
        <w:tc>
          <w:tcPr>
            <w:tcW w:w="532" w:type="dxa"/>
            <w:vMerge w:val="continue"/>
            <w:tcBorders>
              <w:top w:val="nil"/>
              <w:bottom w:val="nil"/>
            </w:tcBorders>
            <w:vAlign w:val="top"/>
          </w:tcPr>
          <w:p>
            <w:pPr>
              <w:rPr>
                <w:rFonts w:ascii="Arial"/>
                <w:sz w:val="21"/>
              </w:rPr>
            </w:pPr>
          </w:p>
        </w:tc>
        <w:tc>
          <w:tcPr>
            <w:tcW w:w="1571" w:type="dxa"/>
            <w:vMerge w:val="continue"/>
            <w:tcBorders>
              <w:top w:val="nil"/>
              <w:bottom w:val="nil"/>
            </w:tcBorders>
            <w:vAlign w:val="top"/>
          </w:tcPr>
          <w:p>
            <w:pPr>
              <w:rPr>
                <w:rFonts w:ascii="Arial"/>
                <w:sz w:val="21"/>
              </w:rPr>
            </w:pPr>
          </w:p>
        </w:tc>
        <w:tc>
          <w:tcPr>
            <w:tcW w:w="849" w:type="dxa"/>
            <w:vMerge w:val="continue"/>
            <w:tcBorders>
              <w:top w:val="nil"/>
              <w:bottom w:val="nil"/>
            </w:tcBorders>
            <w:vAlign w:val="top"/>
          </w:tcPr>
          <w:p>
            <w:pPr>
              <w:rPr>
                <w:rFonts w:ascii="Arial"/>
                <w:sz w:val="21"/>
              </w:rPr>
            </w:pPr>
          </w:p>
        </w:tc>
        <w:tc>
          <w:tcPr>
            <w:tcW w:w="1486" w:type="dxa"/>
            <w:vAlign w:val="top"/>
          </w:tcPr>
          <w:p>
            <w:pPr>
              <w:pStyle w:val="28"/>
              <w:spacing w:before="204" w:line="220" w:lineRule="auto"/>
              <w:ind w:left="590"/>
              <w:rPr>
                <w:sz w:val="22"/>
                <w:szCs w:val="22"/>
              </w:rPr>
            </w:pPr>
            <w:r>
              <w:rPr>
                <w:spacing w:val="-6"/>
                <w:sz w:val="22"/>
                <w:szCs w:val="22"/>
              </w:rPr>
              <w:t>院内门房</w:t>
            </w:r>
          </w:p>
        </w:tc>
        <w:tc>
          <w:tcPr>
            <w:tcW w:w="486" w:type="dxa"/>
            <w:vAlign w:val="top"/>
          </w:tcPr>
          <w:p>
            <w:pPr>
              <w:pStyle w:val="28"/>
              <w:spacing w:before="204" w:line="242" w:lineRule="auto"/>
              <w:ind w:left="298"/>
              <w:rPr>
                <w:sz w:val="22"/>
                <w:szCs w:val="22"/>
              </w:rPr>
            </w:pPr>
            <w:r>
              <w:rPr>
                <w:sz w:val="22"/>
                <w:szCs w:val="22"/>
              </w:rPr>
              <w:t>1</w:t>
            </w:r>
          </w:p>
        </w:tc>
        <w:tc>
          <w:tcPr>
            <w:tcW w:w="540" w:type="dxa"/>
            <w:vAlign w:val="top"/>
          </w:tcPr>
          <w:p>
            <w:pPr>
              <w:pStyle w:val="28"/>
              <w:spacing w:before="205"/>
              <w:ind w:left="320"/>
              <w:rPr>
                <w:sz w:val="22"/>
                <w:szCs w:val="22"/>
              </w:rPr>
            </w:pPr>
            <w:r>
              <w:rPr>
                <w:sz w:val="22"/>
                <w:szCs w:val="22"/>
              </w:rPr>
              <w:t>0</w:t>
            </w:r>
          </w:p>
        </w:tc>
        <w:tc>
          <w:tcPr>
            <w:tcW w:w="771" w:type="dxa"/>
            <w:vAlign w:val="top"/>
          </w:tcPr>
          <w:p>
            <w:pPr>
              <w:pStyle w:val="28"/>
              <w:spacing w:before="204"/>
              <w:ind w:left="315"/>
              <w:rPr>
                <w:sz w:val="22"/>
                <w:szCs w:val="22"/>
              </w:rPr>
            </w:pPr>
            <w:r>
              <w:rPr>
                <w:spacing w:val="-3"/>
                <w:sz w:val="22"/>
                <w:szCs w:val="22"/>
              </w:rPr>
              <w:t>21.4</w:t>
            </w:r>
          </w:p>
        </w:tc>
        <w:tc>
          <w:tcPr>
            <w:tcW w:w="683" w:type="dxa"/>
            <w:vAlign w:val="top"/>
          </w:tcPr>
          <w:p>
            <w:pPr>
              <w:pStyle w:val="28"/>
              <w:spacing w:before="205"/>
              <w:ind w:left="419"/>
              <w:rPr>
                <w:sz w:val="22"/>
                <w:szCs w:val="22"/>
              </w:rPr>
            </w:pPr>
            <w:r>
              <w:rPr>
                <w:sz w:val="22"/>
                <w:szCs w:val="22"/>
              </w:rPr>
              <w:t>0</w:t>
            </w:r>
          </w:p>
        </w:tc>
        <w:tc>
          <w:tcPr>
            <w:tcW w:w="683" w:type="dxa"/>
            <w:vAlign w:val="top"/>
          </w:tcPr>
          <w:p>
            <w:pPr>
              <w:pStyle w:val="28"/>
              <w:spacing w:before="204"/>
              <w:ind w:left="307"/>
              <w:rPr>
                <w:sz w:val="22"/>
                <w:szCs w:val="22"/>
              </w:rPr>
            </w:pPr>
            <w:r>
              <w:rPr>
                <w:spacing w:val="-3"/>
                <w:sz w:val="22"/>
                <w:szCs w:val="22"/>
              </w:rPr>
              <w:t>4.5</w:t>
            </w:r>
          </w:p>
        </w:tc>
        <w:tc>
          <w:tcPr>
            <w:tcW w:w="1984" w:type="dxa"/>
            <w:vAlign w:val="top"/>
          </w:tcPr>
          <w:p>
            <w:pPr>
              <w:pStyle w:val="28"/>
              <w:spacing w:before="48"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2" w:hRule="atLeast"/>
        </w:trPr>
        <w:tc>
          <w:tcPr>
            <w:tcW w:w="532" w:type="dxa"/>
            <w:vMerge w:val="continue"/>
            <w:tcBorders>
              <w:top w:val="nil"/>
            </w:tcBorders>
            <w:vAlign w:val="top"/>
          </w:tcPr>
          <w:p>
            <w:pPr>
              <w:rPr>
                <w:rFonts w:ascii="Arial"/>
                <w:sz w:val="21"/>
              </w:rPr>
            </w:pPr>
          </w:p>
        </w:tc>
        <w:tc>
          <w:tcPr>
            <w:tcW w:w="1571" w:type="dxa"/>
            <w:vMerge w:val="continue"/>
            <w:tcBorders>
              <w:top w:val="nil"/>
            </w:tcBorders>
            <w:vAlign w:val="top"/>
          </w:tcPr>
          <w:p>
            <w:pPr>
              <w:rPr>
                <w:rFonts w:ascii="Arial"/>
                <w:sz w:val="21"/>
              </w:rPr>
            </w:pPr>
          </w:p>
        </w:tc>
        <w:tc>
          <w:tcPr>
            <w:tcW w:w="849" w:type="dxa"/>
            <w:vMerge w:val="continue"/>
            <w:tcBorders>
              <w:top w:val="nil"/>
            </w:tcBorders>
            <w:vAlign w:val="top"/>
          </w:tcPr>
          <w:p>
            <w:pPr>
              <w:rPr>
                <w:rFonts w:ascii="Arial"/>
                <w:sz w:val="21"/>
              </w:rPr>
            </w:pPr>
          </w:p>
        </w:tc>
        <w:tc>
          <w:tcPr>
            <w:tcW w:w="1486" w:type="dxa"/>
            <w:vAlign w:val="top"/>
          </w:tcPr>
          <w:p>
            <w:pPr>
              <w:pStyle w:val="28"/>
              <w:spacing w:before="205" w:line="220" w:lineRule="auto"/>
              <w:ind w:left="151"/>
              <w:rPr>
                <w:sz w:val="22"/>
                <w:szCs w:val="22"/>
              </w:rPr>
            </w:pPr>
            <w:r>
              <w:rPr>
                <w:spacing w:val="-5"/>
                <w:sz w:val="22"/>
                <w:szCs w:val="22"/>
              </w:rPr>
              <w:t>院内地上平房</w:t>
            </w:r>
            <w:r>
              <w:rPr>
                <w:spacing w:val="-39"/>
                <w:sz w:val="22"/>
                <w:szCs w:val="22"/>
              </w:rPr>
              <w:t xml:space="preserve"> </w:t>
            </w:r>
            <w:r>
              <w:rPr>
                <w:spacing w:val="-5"/>
                <w:sz w:val="22"/>
                <w:szCs w:val="22"/>
              </w:rPr>
              <w:t>2</w:t>
            </w:r>
            <w:r>
              <w:rPr>
                <w:spacing w:val="-46"/>
                <w:sz w:val="22"/>
                <w:szCs w:val="22"/>
              </w:rPr>
              <w:t xml:space="preserve"> </w:t>
            </w:r>
            <w:r>
              <w:rPr>
                <w:spacing w:val="-5"/>
                <w:sz w:val="22"/>
                <w:szCs w:val="22"/>
              </w:rPr>
              <w:t>栋</w:t>
            </w:r>
          </w:p>
        </w:tc>
        <w:tc>
          <w:tcPr>
            <w:tcW w:w="486" w:type="dxa"/>
            <w:vAlign w:val="top"/>
          </w:tcPr>
          <w:p>
            <w:pPr>
              <w:pStyle w:val="28"/>
              <w:spacing w:before="205" w:line="242" w:lineRule="auto"/>
              <w:ind w:left="298"/>
              <w:rPr>
                <w:sz w:val="22"/>
                <w:szCs w:val="22"/>
              </w:rPr>
            </w:pPr>
            <w:r>
              <w:rPr>
                <w:sz w:val="22"/>
                <w:szCs w:val="22"/>
              </w:rPr>
              <w:t>1</w:t>
            </w:r>
          </w:p>
        </w:tc>
        <w:tc>
          <w:tcPr>
            <w:tcW w:w="540" w:type="dxa"/>
            <w:vAlign w:val="top"/>
          </w:tcPr>
          <w:p>
            <w:pPr>
              <w:pStyle w:val="28"/>
              <w:spacing w:before="205"/>
              <w:ind w:left="320"/>
              <w:rPr>
                <w:sz w:val="22"/>
                <w:szCs w:val="22"/>
              </w:rPr>
            </w:pPr>
            <w:r>
              <w:rPr>
                <w:sz w:val="22"/>
                <w:szCs w:val="22"/>
              </w:rPr>
              <w:t>0</w:t>
            </w:r>
          </w:p>
        </w:tc>
        <w:tc>
          <w:tcPr>
            <w:tcW w:w="771" w:type="dxa"/>
            <w:vAlign w:val="top"/>
          </w:tcPr>
          <w:p>
            <w:pPr>
              <w:pStyle w:val="28"/>
              <w:spacing w:before="205"/>
              <w:ind w:left="372"/>
              <w:rPr>
                <w:sz w:val="22"/>
                <w:szCs w:val="22"/>
              </w:rPr>
            </w:pPr>
            <w:r>
              <w:rPr>
                <w:spacing w:val="-4"/>
                <w:sz w:val="22"/>
                <w:szCs w:val="22"/>
              </w:rPr>
              <w:t>320</w:t>
            </w:r>
          </w:p>
        </w:tc>
        <w:tc>
          <w:tcPr>
            <w:tcW w:w="683" w:type="dxa"/>
            <w:vAlign w:val="top"/>
          </w:tcPr>
          <w:p>
            <w:pPr>
              <w:pStyle w:val="28"/>
              <w:spacing w:before="205"/>
              <w:ind w:left="419"/>
              <w:rPr>
                <w:sz w:val="22"/>
                <w:szCs w:val="22"/>
              </w:rPr>
            </w:pPr>
            <w:r>
              <w:rPr>
                <w:sz w:val="22"/>
                <w:szCs w:val="22"/>
              </w:rPr>
              <w:t>0</w:t>
            </w:r>
          </w:p>
        </w:tc>
        <w:tc>
          <w:tcPr>
            <w:tcW w:w="683" w:type="dxa"/>
            <w:vAlign w:val="top"/>
          </w:tcPr>
          <w:p>
            <w:pPr>
              <w:pStyle w:val="28"/>
              <w:spacing w:before="204"/>
              <w:ind w:left="313"/>
              <w:rPr>
                <w:sz w:val="22"/>
                <w:szCs w:val="22"/>
              </w:rPr>
            </w:pPr>
            <w:r>
              <w:rPr>
                <w:spacing w:val="-5"/>
                <w:sz w:val="22"/>
                <w:szCs w:val="22"/>
              </w:rPr>
              <w:t>7.5</w:t>
            </w:r>
          </w:p>
        </w:tc>
        <w:tc>
          <w:tcPr>
            <w:tcW w:w="1984" w:type="dxa"/>
            <w:vAlign w:val="top"/>
          </w:tcPr>
          <w:p>
            <w:pPr>
              <w:pStyle w:val="28"/>
              <w:spacing w:before="49"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9" w:hRule="atLeast"/>
        </w:trPr>
        <w:tc>
          <w:tcPr>
            <w:tcW w:w="532" w:type="dxa"/>
            <w:vAlign w:val="top"/>
          </w:tcPr>
          <w:p>
            <w:pPr>
              <w:pStyle w:val="28"/>
              <w:spacing w:before="205"/>
              <w:ind w:left="317"/>
              <w:rPr>
                <w:sz w:val="22"/>
                <w:szCs w:val="22"/>
              </w:rPr>
            </w:pPr>
            <w:r>
              <w:rPr>
                <w:sz w:val="22"/>
                <w:szCs w:val="22"/>
              </w:rPr>
              <w:t>3</w:t>
            </w:r>
          </w:p>
        </w:tc>
        <w:tc>
          <w:tcPr>
            <w:tcW w:w="1571" w:type="dxa"/>
            <w:vAlign w:val="top"/>
          </w:tcPr>
          <w:p>
            <w:pPr>
              <w:pStyle w:val="28"/>
              <w:spacing w:before="205" w:line="220" w:lineRule="auto"/>
              <w:ind w:left="309"/>
              <w:rPr>
                <w:sz w:val="22"/>
                <w:szCs w:val="22"/>
              </w:rPr>
            </w:pPr>
            <w:r>
              <w:rPr>
                <w:spacing w:val="-2"/>
                <w:sz w:val="22"/>
                <w:szCs w:val="22"/>
              </w:rPr>
              <w:t>张家湾镇文化站</w:t>
            </w:r>
          </w:p>
        </w:tc>
        <w:tc>
          <w:tcPr>
            <w:tcW w:w="849" w:type="dxa"/>
            <w:vAlign w:val="top"/>
          </w:tcPr>
          <w:p>
            <w:pPr>
              <w:pStyle w:val="28"/>
              <w:spacing w:before="205"/>
              <w:ind w:left="418"/>
              <w:rPr>
                <w:sz w:val="22"/>
                <w:szCs w:val="22"/>
              </w:rPr>
            </w:pPr>
            <w:r>
              <w:rPr>
                <w:spacing w:val="-3"/>
                <w:sz w:val="22"/>
                <w:szCs w:val="22"/>
              </w:rPr>
              <w:t>882</w:t>
            </w:r>
          </w:p>
        </w:tc>
        <w:tc>
          <w:tcPr>
            <w:tcW w:w="1486" w:type="dxa"/>
            <w:vAlign w:val="top"/>
          </w:tcPr>
          <w:p>
            <w:pPr>
              <w:pStyle w:val="28"/>
              <w:spacing w:before="205" w:line="220" w:lineRule="auto"/>
              <w:ind w:left="252"/>
              <w:rPr>
                <w:sz w:val="22"/>
                <w:szCs w:val="22"/>
              </w:rPr>
            </w:pPr>
            <w:r>
              <w:rPr>
                <w:spacing w:val="-2"/>
                <w:sz w:val="22"/>
                <w:szCs w:val="22"/>
              </w:rPr>
              <w:t>张家湾镇文化站</w:t>
            </w:r>
          </w:p>
        </w:tc>
        <w:tc>
          <w:tcPr>
            <w:tcW w:w="486" w:type="dxa"/>
            <w:vAlign w:val="top"/>
          </w:tcPr>
          <w:p>
            <w:pPr>
              <w:pStyle w:val="28"/>
              <w:spacing w:before="204" w:line="242" w:lineRule="auto"/>
              <w:ind w:left="284"/>
              <w:rPr>
                <w:sz w:val="22"/>
                <w:szCs w:val="22"/>
              </w:rPr>
            </w:pPr>
            <w:r>
              <w:rPr>
                <w:sz w:val="22"/>
                <w:szCs w:val="22"/>
              </w:rPr>
              <w:t>2</w:t>
            </w:r>
          </w:p>
        </w:tc>
        <w:tc>
          <w:tcPr>
            <w:tcW w:w="540" w:type="dxa"/>
            <w:vAlign w:val="top"/>
          </w:tcPr>
          <w:p>
            <w:pPr>
              <w:pStyle w:val="28"/>
              <w:spacing w:before="205"/>
              <w:ind w:left="320"/>
              <w:rPr>
                <w:sz w:val="22"/>
                <w:szCs w:val="22"/>
              </w:rPr>
            </w:pPr>
            <w:r>
              <w:rPr>
                <w:sz w:val="22"/>
                <w:szCs w:val="22"/>
              </w:rPr>
              <w:t>0</w:t>
            </w:r>
          </w:p>
        </w:tc>
        <w:tc>
          <w:tcPr>
            <w:tcW w:w="771" w:type="dxa"/>
            <w:vAlign w:val="top"/>
          </w:tcPr>
          <w:p>
            <w:pPr>
              <w:pStyle w:val="28"/>
              <w:spacing w:before="205"/>
              <w:ind w:left="369"/>
              <w:rPr>
                <w:sz w:val="22"/>
                <w:szCs w:val="22"/>
              </w:rPr>
            </w:pPr>
            <w:r>
              <w:rPr>
                <w:spacing w:val="-3"/>
                <w:sz w:val="22"/>
                <w:szCs w:val="22"/>
              </w:rPr>
              <w:t>882</w:t>
            </w:r>
          </w:p>
        </w:tc>
        <w:tc>
          <w:tcPr>
            <w:tcW w:w="683" w:type="dxa"/>
            <w:vAlign w:val="top"/>
          </w:tcPr>
          <w:p>
            <w:pPr>
              <w:pStyle w:val="28"/>
              <w:spacing w:before="205"/>
              <w:ind w:left="419"/>
              <w:rPr>
                <w:sz w:val="22"/>
                <w:szCs w:val="22"/>
              </w:rPr>
            </w:pPr>
            <w:r>
              <w:rPr>
                <w:sz w:val="22"/>
                <w:szCs w:val="22"/>
              </w:rPr>
              <w:t>0</w:t>
            </w:r>
          </w:p>
        </w:tc>
        <w:tc>
          <w:tcPr>
            <w:tcW w:w="683" w:type="dxa"/>
            <w:vAlign w:val="top"/>
          </w:tcPr>
          <w:p>
            <w:pPr>
              <w:pStyle w:val="28"/>
              <w:spacing w:before="205"/>
              <w:ind w:left="417"/>
              <w:rPr>
                <w:sz w:val="22"/>
                <w:szCs w:val="22"/>
              </w:rPr>
            </w:pPr>
            <w:r>
              <w:rPr>
                <w:sz w:val="22"/>
                <w:szCs w:val="22"/>
              </w:rPr>
              <w:t>8</w:t>
            </w:r>
          </w:p>
        </w:tc>
        <w:tc>
          <w:tcPr>
            <w:tcW w:w="1984" w:type="dxa"/>
            <w:vAlign w:val="top"/>
          </w:tcPr>
          <w:p>
            <w:pPr>
              <w:pStyle w:val="28"/>
              <w:spacing w:before="48"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0" w:hRule="atLeast"/>
        </w:trPr>
        <w:tc>
          <w:tcPr>
            <w:tcW w:w="532" w:type="dxa"/>
            <w:vAlign w:val="top"/>
          </w:tcPr>
          <w:p>
            <w:pPr>
              <w:pStyle w:val="28"/>
              <w:spacing w:before="207" w:line="242" w:lineRule="auto"/>
              <w:ind w:left="312"/>
              <w:rPr>
                <w:sz w:val="22"/>
                <w:szCs w:val="22"/>
              </w:rPr>
            </w:pPr>
            <w:r>
              <w:rPr>
                <w:sz w:val="22"/>
                <w:szCs w:val="22"/>
              </w:rPr>
              <w:t>4</w:t>
            </w:r>
          </w:p>
        </w:tc>
        <w:tc>
          <w:tcPr>
            <w:tcW w:w="1571" w:type="dxa"/>
            <w:vAlign w:val="top"/>
          </w:tcPr>
          <w:p>
            <w:pPr>
              <w:pStyle w:val="28"/>
              <w:spacing w:before="208" w:line="220" w:lineRule="auto"/>
              <w:ind w:left="309"/>
              <w:rPr>
                <w:sz w:val="22"/>
                <w:szCs w:val="22"/>
              </w:rPr>
            </w:pPr>
            <w:r>
              <w:rPr>
                <w:spacing w:val="-2"/>
                <w:sz w:val="22"/>
                <w:szCs w:val="22"/>
              </w:rPr>
              <w:t>牛武镇活动中心</w:t>
            </w:r>
          </w:p>
        </w:tc>
        <w:tc>
          <w:tcPr>
            <w:tcW w:w="849" w:type="dxa"/>
            <w:vAlign w:val="top"/>
          </w:tcPr>
          <w:p>
            <w:pPr>
              <w:pStyle w:val="28"/>
              <w:spacing w:before="208"/>
              <w:ind w:left="421"/>
              <w:rPr>
                <w:sz w:val="22"/>
                <w:szCs w:val="22"/>
              </w:rPr>
            </w:pPr>
            <w:r>
              <w:rPr>
                <w:spacing w:val="-4"/>
                <w:sz w:val="22"/>
                <w:szCs w:val="22"/>
              </w:rPr>
              <w:t>500</w:t>
            </w:r>
          </w:p>
        </w:tc>
        <w:tc>
          <w:tcPr>
            <w:tcW w:w="1486" w:type="dxa"/>
            <w:vAlign w:val="top"/>
          </w:tcPr>
          <w:p>
            <w:pPr>
              <w:pStyle w:val="28"/>
              <w:spacing w:before="208" w:line="220" w:lineRule="auto"/>
              <w:ind w:left="252"/>
              <w:rPr>
                <w:sz w:val="22"/>
                <w:szCs w:val="22"/>
              </w:rPr>
            </w:pPr>
            <w:r>
              <w:rPr>
                <w:spacing w:val="-2"/>
                <w:sz w:val="22"/>
                <w:szCs w:val="22"/>
              </w:rPr>
              <w:t>牛武镇活动中心</w:t>
            </w:r>
          </w:p>
        </w:tc>
        <w:tc>
          <w:tcPr>
            <w:tcW w:w="486" w:type="dxa"/>
            <w:vAlign w:val="top"/>
          </w:tcPr>
          <w:p>
            <w:pPr>
              <w:pStyle w:val="28"/>
              <w:spacing w:before="207" w:line="242" w:lineRule="auto"/>
              <w:ind w:left="284"/>
              <w:rPr>
                <w:sz w:val="22"/>
                <w:szCs w:val="22"/>
              </w:rPr>
            </w:pPr>
            <w:r>
              <w:rPr>
                <w:sz w:val="22"/>
                <w:szCs w:val="22"/>
              </w:rPr>
              <w:t>2</w:t>
            </w:r>
          </w:p>
        </w:tc>
        <w:tc>
          <w:tcPr>
            <w:tcW w:w="540" w:type="dxa"/>
            <w:vAlign w:val="top"/>
          </w:tcPr>
          <w:p>
            <w:pPr>
              <w:pStyle w:val="28"/>
              <w:spacing w:before="208"/>
              <w:ind w:left="320"/>
              <w:rPr>
                <w:sz w:val="22"/>
                <w:szCs w:val="22"/>
              </w:rPr>
            </w:pPr>
            <w:r>
              <w:rPr>
                <w:sz w:val="22"/>
                <w:szCs w:val="22"/>
              </w:rPr>
              <w:t>0</w:t>
            </w:r>
          </w:p>
        </w:tc>
        <w:tc>
          <w:tcPr>
            <w:tcW w:w="771" w:type="dxa"/>
            <w:vAlign w:val="top"/>
          </w:tcPr>
          <w:p>
            <w:pPr>
              <w:pStyle w:val="28"/>
              <w:spacing w:before="208"/>
              <w:ind w:left="372"/>
              <w:rPr>
                <w:sz w:val="22"/>
                <w:szCs w:val="22"/>
              </w:rPr>
            </w:pPr>
            <w:r>
              <w:rPr>
                <w:spacing w:val="-4"/>
                <w:sz w:val="22"/>
                <w:szCs w:val="22"/>
              </w:rPr>
              <w:t>500</w:t>
            </w:r>
          </w:p>
        </w:tc>
        <w:tc>
          <w:tcPr>
            <w:tcW w:w="683" w:type="dxa"/>
            <w:vAlign w:val="top"/>
          </w:tcPr>
          <w:p>
            <w:pPr>
              <w:pStyle w:val="28"/>
              <w:spacing w:before="208"/>
              <w:ind w:left="419"/>
              <w:rPr>
                <w:sz w:val="22"/>
                <w:szCs w:val="22"/>
              </w:rPr>
            </w:pPr>
            <w:r>
              <w:rPr>
                <w:sz w:val="22"/>
                <w:szCs w:val="22"/>
              </w:rPr>
              <w:t>0</w:t>
            </w:r>
          </w:p>
        </w:tc>
        <w:tc>
          <w:tcPr>
            <w:tcW w:w="683" w:type="dxa"/>
            <w:vAlign w:val="top"/>
          </w:tcPr>
          <w:p>
            <w:pPr>
              <w:pStyle w:val="28"/>
              <w:spacing w:before="208"/>
              <w:ind w:left="417"/>
              <w:rPr>
                <w:sz w:val="22"/>
                <w:szCs w:val="22"/>
              </w:rPr>
            </w:pPr>
            <w:r>
              <w:rPr>
                <w:sz w:val="22"/>
                <w:szCs w:val="22"/>
              </w:rPr>
              <w:t>8</w:t>
            </w:r>
          </w:p>
        </w:tc>
        <w:tc>
          <w:tcPr>
            <w:tcW w:w="1984" w:type="dxa"/>
            <w:vAlign w:val="top"/>
          </w:tcPr>
          <w:p>
            <w:pPr>
              <w:pStyle w:val="28"/>
              <w:spacing w:before="51" w:line="238"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7" w:hRule="atLeast"/>
        </w:trPr>
        <w:tc>
          <w:tcPr>
            <w:tcW w:w="532" w:type="dxa"/>
            <w:vAlign w:val="top"/>
          </w:tcPr>
          <w:p>
            <w:pPr>
              <w:pStyle w:val="28"/>
              <w:spacing w:before="207"/>
              <w:ind w:left="317"/>
              <w:rPr>
                <w:sz w:val="22"/>
                <w:szCs w:val="22"/>
              </w:rPr>
            </w:pPr>
            <w:r>
              <w:rPr>
                <w:sz w:val="22"/>
                <w:szCs w:val="22"/>
              </w:rPr>
              <w:t>5</w:t>
            </w:r>
          </w:p>
        </w:tc>
        <w:tc>
          <w:tcPr>
            <w:tcW w:w="1571" w:type="dxa"/>
            <w:vAlign w:val="top"/>
          </w:tcPr>
          <w:p>
            <w:pPr>
              <w:pStyle w:val="28"/>
              <w:spacing w:before="207" w:line="220" w:lineRule="auto"/>
              <w:ind w:left="413"/>
              <w:rPr>
                <w:sz w:val="22"/>
                <w:szCs w:val="22"/>
              </w:rPr>
            </w:pPr>
            <w:r>
              <w:rPr>
                <w:spacing w:val="-2"/>
                <w:sz w:val="22"/>
                <w:szCs w:val="22"/>
              </w:rPr>
              <w:t>直罗镇文化站</w:t>
            </w:r>
          </w:p>
        </w:tc>
        <w:tc>
          <w:tcPr>
            <w:tcW w:w="849" w:type="dxa"/>
            <w:vAlign w:val="top"/>
          </w:tcPr>
          <w:p>
            <w:pPr>
              <w:pStyle w:val="28"/>
              <w:spacing w:before="207"/>
              <w:ind w:left="477"/>
              <w:rPr>
                <w:sz w:val="22"/>
                <w:szCs w:val="22"/>
              </w:rPr>
            </w:pPr>
            <w:r>
              <w:rPr>
                <w:spacing w:val="-7"/>
                <w:sz w:val="22"/>
                <w:szCs w:val="22"/>
              </w:rPr>
              <w:t>75</w:t>
            </w:r>
          </w:p>
        </w:tc>
        <w:tc>
          <w:tcPr>
            <w:tcW w:w="1486" w:type="dxa"/>
            <w:vAlign w:val="top"/>
          </w:tcPr>
          <w:p>
            <w:pPr>
              <w:pStyle w:val="28"/>
              <w:spacing w:before="207" w:line="220" w:lineRule="auto"/>
              <w:ind w:left="359"/>
              <w:rPr>
                <w:sz w:val="22"/>
                <w:szCs w:val="22"/>
              </w:rPr>
            </w:pPr>
            <w:r>
              <w:rPr>
                <w:spacing w:val="-2"/>
                <w:sz w:val="22"/>
                <w:szCs w:val="22"/>
              </w:rPr>
              <w:t>直罗镇文化站</w:t>
            </w:r>
          </w:p>
        </w:tc>
        <w:tc>
          <w:tcPr>
            <w:tcW w:w="486" w:type="dxa"/>
            <w:vAlign w:val="top"/>
          </w:tcPr>
          <w:p>
            <w:pPr>
              <w:pStyle w:val="28"/>
              <w:spacing w:before="207" w:line="242" w:lineRule="auto"/>
              <w:ind w:left="298"/>
              <w:rPr>
                <w:sz w:val="22"/>
                <w:szCs w:val="22"/>
              </w:rPr>
            </w:pPr>
            <w:r>
              <w:rPr>
                <w:sz w:val="22"/>
                <w:szCs w:val="22"/>
              </w:rPr>
              <w:t>1</w:t>
            </w:r>
          </w:p>
        </w:tc>
        <w:tc>
          <w:tcPr>
            <w:tcW w:w="540" w:type="dxa"/>
            <w:vAlign w:val="top"/>
          </w:tcPr>
          <w:p>
            <w:pPr>
              <w:pStyle w:val="28"/>
              <w:spacing w:before="207"/>
              <w:ind w:left="320"/>
              <w:rPr>
                <w:sz w:val="22"/>
                <w:szCs w:val="22"/>
              </w:rPr>
            </w:pPr>
            <w:r>
              <w:rPr>
                <w:sz w:val="22"/>
                <w:szCs w:val="22"/>
              </w:rPr>
              <w:t>0</w:t>
            </w:r>
          </w:p>
        </w:tc>
        <w:tc>
          <w:tcPr>
            <w:tcW w:w="771" w:type="dxa"/>
            <w:vAlign w:val="top"/>
          </w:tcPr>
          <w:p>
            <w:pPr>
              <w:pStyle w:val="28"/>
              <w:spacing w:before="207"/>
              <w:ind w:left="426"/>
              <w:rPr>
                <w:sz w:val="22"/>
                <w:szCs w:val="22"/>
              </w:rPr>
            </w:pPr>
            <w:r>
              <w:rPr>
                <w:spacing w:val="-7"/>
                <w:sz w:val="22"/>
                <w:szCs w:val="22"/>
              </w:rPr>
              <w:t>75</w:t>
            </w:r>
          </w:p>
        </w:tc>
        <w:tc>
          <w:tcPr>
            <w:tcW w:w="683" w:type="dxa"/>
            <w:vAlign w:val="top"/>
          </w:tcPr>
          <w:p>
            <w:pPr>
              <w:pStyle w:val="28"/>
              <w:spacing w:before="207"/>
              <w:ind w:left="419"/>
              <w:rPr>
                <w:sz w:val="22"/>
                <w:szCs w:val="22"/>
              </w:rPr>
            </w:pPr>
            <w:r>
              <w:rPr>
                <w:sz w:val="22"/>
                <w:szCs w:val="22"/>
              </w:rPr>
              <w:t>0</w:t>
            </w:r>
          </w:p>
        </w:tc>
        <w:tc>
          <w:tcPr>
            <w:tcW w:w="683" w:type="dxa"/>
            <w:vAlign w:val="top"/>
          </w:tcPr>
          <w:p>
            <w:pPr>
              <w:pStyle w:val="28"/>
              <w:spacing w:before="207" w:line="242" w:lineRule="auto"/>
              <w:ind w:left="415"/>
              <w:rPr>
                <w:sz w:val="22"/>
                <w:szCs w:val="22"/>
              </w:rPr>
            </w:pPr>
            <w:r>
              <w:rPr>
                <w:sz w:val="22"/>
                <w:szCs w:val="22"/>
              </w:rPr>
              <w:t>4</w:t>
            </w:r>
          </w:p>
        </w:tc>
        <w:tc>
          <w:tcPr>
            <w:tcW w:w="1984" w:type="dxa"/>
            <w:vAlign w:val="top"/>
          </w:tcPr>
          <w:p>
            <w:pPr>
              <w:pStyle w:val="28"/>
              <w:spacing w:before="51" w:line="238"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532" w:type="dxa"/>
            <w:vAlign w:val="top"/>
          </w:tcPr>
          <w:p>
            <w:pPr>
              <w:pStyle w:val="28"/>
              <w:spacing w:before="207"/>
              <w:ind w:left="314"/>
              <w:rPr>
                <w:sz w:val="22"/>
                <w:szCs w:val="22"/>
              </w:rPr>
            </w:pPr>
            <w:r>
              <w:rPr>
                <w:sz w:val="22"/>
                <w:szCs w:val="22"/>
              </w:rPr>
              <w:t>6</w:t>
            </w:r>
          </w:p>
        </w:tc>
        <w:tc>
          <w:tcPr>
            <w:tcW w:w="1571" w:type="dxa"/>
            <w:vAlign w:val="top"/>
          </w:tcPr>
          <w:p>
            <w:pPr>
              <w:pStyle w:val="28"/>
              <w:spacing w:before="207" w:line="219" w:lineRule="auto"/>
              <w:ind w:left="309"/>
              <w:rPr>
                <w:sz w:val="22"/>
                <w:szCs w:val="22"/>
              </w:rPr>
            </w:pPr>
            <w:r>
              <w:rPr>
                <w:spacing w:val="-2"/>
                <w:sz w:val="22"/>
                <w:szCs w:val="22"/>
              </w:rPr>
              <w:t>张村驿镇文化站</w:t>
            </w:r>
          </w:p>
        </w:tc>
        <w:tc>
          <w:tcPr>
            <w:tcW w:w="849" w:type="dxa"/>
            <w:vAlign w:val="top"/>
          </w:tcPr>
          <w:p>
            <w:pPr>
              <w:pStyle w:val="28"/>
              <w:spacing w:before="207"/>
              <w:ind w:left="420"/>
              <w:rPr>
                <w:sz w:val="22"/>
                <w:szCs w:val="22"/>
              </w:rPr>
            </w:pPr>
            <w:r>
              <w:rPr>
                <w:spacing w:val="-4"/>
                <w:sz w:val="22"/>
                <w:szCs w:val="22"/>
              </w:rPr>
              <w:t>200</w:t>
            </w:r>
          </w:p>
        </w:tc>
        <w:tc>
          <w:tcPr>
            <w:tcW w:w="1486" w:type="dxa"/>
            <w:vAlign w:val="top"/>
          </w:tcPr>
          <w:p>
            <w:pPr>
              <w:pStyle w:val="28"/>
              <w:spacing w:before="207" w:line="219" w:lineRule="auto"/>
              <w:ind w:left="252"/>
              <w:rPr>
                <w:sz w:val="22"/>
                <w:szCs w:val="22"/>
              </w:rPr>
            </w:pPr>
            <w:r>
              <w:rPr>
                <w:spacing w:val="-2"/>
                <w:sz w:val="22"/>
                <w:szCs w:val="22"/>
              </w:rPr>
              <w:t>张村驿镇文化站</w:t>
            </w:r>
          </w:p>
        </w:tc>
        <w:tc>
          <w:tcPr>
            <w:tcW w:w="486" w:type="dxa"/>
            <w:vAlign w:val="top"/>
          </w:tcPr>
          <w:p>
            <w:pPr>
              <w:pStyle w:val="28"/>
              <w:spacing w:before="206" w:line="242" w:lineRule="auto"/>
              <w:ind w:left="298"/>
              <w:rPr>
                <w:sz w:val="22"/>
                <w:szCs w:val="22"/>
              </w:rPr>
            </w:pPr>
            <w:r>
              <w:rPr>
                <w:sz w:val="22"/>
                <w:szCs w:val="22"/>
              </w:rPr>
              <w:t>1</w:t>
            </w:r>
          </w:p>
        </w:tc>
        <w:tc>
          <w:tcPr>
            <w:tcW w:w="540" w:type="dxa"/>
            <w:vAlign w:val="top"/>
          </w:tcPr>
          <w:p>
            <w:pPr>
              <w:pStyle w:val="28"/>
              <w:spacing w:before="207"/>
              <w:ind w:left="320"/>
              <w:rPr>
                <w:sz w:val="22"/>
                <w:szCs w:val="22"/>
              </w:rPr>
            </w:pPr>
            <w:r>
              <w:rPr>
                <w:sz w:val="22"/>
                <w:szCs w:val="22"/>
              </w:rPr>
              <w:t>0</w:t>
            </w:r>
          </w:p>
        </w:tc>
        <w:tc>
          <w:tcPr>
            <w:tcW w:w="771" w:type="dxa"/>
            <w:vAlign w:val="top"/>
          </w:tcPr>
          <w:p>
            <w:pPr>
              <w:pStyle w:val="28"/>
              <w:spacing w:before="207"/>
              <w:ind w:left="371"/>
              <w:rPr>
                <w:sz w:val="22"/>
                <w:szCs w:val="22"/>
              </w:rPr>
            </w:pPr>
            <w:r>
              <w:rPr>
                <w:spacing w:val="-4"/>
                <w:sz w:val="22"/>
                <w:szCs w:val="22"/>
              </w:rPr>
              <w:t>200</w:t>
            </w:r>
          </w:p>
        </w:tc>
        <w:tc>
          <w:tcPr>
            <w:tcW w:w="683" w:type="dxa"/>
            <w:vAlign w:val="top"/>
          </w:tcPr>
          <w:p>
            <w:pPr>
              <w:pStyle w:val="28"/>
              <w:spacing w:before="207"/>
              <w:ind w:left="419"/>
              <w:rPr>
                <w:sz w:val="22"/>
                <w:szCs w:val="22"/>
              </w:rPr>
            </w:pPr>
            <w:r>
              <w:rPr>
                <w:sz w:val="22"/>
                <w:szCs w:val="22"/>
              </w:rPr>
              <w:t>0</w:t>
            </w:r>
          </w:p>
        </w:tc>
        <w:tc>
          <w:tcPr>
            <w:tcW w:w="683" w:type="dxa"/>
            <w:vAlign w:val="top"/>
          </w:tcPr>
          <w:p>
            <w:pPr>
              <w:pStyle w:val="28"/>
              <w:spacing w:before="206" w:line="242" w:lineRule="auto"/>
              <w:ind w:left="415"/>
              <w:rPr>
                <w:sz w:val="22"/>
                <w:szCs w:val="22"/>
              </w:rPr>
            </w:pPr>
            <w:r>
              <w:rPr>
                <w:sz w:val="22"/>
                <w:szCs w:val="22"/>
              </w:rPr>
              <w:t>4</w:t>
            </w:r>
          </w:p>
        </w:tc>
        <w:tc>
          <w:tcPr>
            <w:tcW w:w="1984" w:type="dxa"/>
            <w:vAlign w:val="top"/>
          </w:tcPr>
          <w:p>
            <w:pPr>
              <w:pStyle w:val="28"/>
              <w:spacing w:before="51"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bl>
    <w:p>
      <w:pPr>
        <w:pStyle w:val="7"/>
      </w:pPr>
    </w:p>
    <w:p>
      <w:pPr>
        <w:sectPr>
          <w:footerReference r:id="rId8" w:type="default"/>
          <w:pgSz w:w="11906" w:h="16839"/>
          <w:pgMar w:top="937" w:right="1151" w:bottom="936" w:left="1012" w:header="0" w:footer="987" w:gutter="0"/>
          <w:cols w:space="720" w:num="1"/>
        </w:sectPr>
      </w:pPr>
    </w:p>
    <w:p>
      <w:pPr>
        <w:spacing w:before="21"/>
      </w:pPr>
    </w:p>
    <w:p>
      <w:pPr>
        <w:spacing w:before="21"/>
      </w:pPr>
    </w:p>
    <w:p>
      <w:pPr>
        <w:spacing w:before="21"/>
      </w:pPr>
    </w:p>
    <w:tbl>
      <w:tblPr>
        <w:tblStyle w:val="27"/>
        <w:tblW w:w="949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4"/>
        <w:gridCol w:w="1608"/>
        <w:gridCol w:w="868"/>
        <w:gridCol w:w="1521"/>
        <w:gridCol w:w="498"/>
        <w:gridCol w:w="553"/>
        <w:gridCol w:w="790"/>
        <w:gridCol w:w="699"/>
        <w:gridCol w:w="699"/>
        <w:gridCol w:w="17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544" w:type="dxa"/>
            <w:vAlign w:val="top"/>
          </w:tcPr>
          <w:p>
            <w:pPr>
              <w:spacing w:line="247" w:lineRule="auto"/>
              <w:rPr>
                <w:rFonts w:ascii="Arial"/>
                <w:sz w:val="21"/>
              </w:rPr>
            </w:pPr>
          </w:p>
          <w:p>
            <w:pPr>
              <w:pStyle w:val="28"/>
              <w:spacing w:before="71"/>
              <w:ind w:left="318"/>
              <w:rPr>
                <w:sz w:val="22"/>
                <w:szCs w:val="22"/>
              </w:rPr>
            </w:pPr>
            <w:r>
              <w:rPr>
                <w:sz w:val="22"/>
                <w:szCs w:val="22"/>
              </w:rPr>
              <w:t>7</w:t>
            </w:r>
          </w:p>
        </w:tc>
        <w:tc>
          <w:tcPr>
            <w:tcW w:w="1608" w:type="dxa"/>
            <w:vAlign w:val="top"/>
          </w:tcPr>
          <w:p>
            <w:pPr>
              <w:spacing w:line="246" w:lineRule="auto"/>
              <w:rPr>
                <w:rFonts w:ascii="Arial"/>
                <w:sz w:val="21"/>
              </w:rPr>
            </w:pPr>
          </w:p>
          <w:p>
            <w:pPr>
              <w:pStyle w:val="28"/>
              <w:spacing w:before="72" w:line="220" w:lineRule="auto"/>
              <w:ind w:left="304"/>
              <w:rPr>
                <w:sz w:val="22"/>
                <w:szCs w:val="22"/>
              </w:rPr>
            </w:pPr>
            <w:r>
              <w:rPr>
                <w:spacing w:val="-2"/>
                <w:sz w:val="22"/>
                <w:szCs w:val="22"/>
              </w:rPr>
              <w:t>寺仙镇活动中心</w:t>
            </w:r>
          </w:p>
        </w:tc>
        <w:tc>
          <w:tcPr>
            <w:tcW w:w="868" w:type="dxa"/>
            <w:vAlign w:val="top"/>
          </w:tcPr>
          <w:p>
            <w:pPr>
              <w:spacing w:line="246" w:lineRule="auto"/>
              <w:rPr>
                <w:rFonts w:ascii="Arial"/>
                <w:sz w:val="21"/>
              </w:rPr>
            </w:pPr>
          </w:p>
          <w:p>
            <w:pPr>
              <w:pStyle w:val="28"/>
              <w:spacing w:before="71"/>
              <w:ind w:left="256"/>
              <w:rPr>
                <w:sz w:val="22"/>
                <w:szCs w:val="22"/>
              </w:rPr>
            </w:pPr>
            <w:r>
              <w:rPr>
                <w:spacing w:val="-2"/>
                <w:sz w:val="22"/>
                <w:szCs w:val="22"/>
              </w:rPr>
              <w:t>524.94</w:t>
            </w:r>
          </w:p>
        </w:tc>
        <w:tc>
          <w:tcPr>
            <w:tcW w:w="1521" w:type="dxa"/>
            <w:vAlign w:val="top"/>
          </w:tcPr>
          <w:p>
            <w:pPr>
              <w:spacing w:line="246" w:lineRule="auto"/>
              <w:rPr>
                <w:rFonts w:ascii="Arial"/>
                <w:sz w:val="21"/>
              </w:rPr>
            </w:pPr>
          </w:p>
          <w:p>
            <w:pPr>
              <w:pStyle w:val="28"/>
              <w:spacing w:before="72" w:line="220" w:lineRule="auto"/>
              <w:ind w:left="247"/>
              <w:rPr>
                <w:sz w:val="22"/>
                <w:szCs w:val="22"/>
              </w:rPr>
            </w:pPr>
            <w:r>
              <w:rPr>
                <w:spacing w:val="-2"/>
                <w:sz w:val="22"/>
                <w:szCs w:val="22"/>
              </w:rPr>
              <w:t>寺仙镇活动中心</w:t>
            </w:r>
          </w:p>
        </w:tc>
        <w:tc>
          <w:tcPr>
            <w:tcW w:w="498" w:type="dxa"/>
            <w:vAlign w:val="top"/>
          </w:tcPr>
          <w:p>
            <w:pPr>
              <w:spacing w:line="246" w:lineRule="auto"/>
              <w:rPr>
                <w:rFonts w:ascii="Arial"/>
                <w:sz w:val="21"/>
              </w:rPr>
            </w:pPr>
          </w:p>
          <w:p>
            <w:pPr>
              <w:pStyle w:val="28"/>
              <w:spacing w:before="72" w:line="242" w:lineRule="auto"/>
              <w:ind w:left="284"/>
              <w:rPr>
                <w:sz w:val="22"/>
                <w:szCs w:val="22"/>
              </w:rPr>
            </w:pPr>
            <w:r>
              <w:rPr>
                <w:sz w:val="22"/>
                <w:szCs w:val="22"/>
              </w:rPr>
              <w:t>2</w:t>
            </w:r>
          </w:p>
        </w:tc>
        <w:tc>
          <w:tcPr>
            <w:tcW w:w="553" w:type="dxa"/>
            <w:vAlign w:val="top"/>
          </w:tcPr>
          <w:p>
            <w:pPr>
              <w:spacing w:line="247" w:lineRule="auto"/>
              <w:rPr>
                <w:rFonts w:ascii="Arial"/>
                <w:sz w:val="21"/>
              </w:rPr>
            </w:pPr>
          </w:p>
          <w:p>
            <w:pPr>
              <w:pStyle w:val="28"/>
              <w:spacing w:before="71"/>
              <w:ind w:left="320"/>
              <w:rPr>
                <w:sz w:val="22"/>
                <w:szCs w:val="22"/>
              </w:rPr>
            </w:pPr>
            <w:r>
              <w:rPr>
                <w:sz w:val="22"/>
                <w:szCs w:val="22"/>
              </w:rPr>
              <w:t>0</w:t>
            </w:r>
          </w:p>
        </w:tc>
        <w:tc>
          <w:tcPr>
            <w:tcW w:w="790" w:type="dxa"/>
            <w:vAlign w:val="top"/>
          </w:tcPr>
          <w:p>
            <w:pPr>
              <w:spacing w:line="246" w:lineRule="auto"/>
              <w:rPr>
                <w:rFonts w:ascii="Arial"/>
                <w:sz w:val="21"/>
              </w:rPr>
            </w:pPr>
          </w:p>
          <w:p>
            <w:pPr>
              <w:pStyle w:val="28"/>
              <w:spacing w:before="71"/>
              <w:ind w:left="207"/>
              <w:rPr>
                <w:sz w:val="22"/>
                <w:szCs w:val="22"/>
              </w:rPr>
            </w:pPr>
            <w:r>
              <w:rPr>
                <w:spacing w:val="-2"/>
                <w:sz w:val="22"/>
                <w:szCs w:val="22"/>
              </w:rPr>
              <w:t>524.94</w:t>
            </w:r>
          </w:p>
        </w:tc>
        <w:tc>
          <w:tcPr>
            <w:tcW w:w="699" w:type="dxa"/>
            <w:vAlign w:val="top"/>
          </w:tcPr>
          <w:p>
            <w:pPr>
              <w:spacing w:line="247" w:lineRule="auto"/>
              <w:rPr>
                <w:rFonts w:ascii="Arial"/>
                <w:sz w:val="21"/>
              </w:rPr>
            </w:pPr>
          </w:p>
          <w:p>
            <w:pPr>
              <w:pStyle w:val="28"/>
              <w:spacing w:before="71"/>
              <w:ind w:left="419"/>
              <w:rPr>
                <w:sz w:val="22"/>
                <w:szCs w:val="22"/>
              </w:rPr>
            </w:pPr>
            <w:r>
              <w:rPr>
                <w:sz w:val="22"/>
                <w:szCs w:val="22"/>
              </w:rPr>
              <w:t>0</w:t>
            </w:r>
          </w:p>
        </w:tc>
        <w:tc>
          <w:tcPr>
            <w:tcW w:w="699" w:type="dxa"/>
            <w:vAlign w:val="top"/>
          </w:tcPr>
          <w:p>
            <w:pPr>
              <w:spacing w:line="247" w:lineRule="auto"/>
              <w:rPr>
                <w:rFonts w:ascii="Arial"/>
                <w:sz w:val="21"/>
              </w:rPr>
            </w:pPr>
          </w:p>
          <w:p>
            <w:pPr>
              <w:pStyle w:val="28"/>
              <w:spacing w:before="71"/>
              <w:ind w:left="417"/>
              <w:rPr>
                <w:sz w:val="22"/>
                <w:szCs w:val="22"/>
              </w:rPr>
            </w:pPr>
            <w:r>
              <w:rPr>
                <w:sz w:val="22"/>
                <w:szCs w:val="22"/>
              </w:rPr>
              <w:t>8</w:t>
            </w:r>
          </w:p>
        </w:tc>
        <w:tc>
          <w:tcPr>
            <w:tcW w:w="1715" w:type="dxa"/>
            <w:vAlign w:val="top"/>
          </w:tcPr>
          <w:p>
            <w:pPr>
              <w:pStyle w:val="28"/>
              <w:spacing w:before="163"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2" w:hRule="atLeast"/>
        </w:trPr>
        <w:tc>
          <w:tcPr>
            <w:tcW w:w="544" w:type="dxa"/>
            <w:vAlign w:val="top"/>
          </w:tcPr>
          <w:p>
            <w:pPr>
              <w:spacing w:line="242" w:lineRule="auto"/>
              <w:rPr>
                <w:rFonts w:ascii="Arial"/>
                <w:sz w:val="21"/>
              </w:rPr>
            </w:pPr>
          </w:p>
          <w:p>
            <w:pPr>
              <w:pStyle w:val="28"/>
              <w:spacing w:before="71"/>
              <w:ind w:left="313"/>
              <w:rPr>
                <w:sz w:val="22"/>
                <w:szCs w:val="22"/>
              </w:rPr>
            </w:pPr>
            <w:r>
              <w:rPr>
                <w:sz w:val="22"/>
                <w:szCs w:val="22"/>
              </w:rPr>
              <w:t>8</w:t>
            </w:r>
          </w:p>
        </w:tc>
        <w:tc>
          <w:tcPr>
            <w:tcW w:w="1608" w:type="dxa"/>
            <w:vAlign w:val="top"/>
          </w:tcPr>
          <w:p>
            <w:pPr>
              <w:pStyle w:val="28"/>
              <w:spacing w:before="159" w:line="264" w:lineRule="auto"/>
              <w:ind w:left="749" w:right="186" w:hanging="556"/>
              <w:rPr>
                <w:sz w:val="22"/>
                <w:szCs w:val="22"/>
              </w:rPr>
            </w:pPr>
            <w:r>
              <w:rPr>
                <w:spacing w:val="-1"/>
                <w:sz w:val="22"/>
                <w:szCs w:val="22"/>
              </w:rPr>
              <w:t>寺仙正街财政所办</w:t>
            </w:r>
            <w:r>
              <w:rPr>
                <w:spacing w:val="-5"/>
                <w:sz w:val="22"/>
                <w:szCs w:val="22"/>
              </w:rPr>
              <w:t>公用房</w:t>
            </w:r>
          </w:p>
        </w:tc>
        <w:tc>
          <w:tcPr>
            <w:tcW w:w="868" w:type="dxa"/>
            <w:vAlign w:val="top"/>
          </w:tcPr>
          <w:p>
            <w:pPr>
              <w:spacing w:line="242" w:lineRule="auto"/>
              <w:rPr>
                <w:rFonts w:ascii="Arial"/>
                <w:sz w:val="21"/>
              </w:rPr>
            </w:pPr>
          </w:p>
          <w:p>
            <w:pPr>
              <w:pStyle w:val="28"/>
              <w:spacing w:before="71"/>
              <w:ind w:left="433"/>
              <w:rPr>
                <w:sz w:val="22"/>
                <w:szCs w:val="22"/>
              </w:rPr>
            </w:pPr>
            <w:r>
              <w:rPr>
                <w:spacing w:val="-8"/>
                <w:sz w:val="22"/>
                <w:szCs w:val="22"/>
              </w:rPr>
              <w:t>140</w:t>
            </w:r>
          </w:p>
        </w:tc>
        <w:tc>
          <w:tcPr>
            <w:tcW w:w="1521" w:type="dxa"/>
            <w:vAlign w:val="top"/>
          </w:tcPr>
          <w:p>
            <w:pPr>
              <w:pStyle w:val="28"/>
              <w:spacing w:before="159" w:line="264" w:lineRule="auto"/>
              <w:ind w:left="693" w:right="126" w:hanging="556"/>
              <w:rPr>
                <w:sz w:val="22"/>
                <w:szCs w:val="22"/>
              </w:rPr>
            </w:pPr>
            <w:r>
              <w:rPr>
                <w:spacing w:val="-1"/>
                <w:sz w:val="22"/>
                <w:szCs w:val="22"/>
              </w:rPr>
              <w:t>寺仙正街财政所办</w:t>
            </w:r>
            <w:r>
              <w:rPr>
                <w:spacing w:val="-5"/>
                <w:sz w:val="22"/>
                <w:szCs w:val="22"/>
              </w:rPr>
              <w:t>公用房</w:t>
            </w:r>
          </w:p>
        </w:tc>
        <w:tc>
          <w:tcPr>
            <w:tcW w:w="498" w:type="dxa"/>
            <w:vAlign w:val="top"/>
          </w:tcPr>
          <w:p>
            <w:pPr>
              <w:spacing w:line="241" w:lineRule="auto"/>
              <w:rPr>
                <w:rFonts w:ascii="Arial"/>
                <w:sz w:val="21"/>
              </w:rPr>
            </w:pPr>
          </w:p>
          <w:p>
            <w:pPr>
              <w:pStyle w:val="28"/>
              <w:spacing w:before="72" w:line="242" w:lineRule="auto"/>
              <w:ind w:left="284"/>
              <w:rPr>
                <w:sz w:val="22"/>
                <w:szCs w:val="22"/>
              </w:rPr>
            </w:pPr>
            <w:r>
              <w:rPr>
                <w:sz w:val="22"/>
                <w:szCs w:val="22"/>
              </w:rPr>
              <w:t>2</w:t>
            </w:r>
          </w:p>
        </w:tc>
        <w:tc>
          <w:tcPr>
            <w:tcW w:w="553" w:type="dxa"/>
            <w:vAlign w:val="top"/>
          </w:tcPr>
          <w:p>
            <w:pPr>
              <w:spacing w:line="242" w:lineRule="auto"/>
              <w:rPr>
                <w:rFonts w:ascii="Arial"/>
                <w:sz w:val="21"/>
              </w:rPr>
            </w:pPr>
          </w:p>
          <w:p>
            <w:pPr>
              <w:pStyle w:val="28"/>
              <w:spacing w:before="71"/>
              <w:ind w:left="320"/>
              <w:rPr>
                <w:sz w:val="22"/>
                <w:szCs w:val="22"/>
              </w:rPr>
            </w:pPr>
            <w:r>
              <w:rPr>
                <w:sz w:val="22"/>
                <w:szCs w:val="22"/>
              </w:rPr>
              <w:t>0</w:t>
            </w:r>
          </w:p>
        </w:tc>
        <w:tc>
          <w:tcPr>
            <w:tcW w:w="790" w:type="dxa"/>
            <w:vAlign w:val="top"/>
          </w:tcPr>
          <w:p>
            <w:pPr>
              <w:spacing w:line="242" w:lineRule="auto"/>
              <w:rPr>
                <w:rFonts w:ascii="Arial"/>
                <w:sz w:val="21"/>
              </w:rPr>
            </w:pPr>
          </w:p>
          <w:p>
            <w:pPr>
              <w:pStyle w:val="28"/>
              <w:spacing w:before="71"/>
              <w:ind w:left="384"/>
              <w:rPr>
                <w:sz w:val="22"/>
                <w:szCs w:val="22"/>
              </w:rPr>
            </w:pPr>
            <w:r>
              <w:rPr>
                <w:spacing w:val="-8"/>
                <w:sz w:val="22"/>
                <w:szCs w:val="22"/>
              </w:rPr>
              <w:t>140</w:t>
            </w:r>
          </w:p>
        </w:tc>
        <w:tc>
          <w:tcPr>
            <w:tcW w:w="699" w:type="dxa"/>
            <w:vAlign w:val="top"/>
          </w:tcPr>
          <w:p>
            <w:pPr>
              <w:spacing w:line="242" w:lineRule="auto"/>
              <w:rPr>
                <w:rFonts w:ascii="Arial"/>
                <w:sz w:val="21"/>
              </w:rPr>
            </w:pPr>
          </w:p>
          <w:p>
            <w:pPr>
              <w:pStyle w:val="28"/>
              <w:spacing w:before="71"/>
              <w:ind w:left="419"/>
              <w:rPr>
                <w:sz w:val="22"/>
                <w:szCs w:val="22"/>
              </w:rPr>
            </w:pPr>
            <w:r>
              <w:rPr>
                <w:sz w:val="22"/>
                <w:szCs w:val="22"/>
              </w:rPr>
              <w:t>0</w:t>
            </w:r>
          </w:p>
        </w:tc>
        <w:tc>
          <w:tcPr>
            <w:tcW w:w="699" w:type="dxa"/>
            <w:vAlign w:val="top"/>
          </w:tcPr>
          <w:p>
            <w:pPr>
              <w:spacing w:line="241" w:lineRule="auto"/>
              <w:rPr>
                <w:rFonts w:ascii="Arial"/>
                <w:sz w:val="21"/>
              </w:rPr>
            </w:pPr>
          </w:p>
          <w:p>
            <w:pPr>
              <w:pStyle w:val="28"/>
              <w:spacing w:before="72"/>
              <w:ind w:left="313"/>
              <w:rPr>
                <w:sz w:val="22"/>
                <w:szCs w:val="22"/>
              </w:rPr>
            </w:pPr>
            <w:r>
              <w:rPr>
                <w:spacing w:val="-5"/>
                <w:sz w:val="22"/>
                <w:szCs w:val="22"/>
              </w:rPr>
              <w:t>7.7</w:t>
            </w:r>
          </w:p>
        </w:tc>
        <w:tc>
          <w:tcPr>
            <w:tcW w:w="1715" w:type="dxa"/>
            <w:vAlign w:val="top"/>
          </w:tcPr>
          <w:p>
            <w:pPr>
              <w:pStyle w:val="28"/>
              <w:spacing w:before="158"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5" w:hRule="atLeast"/>
        </w:trPr>
        <w:tc>
          <w:tcPr>
            <w:tcW w:w="544" w:type="dxa"/>
            <w:vAlign w:val="top"/>
          </w:tcPr>
          <w:p>
            <w:pPr>
              <w:spacing w:line="244" w:lineRule="auto"/>
              <w:rPr>
                <w:rFonts w:ascii="Arial"/>
                <w:sz w:val="21"/>
              </w:rPr>
            </w:pPr>
          </w:p>
          <w:p>
            <w:pPr>
              <w:pStyle w:val="28"/>
              <w:spacing w:before="72"/>
              <w:ind w:left="313"/>
              <w:rPr>
                <w:sz w:val="22"/>
                <w:szCs w:val="22"/>
              </w:rPr>
            </w:pPr>
            <w:r>
              <w:rPr>
                <w:sz w:val="22"/>
                <w:szCs w:val="22"/>
              </w:rPr>
              <w:t>9</w:t>
            </w:r>
          </w:p>
        </w:tc>
        <w:tc>
          <w:tcPr>
            <w:tcW w:w="1608" w:type="dxa"/>
            <w:vAlign w:val="top"/>
          </w:tcPr>
          <w:p>
            <w:pPr>
              <w:spacing w:line="245" w:lineRule="auto"/>
              <w:rPr>
                <w:rFonts w:ascii="Arial"/>
                <w:sz w:val="21"/>
              </w:rPr>
            </w:pPr>
          </w:p>
          <w:p>
            <w:pPr>
              <w:pStyle w:val="28"/>
              <w:spacing w:before="71" w:line="219" w:lineRule="auto"/>
              <w:ind w:left="417"/>
              <w:rPr>
                <w:sz w:val="22"/>
                <w:szCs w:val="22"/>
              </w:rPr>
            </w:pPr>
            <w:r>
              <w:rPr>
                <w:spacing w:val="-3"/>
                <w:sz w:val="22"/>
                <w:szCs w:val="22"/>
              </w:rPr>
              <w:t>张村驿派出所</w:t>
            </w:r>
          </w:p>
        </w:tc>
        <w:tc>
          <w:tcPr>
            <w:tcW w:w="868" w:type="dxa"/>
            <w:vAlign w:val="top"/>
          </w:tcPr>
          <w:p>
            <w:pPr>
              <w:spacing w:line="244" w:lineRule="auto"/>
              <w:rPr>
                <w:rFonts w:ascii="Arial"/>
                <w:sz w:val="21"/>
              </w:rPr>
            </w:pPr>
          </w:p>
          <w:p>
            <w:pPr>
              <w:pStyle w:val="28"/>
              <w:spacing w:before="71"/>
              <w:ind w:left="250"/>
              <w:rPr>
                <w:sz w:val="22"/>
                <w:szCs w:val="22"/>
              </w:rPr>
            </w:pPr>
            <w:r>
              <w:rPr>
                <w:spacing w:val="-1"/>
                <w:sz w:val="22"/>
                <w:szCs w:val="22"/>
              </w:rPr>
              <w:t>454.26</w:t>
            </w:r>
          </w:p>
        </w:tc>
        <w:tc>
          <w:tcPr>
            <w:tcW w:w="1521" w:type="dxa"/>
            <w:vAlign w:val="top"/>
          </w:tcPr>
          <w:p>
            <w:pPr>
              <w:spacing w:line="244" w:lineRule="auto"/>
              <w:rPr>
                <w:rFonts w:ascii="Arial"/>
                <w:sz w:val="21"/>
              </w:rPr>
            </w:pPr>
          </w:p>
          <w:p>
            <w:pPr>
              <w:pStyle w:val="28"/>
              <w:spacing w:before="72" w:line="220" w:lineRule="auto"/>
              <w:ind w:left="691"/>
              <w:rPr>
                <w:sz w:val="22"/>
                <w:szCs w:val="22"/>
              </w:rPr>
            </w:pPr>
            <w:r>
              <w:rPr>
                <w:spacing w:val="-4"/>
                <w:sz w:val="22"/>
                <w:szCs w:val="22"/>
              </w:rPr>
              <w:t>办公楼</w:t>
            </w:r>
          </w:p>
        </w:tc>
        <w:tc>
          <w:tcPr>
            <w:tcW w:w="498" w:type="dxa"/>
            <w:vAlign w:val="top"/>
          </w:tcPr>
          <w:p>
            <w:pPr>
              <w:spacing w:line="244" w:lineRule="auto"/>
              <w:rPr>
                <w:rFonts w:ascii="Arial"/>
                <w:sz w:val="21"/>
              </w:rPr>
            </w:pPr>
          </w:p>
          <w:p>
            <w:pPr>
              <w:pStyle w:val="28"/>
              <w:spacing w:before="71" w:line="242" w:lineRule="auto"/>
              <w:ind w:left="284"/>
              <w:rPr>
                <w:sz w:val="22"/>
                <w:szCs w:val="22"/>
              </w:rPr>
            </w:pPr>
            <w:r>
              <w:rPr>
                <w:sz w:val="22"/>
                <w:szCs w:val="22"/>
              </w:rPr>
              <w:t>2</w:t>
            </w:r>
          </w:p>
        </w:tc>
        <w:tc>
          <w:tcPr>
            <w:tcW w:w="553" w:type="dxa"/>
            <w:vAlign w:val="top"/>
          </w:tcPr>
          <w:p>
            <w:pPr>
              <w:spacing w:line="244" w:lineRule="auto"/>
              <w:rPr>
                <w:rFonts w:ascii="Arial"/>
                <w:sz w:val="21"/>
              </w:rPr>
            </w:pPr>
          </w:p>
          <w:p>
            <w:pPr>
              <w:pStyle w:val="28"/>
              <w:spacing w:before="72"/>
              <w:ind w:left="320"/>
              <w:rPr>
                <w:sz w:val="22"/>
                <w:szCs w:val="22"/>
              </w:rPr>
            </w:pPr>
            <w:r>
              <w:rPr>
                <w:sz w:val="22"/>
                <w:szCs w:val="22"/>
              </w:rPr>
              <w:t>0</w:t>
            </w:r>
          </w:p>
        </w:tc>
        <w:tc>
          <w:tcPr>
            <w:tcW w:w="790" w:type="dxa"/>
            <w:vAlign w:val="top"/>
          </w:tcPr>
          <w:p>
            <w:pPr>
              <w:spacing w:line="244" w:lineRule="auto"/>
              <w:rPr>
                <w:rFonts w:ascii="Arial"/>
                <w:sz w:val="21"/>
              </w:rPr>
            </w:pPr>
          </w:p>
          <w:p>
            <w:pPr>
              <w:pStyle w:val="28"/>
              <w:spacing w:before="71"/>
              <w:ind w:left="201"/>
              <w:rPr>
                <w:sz w:val="22"/>
                <w:szCs w:val="22"/>
              </w:rPr>
            </w:pPr>
            <w:r>
              <w:rPr>
                <w:spacing w:val="-1"/>
                <w:sz w:val="22"/>
                <w:szCs w:val="22"/>
              </w:rPr>
              <w:t>454.26</w:t>
            </w:r>
          </w:p>
        </w:tc>
        <w:tc>
          <w:tcPr>
            <w:tcW w:w="699" w:type="dxa"/>
            <w:vAlign w:val="top"/>
          </w:tcPr>
          <w:p>
            <w:pPr>
              <w:spacing w:line="244" w:lineRule="auto"/>
              <w:rPr>
                <w:rFonts w:ascii="Arial"/>
                <w:sz w:val="21"/>
              </w:rPr>
            </w:pPr>
          </w:p>
          <w:p>
            <w:pPr>
              <w:pStyle w:val="28"/>
              <w:spacing w:before="72"/>
              <w:ind w:left="419"/>
              <w:rPr>
                <w:sz w:val="22"/>
                <w:szCs w:val="22"/>
              </w:rPr>
            </w:pPr>
            <w:r>
              <w:rPr>
                <w:sz w:val="22"/>
                <w:szCs w:val="22"/>
              </w:rPr>
              <w:t>0</w:t>
            </w:r>
          </w:p>
        </w:tc>
        <w:tc>
          <w:tcPr>
            <w:tcW w:w="699" w:type="dxa"/>
            <w:vAlign w:val="top"/>
          </w:tcPr>
          <w:p>
            <w:pPr>
              <w:spacing w:line="244" w:lineRule="auto"/>
              <w:rPr>
                <w:rFonts w:ascii="Arial"/>
                <w:sz w:val="21"/>
              </w:rPr>
            </w:pPr>
          </w:p>
          <w:p>
            <w:pPr>
              <w:pStyle w:val="28"/>
              <w:spacing w:before="72"/>
              <w:ind w:left="418"/>
              <w:rPr>
                <w:sz w:val="22"/>
                <w:szCs w:val="22"/>
              </w:rPr>
            </w:pPr>
            <w:r>
              <w:rPr>
                <w:sz w:val="22"/>
                <w:szCs w:val="22"/>
              </w:rPr>
              <w:t>6</w:t>
            </w:r>
          </w:p>
        </w:tc>
        <w:tc>
          <w:tcPr>
            <w:tcW w:w="1715" w:type="dxa"/>
            <w:vAlign w:val="top"/>
          </w:tcPr>
          <w:p>
            <w:pPr>
              <w:pStyle w:val="28"/>
              <w:spacing w:before="161"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7" w:hRule="atLeast"/>
        </w:trPr>
        <w:tc>
          <w:tcPr>
            <w:tcW w:w="544" w:type="dxa"/>
            <w:vAlign w:val="top"/>
          </w:tcPr>
          <w:p>
            <w:pPr>
              <w:spacing w:line="245" w:lineRule="auto"/>
              <w:rPr>
                <w:rFonts w:ascii="Arial"/>
                <w:sz w:val="21"/>
              </w:rPr>
            </w:pPr>
          </w:p>
          <w:p>
            <w:pPr>
              <w:pStyle w:val="28"/>
              <w:spacing w:before="71"/>
              <w:ind w:left="274"/>
              <w:rPr>
                <w:sz w:val="22"/>
                <w:szCs w:val="22"/>
              </w:rPr>
            </w:pPr>
            <w:r>
              <w:rPr>
                <w:spacing w:val="-13"/>
                <w:sz w:val="22"/>
                <w:szCs w:val="22"/>
              </w:rPr>
              <w:t>10</w:t>
            </w:r>
          </w:p>
        </w:tc>
        <w:tc>
          <w:tcPr>
            <w:tcW w:w="1608" w:type="dxa"/>
            <w:vAlign w:val="top"/>
          </w:tcPr>
          <w:p>
            <w:pPr>
              <w:spacing w:line="245" w:lineRule="auto"/>
              <w:rPr>
                <w:rFonts w:ascii="Arial"/>
                <w:sz w:val="21"/>
              </w:rPr>
            </w:pPr>
          </w:p>
          <w:p>
            <w:pPr>
              <w:pStyle w:val="28"/>
              <w:spacing w:before="71" w:line="219" w:lineRule="auto"/>
              <w:ind w:left="199"/>
              <w:rPr>
                <w:sz w:val="22"/>
                <w:szCs w:val="22"/>
              </w:rPr>
            </w:pPr>
            <w:r>
              <w:rPr>
                <w:spacing w:val="-2"/>
                <w:sz w:val="22"/>
                <w:szCs w:val="22"/>
              </w:rPr>
              <w:t>张村驿镇交警中队</w:t>
            </w:r>
          </w:p>
        </w:tc>
        <w:tc>
          <w:tcPr>
            <w:tcW w:w="868" w:type="dxa"/>
            <w:vAlign w:val="top"/>
          </w:tcPr>
          <w:p>
            <w:pPr>
              <w:spacing w:line="245" w:lineRule="auto"/>
              <w:rPr>
                <w:rFonts w:ascii="Arial"/>
                <w:sz w:val="21"/>
              </w:rPr>
            </w:pPr>
          </w:p>
          <w:p>
            <w:pPr>
              <w:pStyle w:val="28"/>
              <w:spacing w:before="71"/>
              <w:ind w:left="421"/>
              <w:rPr>
                <w:sz w:val="22"/>
                <w:szCs w:val="22"/>
              </w:rPr>
            </w:pPr>
            <w:r>
              <w:rPr>
                <w:spacing w:val="-4"/>
                <w:sz w:val="22"/>
                <w:szCs w:val="22"/>
              </w:rPr>
              <w:t>300</w:t>
            </w:r>
          </w:p>
        </w:tc>
        <w:tc>
          <w:tcPr>
            <w:tcW w:w="1521" w:type="dxa"/>
            <w:vAlign w:val="top"/>
          </w:tcPr>
          <w:p>
            <w:pPr>
              <w:spacing w:line="244" w:lineRule="auto"/>
              <w:rPr>
                <w:rFonts w:ascii="Arial"/>
                <w:sz w:val="21"/>
              </w:rPr>
            </w:pPr>
          </w:p>
          <w:p>
            <w:pPr>
              <w:pStyle w:val="28"/>
              <w:spacing w:before="72" w:line="220" w:lineRule="auto"/>
              <w:ind w:left="691"/>
              <w:rPr>
                <w:sz w:val="22"/>
                <w:szCs w:val="22"/>
              </w:rPr>
            </w:pPr>
            <w:r>
              <w:rPr>
                <w:spacing w:val="-4"/>
                <w:sz w:val="22"/>
                <w:szCs w:val="22"/>
              </w:rPr>
              <w:t>办公楼</w:t>
            </w:r>
          </w:p>
        </w:tc>
        <w:tc>
          <w:tcPr>
            <w:tcW w:w="498" w:type="dxa"/>
            <w:vAlign w:val="top"/>
          </w:tcPr>
          <w:p>
            <w:pPr>
              <w:spacing w:line="244" w:lineRule="auto"/>
              <w:rPr>
                <w:rFonts w:ascii="Arial"/>
                <w:sz w:val="21"/>
              </w:rPr>
            </w:pPr>
          </w:p>
          <w:p>
            <w:pPr>
              <w:pStyle w:val="28"/>
              <w:spacing w:before="72" w:line="242" w:lineRule="auto"/>
              <w:ind w:left="284"/>
              <w:rPr>
                <w:sz w:val="22"/>
                <w:szCs w:val="22"/>
              </w:rPr>
            </w:pPr>
            <w:r>
              <w:rPr>
                <w:sz w:val="22"/>
                <w:szCs w:val="22"/>
              </w:rPr>
              <w:t>2</w:t>
            </w:r>
          </w:p>
        </w:tc>
        <w:tc>
          <w:tcPr>
            <w:tcW w:w="553" w:type="dxa"/>
            <w:vAlign w:val="top"/>
          </w:tcPr>
          <w:p>
            <w:pPr>
              <w:spacing w:line="245" w:lineRule="auto"/>
              <w:rPr>
                <w:rFonts w:ascii="Arial"/>
                <w:sz w:val="21"/>
              </w:rPr>
            </w:pPr>
          </w:p>
          <w:p>
            <w:pPr>
              <w:pStyle w:val="28"/>
              <w:spacing w:before="71"/>
              <w:ind w:left="320"/>
              <w:rPr>
                <w:sz w:val="22"/>
                <w:szCs w:val="22"/>
              </w:rPr>
            </w:pPr>
            <w:r>
              <w:rPr>
                <w:sz w:val="22"/>
                <w:szCs w:val="22"/>
              </w:rPr>
              <w:t>0</w:t>
            </w:r>
          </w:p>
        </w:tc>
        <w:tc>
          <w:tcPr>
            <w:tcW w:w="790" w:type="dxa"/>
            <w:vAlign w:val="top"/>
          </w:tcPr>
          <w:p>
            <w:pPr>
              <w:spacing w:line="245" w:lineRule="auto"/>
              <w:rPr>
                <w:rFonts w:ascii="Arial"/>
                <w:sz w:val="21"/>
              </w:rPr>
            </w:pPr>
          </w:p>
          <w:p>
            <w:pPr>
              <w:pStyle w:val="28"/>
              <w:spacing w:before="71"/>
              <w:ind w:left="372"/>
              <w:rPr>
                <w:sz w:val="22"/>
                <w:szCs w:val="22"/>
              </w:rPr>
            </w:pPr>
            <w:r>
              <w:rPr>
                <w:spacing w:val="-4"/>
                <w:sz w:val="22"/>
                <w:szCs w:val="22"/>
              </w:rPr>
              <w:t>300</w:t>
            </w:r>
          </w:p>
        </w:tc>
        <w:tc>
          <w:tcPr>
            <w:tcW w:w="699" w:type="dxa"/>
            <w:vAlign w:val="top"/>
          </w:tcPr>
          <w:p>
            <w:pPr>
              <w:spacing w:line="245" w:lineRule="auto"/>
              <w:rPr>
                <w:rFonts w:ascii="Arial"/>
                <w:sz w:val="21"/>
              </w:rPr>
            </w:pPr>
          </w:p>
          <w:p>
            <w:pPr>
              <w:pStyle w:val="28"/>
              <w:spacing w:before="71"/>
              <w:ind w:left="419"/>
              <w:rPr>
                <w:sz w:val="22"/>
                <w:szCs w:val="22"/>
              </w:rPr>
            </w:pPr>
            <w:r>
              <w:rPr>
                <w:sz w:val="22"/>
                <w:szCs w:val="22"/>
              </w:rPr>
              <w:t>0</w:t>
            </w:r>
          </w:p>
        </w:tc>
        <w:tc>
          <w:tcPr>
            <w:tcW w:w="699" w:type="dxa"/>
            <w:vAlign w:val="top"/>
          </w:tcPr>
          <w:p>
            <w:pPr>
              <w:spacing w:line="245" w:lineRule="auto"/>
              <w:rPr>
                <w:rFonts w:ascii="Arial"/>
                <w:sz w:val="21"/>
              </w:rPr>
            </w:pPr>
          </w:p>
          <w:p>
            <w:pPr>
              <w:pStyle w:val="28"/>
              <w:spacing w:before="71"/>
              <w:ind w:left="417"/>
              <w:rPr>
                <w:sz w:val="22"/>
                <w:szCs w:val="22"/>
              </w:rPr>
            </w:pPr>
            <w:r>
              <w:rPr>
                <w:sz w:val="22"/>
                <w:szCs w:val="22"/>
              </w:rPr>
              <w:t>8</w:t>
            </w:r>
          </w:p>
        </w:tc>
        <w:tc>
          <w:tcPr>
            <w:tcW w:w="1715" w:type="dxa"/>
            <w:vAlign w:val="top"/>
          </w:tcPr>
          <w:p>
            <w:pPr>
              <w:pStyle w:val="28"/>
              <w:spacing w:before="161"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9" w:hRule="atLeast"/>
        </w:trPr>
        <w:tc>
          <w:tcPr>
            <w:tcW w:w="544" w:type="dxa"/>
            <w:vAlign w:val="top"/>
          </w:tcPr>
          <w:p>
            <w:pPr>
              <w:spacing w:line="243" w:lineRule="auto"/>
              <w:rPr>
                <w:rFonts w:ascii="Arial"/>
                <w:sz w:val="21"/>
              </w:rPr>
            </w:pPr>
          </w:p>
          <w:p>
            <w:pPr>
              <w:pStyle w:val="28"/>
              <w:spacing w:before="72" w:line="242" w:lineRule="auto"/>
              <w:ind w:left="274"/>
              <w:rPr>
                <w:sz w:val="22"/>
                <w:szCs w:val="22"/>
              </w:rPr>
            </w:pPr>
            <w:r>
              <w:rPr>
                <w:spacing w:val="-13"/>
                <w:sz w:val="22"/>
                <w:szCs w:val="22"/>
              </w:rPr>
              <w:t>11</w:t>
            </w:r>
          </w:p>
        </w:tc>
        <w:tc>
          <w:tcPr>
            <w:tcW w:w="1608" w:type="dxa"/>
            <w:vAlign w:val="top"/>
          </w:tcPr>
          <w:p>
            <w:pPr>
              <w:pStyle w:val="28"/>
              <w:spacing w:before="71" w:line="219" w:lineRule="auto"/>
              <w:ind w:left="199"/>
              <w:rPr>
                <w:spacing w:val="-2"/>
                <w:sz w:val="22"/>
                <w:szCs w:val="22"/>
              </w:rPr>
            </w:pPr>
            <w:r>
              <w:rPr>
                <w:spacing w:val="-2"/>
                <w:sz w:val="22"/>
                <w:szCs w:val="22"/>
              </w:rPr>
              <w:t>北道德乡药检所办公楼</w:t>
            </w:r>
          </w:p>
        </w:tc>
        <w:tc>
          <w:tcPr>
            <w:tcW w:w="868" w:type="dxa"/>
            <w:vAlign w:val="top"/>
          </w:tcPr>
          <w:p>
            <w:pPr>
              <w:spacing w:line="244" w:lineRule="auto"/>
              <w:rPr>
                <w:rFonts w:ascii="Arial"/>
                <w:sz w:val="21"/>
              </w:rPr>
            </w:pPr>
          </w:p>
          <w:p>
            <w:pPr>
              <w:pStyle w:val="28"/>
              <w:spacing w:before="71"/>
              <w:ind w:left="420"/>
              <w:rPr>
                <w:sz w:val="22"/>
                <w:szCs w:val="22"/>
              </w:rPr>
            </w:pPr>
            <w:r>
              <w:rPr>
                <w:spacing w:val="-4"/>
                <w:sz w:val="22"/>
                <w:szCs w:val="22"/>
              </w:rPr>
              <w:t>200</w:t>
            </w:r>
          </w:p>
        </w:tc>
        <w:tc>
          <w:tcPr>
            <w:tcW w:w="1521" w:type="dxa"/>
            <w:vAlign w:val="top"/>
          </w:tcPr>
          <w:p>
            <w:pPr>
              <w:pStyle w:val="28"/>
              <w:spacing w:before="71" w:line="219" w:lineRule="auto"/>
              <w:ind w:left="199"/>
              <w:rPr>
                <w:spacing w:val="-2"/>
                <w:sz w:val="22"/>
                <w:szCs w:val="22"/>
              </w:rPr>
            </w:pPr>
            <w:r>
              <w:rPr>
                <w:spacing w:val="-2"/>
                <w:sz w:val="22"/>
                <w:szCs w:val="22"/>
              </w:rPr>
              <w:t>北道德乡药检所办公楼</w:t>
            </w:r>
          </w:p>
        </w:tc>
        <w:tc>
          <w:tcPr>
            <w:tcW w:w="498" w:type="dxa"/>
            <w:vAlign w:val="top"/>
          </w:tcPr>
          <w:p>
            <w:pPr>
              <w:spacing w:line="243" w:lineRule="auto"/>
              <w:rPr>
                <w:rFonts w:ascii="Arial"/>
                <w:sz w:val="21"/>
              </w:rPr>
            </w:pPr>
          </w:p>
          <w:p>
            <w:pPr>
              <w:pStyle w:val="28"/>
              <w:spacing w:before="72" w:line="242" w:lineRule="auto"/>
              <w:ind w:left="298"/>
              <w:rPr>
                <w:sz w:val="22"/>
                <w:szCs w:val="22"/>
              </w:rPr>
            </w:pPr>
            <w:r>
              <w:rPr>
                <w:sz w:val="22"/>
                <w:szCs w:val="22"/>
              </w:rPr>
              <w:t>1</w:t>
            </w:r>
          </w:p>
        </w:tc>
        <w:tc>
          <w:tcPr>
            <w:tcW w:w="553" w:type="dxa"/>
            <w:vAlign w:val="top"/>
          </w:tcPr>
          <w:p>
            <w:pPr>
              <w:spacing w:line="244" w:lineRule="auto"/>
              <w:rPr>
                <w:rFonts w:ascii="Arial"/>
                <w:sz w:val="21"/>
              </w:rPr>
            </w:pPr>
          </w:p>
          <w:p>
            <w:pPr>
              <w:pStyle w:val="28"/>
              <w:spacing w:before="71"/>
              <w:ind w:left="320"/>
              <w:rPr>
                <w:sz w:val="22"/>
                <w:szCs w:val="22"/>
              </w:rPr>
            </w:pPr>
            <w:r>
              <w:rPr>
                <w:sz w:val="22"/>
                <w:szCs w:val="22"/>
              </w:rPr>
              <w:t>0</w:t>
            </w:r>
          </w:p>
        </w:tc>
        <w:tc>
          <w:tcPr>
            <w:tcW w:w="790" w:type="dxa"/>
            <w:vAlign w:val="top"/>
          </w:tcPr>
          <w:p>
            <w:pPr>
              <w:spacing w:line="244" w:lineRule="auto"/>
              <w:rPr>
                <w:rFonts w:ascii="Arial"/>
                <w:sz w:val="21"/>
              </w:rPr>
            </w:pPr>
          </w:p>
          <w:p>
            <w:pPr>
              <w:pStyle w:val="28"/>
              <w:spacing w:before="71"/>
              <w:ind w:left="371"/>
              <w:rPr>
                <w:sz w:val="22"/>
                <w:szCs w:val="22"/>
              </w:rPr>
            </w:pPr>
            <w:r>
              <w:rPr>
                <w:spacing w:val="-4"/>
                <w:sz w:val="22"/>
                <w:szCs w:val="22"/>
              </w:rPr>
              <w:t>200</w:t>
            </w:r>
          </w:p>
        </w:tc>
        <w:tc>
          <w:tcPr>
            <w:tcW w:w="699" w:type="dxa"/>
            <w:vAlign w:val="top"/>
          </w:tcPr>
          <w:p>
            <w:pPr>
              <w:spacing w:line="244" w:lineRule="auto"/>
              <w:rPr>
                <w:rFonts w:ascii="Arial"/>
                <w:sz w:val="21"/>
              </w:rPr>
            </w:pPr>
          </w:p>
          <w:p>
            <w:pPr>
              <w:pStyle w:val="28"/>
              <w:spacing w:before="71"/>
              <w:ind w:left="419"/>
              <w:rPr>
                <w:sz w:val="22"/>
                <w:szCs w:val="22"/>
              </w:rPr>
            </w:pPr>
            <w:r>
              <w:rPr>
                <w:sz w:val="22"/>
                <w:szCs w:val="22"/>
              </w:rPr>
              <w:t>0</w:t>
            </w:r>
          </w:p>
        </w:tc>
        <w:tc>
          <w:tcPr>
            <w:tcW w:w="699" w:type="dxa"/>
            <w:vAlign w:val="top"/>
          </w:tcPr>
          <w:p>
            <w:pPr>
              <w:spacing w:line="243" w:lineRule="auto"/>
              <w:rPr>
                <w:rFonts w:ascii="Arial"/>
                <w:sz w:val="21"/>
              </w:rPr>
            </w:pPr>
          </w:p>
          <w:p>
            <w:pPr>
              <w:pStyle w:val="28"/>
              <w:spacing w:before="72" w:line="242" w:lineRule="auto"/>
              <w:ind w:left="415"/>
              <w:rPr>
                <w:sz w:val="22"/>
                <w:szCs w:val="22"/>
              </w:rPr>
            </w:pPr>
            <w:r>
              <w:rPr>
                <w:sz w:val="22"/>
                <w:szCs w:val="22"/>
              </w:rPr>
              <w:t>4</w:t>
            </w:r>
          </w:p>
        </w:tc>
        <w:tc>
          <w:tcPr>
            <w:tcW w:w="1715" w:type="dxa"/>
            <w:vAlign w:val="top"/>
          </w:tcPr>
          <w:p>
            <w:pPr>
              <w:pStyle w:val="28"/>
              <w:spacing w:before="160"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8" w:hRule="atLeast"/>
        </w:trPr>
        <w:tc>
          <w:tcPr>
            <w:tcW w:w="544" w:type="dxa"/>
            <w:vAlign w:val="top"/>
          </w:tcPr>
          <w:p>
            <w:pPr>
              <w:spacing w:line="246" w:lineRule="auto"/>
              <w:rPr>
                <w:rFonts w:ascii="Arial"/>
                <w:sz w:val="21"/>
              </w:rPr>
            </w:pPr>
          </w:p>
          <w:p>
            <w:pPr>
              <w:pStyle w:val="28"/>
              <w:spacing w:before="71" w:line="242" w:lineRule="auto"/>
              <w:ind w:left="274"/>
              <w:rPr>
                <w:sz w:val="22"/>
                <w:szCs w:val="22"/>
              </w:rPr>
            </w:pPr>
            <w:r>
              <w:rPr>
                <w:spacing w:val="-13"/>
                <w:sz w:val="22"/>
                <w:szCs w:val="22"/>
              </w:rPr>
              <w:t>12</w:t>
            </w:r>
          </w:p>
        </w:tc>
        <w:tc>
          <w:tcPr>
            <w:tcW w:w="1608" w:type="dxa"/>
            <w:vAlign w:val="top"/>
          </w:tcPr>
          <w:p>
            <w:pPr>
              <w:pStyle w:val="28"/>
              <w:spacing w:before="71" w:line="219" w:lineRule="auto"/>
              <w:ind w:left="199"/>
              <w:rPr>
                <w:spacing w:val="-2"/>
                <w:sz w:val="22"/>
                <w:szCs w:val="22"/>
              </w:rPr>
            </w:pPr>
            <w:r>
              <w:rPr>
                <w:spacing w:val="-2"/>
                <w:sz w:val="22"/>
                <w:szCs w:val="22"/>
              </w:rPr>
              <w:t>北道德乡司法所办公楼</w:t>
            </w:r>
          </w:p>
        </w:tc>
        <w:tc>
          <w:tcPr>
            <w:tcW w:w="868" w:type="dxa"/>
            <w:vAlign w:val="top"/>
          </w:tcPr>
          <w:p>
            <w:pPr>
              <w:spacing w:line="246" w:lineRule="auto"/>
              <w:rPr>
                <w:rFonts w:ascii="Arial"/>
                <w:sz w:val="21"/>
              </w:rPr>
            </w:pPr>
          </w:p>
          <w:p>
            <w:pPr>
              <w:pStyle w:val="28"/>
              <w:spacing w:before="72"/>
              <w:ind w:left="421"/>
              <w:rPr>
                <w:sz w:val="22"/>
                <w:szCs w:val="22"/>
              </w:rPr>
            </w:pPr>
            <w:r>
              <w:rPr>
                <w:spacing w:val="-4"/>
                <w:sz w:val="22"/>
                <w:szCs w:val="22"/>
              </w:rPr>
              <w:t>300</w:t>
            </w:r>
          </w:p>
        </w:tc>
        <w:tc>
          <w:tcPr>
            <w:tcW w:w="1521" w:type="dxa"/>
            <w:vAlign w:val="top"/>
          </w:tcPr>
          <w:p>
            <w:pPr>
              <w:pStyle w:val="28"/>
              <w:spacing w:before="71" w:line="219" w:lineRule="auto"/>
              <w:ind w:left="199"/>
              <w:rPr>
                <w:spacing w:val="-2"/>
                <w:sz w:val="22"/>
                <w:szCs w:val="22"/>
              </w:rPr>
            </w:pPr>
            <w:r>
              <w:rPr>
                <w:spacing w:val="-2"/>
                <w:sz w:val="22"/>
                <w:szCs w:val="22"/>
              </w:rPr>
              <w:t>北道德乡司法所办公楼</w:t>
            </w:r>
          </w:p>
        </w:tc>
        <w:tc>
          <w:tcPr>
            <w:tcW w:w="498" w:type="dxa"/>
            <w:vAlign w:val="top"/>
          </w:tcPr>
          <w:p>
            <w:pPr>
              <w:spacing w:line="246" w:lineRule="auto"/>
              <w:rPr>
                <w:rFonts w:ascii="Arial"/>
                <w:sz w:val="21"/>
              </w:rPr>
            </w:pPr>
          </w:p>
          <w:p>
            <w:pPr>
              <w:pStyle w:val="28"/>
              <w:spacing w:before="71" w:line="242" w:lineRule="auto"/>
              <w:ind w:left="298"/>
              <w:rPr>
                <w:sz w:val="22"/>
                <w:szCs w:val="22"/>
              </w:rPr>
            </w:pPr>
            <w:r>
              <w:rPr>
                <w:sz w:val="22"/>
                <w:szCs w:val="22"/>
              </w:rPr>
              <w:t>1</w:t>
            </w:r>
          </w:p>
        </w:tc>
        <w:tc>
          <w:tcPr>
            <w:tcW w:w="553" w:type="dxa"/>
            <w:vAlign w:val="top"/>
          </w:tcPr>
          <w:p>
            <w:pPr>
              <w:spacing w:line="246" w:lineRule="auto"/>
              <w:rPr>
                <w:rFonts w:ascii="Arial"/>
                <w:sz w:val="21"/>
              </w:rPr>
            </w:pPr>
          </w:p>
          <w:p>
            <w:pPr>
              <w:pStyle w:val="28"/>
              <w:spacing w:before="72"/>
              <w:ind w:left="320"/>
              <w:rPr>
                <w:sz w:val="22"/>
                <w:szCs w:val="22"/>
              </w:rPr>
            </w:pPr>
            <w:r>
              <w:rPr>
                <w:sz w:val="22"/>
                <w:szCs w:val="22"/>
              </w:rPr>
              <w:t>0</w:t>
            </w:r>
          </w:p>
        </w:tc>
        <w:tc>
          <w:tcPr>
            <w:tcW w:w="790" w:type="dxa"/>
            <w:vAlign w:val="top"/>
          </w:tcPr>
          <w:p>
            <w:pPr>
              <w:spacing w:line="246" w:lineRule="auto"/>
              <w:rPr>
                <w:rFonts w:ascii="Arial"/>
                <w:sz w:val="21"/>
              </w:rPr>
            </w:pPr>
          </w:p>
          <w:p>
            <w:pPr>
              <w:pStyle w:val="28"/>
              <w:spacing w:before="72"/>
              <w:ind w:left="372"/>
              <w:rPr>
                <w:sz w:val="22"/>
                <w:szCs w:val="22"/>
              </w:rPr>
            </w:pPr>
            <w:r>
              <w:rPr>
                <w:spacing w:val="-4"/>
                <w:sz w:val="22"/>
                <w:szCs w:val="22"/>
              </w:rPr>
              <w:t>300</w:t>
            </w:r>
          </w:p>
        </w:tc>
        <w:tc>
          <w:tcPr>
            <w:tcW w:w="699" w:type="dxa"/>
            <w:vAlign w:val="top"/>
          </w:tcPr>
          <w:p>
            <w:pPr>
              <w:spacing w:line="246" w:lineRule="auto"/>
              <w:rPr>
                <w:rFonts w:ascii="Arial"/>
                <w:sz w:val="21"/>
              </w:rPr>
            </w:pPr>
          </w:p>
          <w:p>
            <w:pPr>
              <w:pStyle w:val="28"/>
              <w:spacing w:before="72"/>
              <w:ind w:left="419"/>
              <w:rPr>
                <w:sz w:val="22"/>
                <w:szCs w:val="22"/>
              </w:rPr>
            </w:pPr>
            <w:r>
              <w:rPr>
                <w:sz w:val="22"/>
                <w:szCs w:val="22"/>
              </w:rPr>
              <w:t>0</w:t>
            </w:r>
          </w:p>
        </w:tc>
        <w:tc>
          <w:tcPr>
            <w:tcW w:w="699" w:type="dxa"/>
            <w:vAlign w:val="top"/>
          </w:tcPr>
          <w:p>
            <w:pPr>
              <w:spacing w:line="246" w:lineRule="auto"/>
              <w:rPr>
                <w:rFonts w:ascii="Arial"/>
                <w:sz w:val="21"/>
              </w:rPr>
            </w:pPr>
          </w:p>
          <w:p>
            <w:pPr>
              <w:pStyle w:val="28"/>
              <w:spacing w:before="71" w:line="242" w:lineRule="auto"/>
              <w:ind w:left="415"/>
              <w:rPr>
                <w:sz w:val="22"/>
                <w:szCs w:val="22"/>
              </w:rPr>
            </w:pPr>
            <w:r>
              <w:rPr>
                <w:sz w:val="22"/>
                <w:szCs w:val="22"/>
              </w:rPr>
              <w:t>4</w:t>
            </w:r>
          </w:p>
        </w:tc>
        <w:tc>
          <w:tcPr>
            <w:tcW w:w="1715" w:type="dxa"/>
            <w:vAlign w:val="top"/>
          </w:tcPr>
          <w:p>
            <w:pPr>
              <w:pStyle w:val="28"/>
              <w:spacing w:before="163"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4" w:hRule="atLeast"/>
        </w:trPr>
        <w:tc>
          <w:tcPr>
            <w:tcW w:w="544" w:type="dxa"/>
            <w:vAlign w:val="top"/>
          </w:tcPr>
          <w:p>
            <w:pPr>
              <w:spacing w:line="247" w:lineRule="auto"/>
              <w:rPr>
                <w:rFonts w:ascii="Arial"/>
                <w:sz w:val="21"/>
              </w:rPr>
            </w:pPr>
          </w:p>
          <w:p>
            <w:pPr>
              <w:pStyle w:val="28"/>
              <w:spacing w:before="71"/>
              <w:ind w:left="274"/>
              <w:rPr>
                <w:sz w:val="22"/>
                <w:szCs w:val="22"/>
              </w:rPr>
            </w:pPr>
            <w:r>
              <w:rPr>
                <w:spacing w:val="-13"/>
                <w:sz w:val="22"/>
                <w:szCs w:val="22"/>
              </w:rPr>
              <w:t>13</w:t>
            </w:r>
          </w:p>
        </w:tc>
        <w:tc>
          <w:tcPr>
            <w:tcW w:w="1608" w:type="dxa"/>
            <w:vAlign w:val="top"/>
          </w:tcPr>
          <w:p>
            <w:pPr>
              <w:pStyle w:val="28"/>
              <w:spacing w:before="71" w:line="219" w:lineRule="auto"/>
              <w:ind w:left="199"/>
              <w:rPr>
                <w:spacing w:val="-2"/>
                <w:sz w:val="22"/>
                <w:szCs w:val="22"/>
              </w:rPr>
            </w:pPr>
            <w:r>
              <w:rPr>
                <w:spacing w:val="-2"/>
                <w:sz w:val="22"/>
                <w:szCs w:val="22"/>
              </w:rPr>
              <w:t>富县水保生态治理中心</w:t>
            </w:r>
          </w:p>
        </w:tc>
        <w:tc>
          <w:tcPr>
            <w:tcW w:w="868" w:type="dxa"/>
            <w:vAlign w:val="top"/>
          </w:tcPr>
          <w:p>
            <w:pPr>
              <w:spacing w:line="247" w:lineRule="auto"/>
              <w:rPr>
                <w:rFonts w:ascii="Arial"/>
                <w:sz w:val="21"/>
              </w:rPr>
            </w:pPr>
          </w:p>
          <w:p>
            <w:pPr>
              <w:pStyle w:val="28"/>
              <w:spacing w:before="71"/>
              <w:ind w:left="416"/>
              <w:rPr>
                <w:sz w:val="22"/>
                <w:szCs w:val="22"/>
              </w:rPr>
            </w:pPr>
            <w:r>
              <w:rPr>
                <w:spacing w:val="-3"/>
                <w:sz w:val="22"/>
                <w:szCs w:val="22"/>
              </w:rPr>
              <w:t>400</w:t>
            </w:r>
          </w:p>
        </w:tc>
        <w:tc>
          <w:tcPr>
            <w:tcW w:w="1521" w:type="dxa"/>
            <w:vAlign w:val="top"/>
          </w:tcPr>
          <w:p>
            <w:pPr>
              <w:pStyle w:val="28"/>
              <w:spacing w:before="71" w:line="219" w:lineRule="auto"/>
              <w:ind w:left="199"/>
              <w:rPr>
                <w:spacing w:val="-2"/>
                <w:sz w:val="22"/>
                <w:szCs w:val="22"/>
              </w:rPr>
            </w:pPr>
            <w:r>
              <w:rPr>
                <w:spacing w:val="-2"/>
                <w:sz w:val="22"/>
                <w:szCs w:val="22"/>
              </w:rPr>
              <w:t>富县水保生态治理中心</w:t>
            </w:r>
          </w:p>
        </w:tc>
        <w:tc>
          <w:tcPr>
            <w:tcW w:w="498" w:type="dxa"/>
            <w:vAlign w:val="top"/>
          </w:tcPr>
          <w:p>
            <w:pPr>
              <w:spacing w:line="247" w:lineRule="auto"/>
              <w:rPr>
                <w:rFonts w:ascii="Arial"/>
                <w:sz w:val="21"/>
              </w:rPr>
            </w:pPr>
          </w:p>
          <w:p>
            <w:pPr>
              <w:pStyle w:val="28"/>
              <w:spacing w:before="71"/>
              <w:ind w:left="286"/>
              <w:rPr>
                <w:sz w:val="22"/>
                <w:szCs w:val="22"/>
              </w:rPr>
            </w:pPr>
            <w:r>
              <w:rPr>
                <w:sz w:val="22"/>
                <w:szCs w:val="22"/>
              </w:rPr>
              <w:t>3</w:t>
            </w:r>
          </w:p>
        </w:tc>
        <w:tc>
          <w:tcPr>
            <w:tcW w:w="553" w:type="dxa"/>
            <w:vAlign w:val="top"/>
          </w:tcPr>
          <w:p>
            <w:pPr>
              <w:spacing w:line="247" w:lineRule="auto"/>
              <w:rPr>
                <w:rFonts w:ascii="Arial"/>
                <w:sz w:val="21"/>
              </w:rPr>
            </w:pPr>
          </w:p>
          <w:p>
            <w:pPr>
              <w:pStyle w:val="28"/>
              <w:spacing w:before="71"/>
              <w:ind w:left="320"/>
              <w:rPr>
                <w:sz w:val="22"/>
                <w:szCs w:val="22"/>
              </w:rPr>
            </w:pPr>
            <w:r>
              <w:rPr>
                <w:sz w:val="22"/>
                <w:szCs w:val="22"/>
              </w:rPr>
              <w:t>0</w:t>
            </w:r>
          </w:p>
        </w:tc>
        <w:tc>
          <w:tcPr>
            <w:tcW w:w="790" w:type="dxa"/>
            <w:vAlign w:val="top"/>
          </w:tcPr>
          <w:p>
            <w:pPr>
              <w:spacing w:line="247" w:lineRule="auto"/>
              <w:rPr>
                <w:rFonts w:ascii="Arial"/>
                <w:sz w:val="21"/>
              </w:rPr>
            </w:pPr>
          </w:p>
          <w:p>
            <w:pPr>
              <w:pStyle w:val="28"/>
              <w:spacing w:before="71"/>
              <w:ind w:left="367"/>
              <w:rPr>
                <w:sz w:val="22"/>
                <w:szCs w:val="22"/>
              </w:rPr>
            </w:pPr>
            <w:r>
              <w:rPr>
                <w:spacing w:val="-3"/>
                <w:sz w:val="22"/>
                <w:szCs w:val="22"/>
              </w:rPr>
              <w:t>400</w:t>
            </w:r>
          </w:p>
        </w:tc>
        <w:tc>
          <w:tcPr>
            <w:tcW w:w="699" w:type="dxa"/>
            <w:vAlign w:val="top"/>
          </w:tcPr>
          <w:p>
            <w:pPr>
              <w:spacing w:line="247" w:lineRule="auto"/>
              <w:rPr>
                <w:rFonts w:ascii="Arial"/>
                <w:sz w:val="21"/>
              </w:rPr>
            </w:pPr>
          </w:p>
          <w:p>
            <w:pPr>
              <w:pStyle w:val="28"/>
              <w:spacing w:before="71"/>
              <w:ind w:left="419"/>
              <w:rPr>
                <w:sz w:val="22"/>
                <w:szCs w:val="22"/>
              </w:rPr>
            </w:pPr>
            <w:r>
              <w:rPr>
                <w:sz w:val="22"/>
                <w:szCs w:val="22"/>
              </w:rPr>
              <w:t>0</w:t>
            </w:r>
          </w:p>
        </w:tc>
        <w:tc>
          <w:tcPr>
            <w:tcW w:w="699" w:type="dxa"/>
            <w:vAlign w:val="top"/>
          </w:tcPr>
          <w:p>
            <w:pPr>
              <w:spacing w:line="246" w:lineRule="auto"/>
              <w:rPr>
                <w:rFonts w:ascii="Arial"/>
                <w:sz w:val="21"/>
              </w:rPr>
            </w:pPr>
          </w:p>
          <w:p>
            <w:pPr>
              <w:pStyle w:val="28"/>
              <w:spacing w:before="71"/>
              <w:ind w:left="309"/>
              <w:rPr>
                <w:sz w:val="22"/>
                <w:szCs w:val="22"/>
              </w:rPr>
            </w:pPr>
            <w:r>
              <w:rPr>
                <w:spacing w:val="-3"/>
                <w:sz w:val="22"/>
                <w:szCs w:val="22"/>
              </w:rPr>
              <w:t>8.1</w:t>
            </w:r>
          </w:p>
        </w:tc>
        <w:tc>
          <w:tcPr>
            <w:tcW w:w="1715" w:type="dxa"/>
            <w:vAlign w:val="top"/>
          </w:tcPr>
          <w:p>
            <w:pPr>
              <w:pStyle w:val="28"/>
              <w:spacing w:before="163"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9" w:hRule="atLeast"/>
        </w:trPr>
        <w:tc>
          <w:tcPr>
            <w:tcW w:w="544" w:type="dxa"/>
            <w:vMerge w:val="restart"/>
            <w:tcBorders>
              <w:bottom w:val="nil"/>
            </w:tcBorders>
            <w:vAlign w:val="top"/>
          </w:tcPr>
          <w:p>
            <w:pPr>
              <w:spacing w:line="292" w:lineRule="auto"/>
              <w:rPr>
                <w:rFonts w:ascii="Arial"/>
                <w:sz w:val="21"/>
              </w:rPr>
            </w:pPr>
          </w:p>
          <w:p>
            <w:pPr>
              <w:spacing w:line="292" w:lineRule="auto"/>
              <w:rPr>
                <w:rFonts w:ascii="Arial"/>
                <w:sz w:val="21"/>
              </w:rPr>
            </w:pPr>
          </w:p>
          <w:p>
            <w:pPr>
              <w:spacing w:line="293" w:lineRule="auto"/>
              <w:rPr>
                <w:rFonts w:ascii="Arial"/>
                <w:sz w:val="21"/>
              </w:rPr>
            </w:pPr>
          </w:p>
          <w:p>
            <w:pPr>
              <w:pStyle w:val="28"/>
              <w:spacing w:before="72" w:line="242" w:lineRule="auto"/>
              <w:ind w:left="274"/>
              <w:rPr>
                <w:sz w:val="22"/>
                <w:szCs w:val="22"/>
              </w:rPr>
            </w:pPr>
            <w:r>
              <w:rPr>
                <w:spacing w:val="-13"/>
                <w:sz w:val="22"/>
                <w:szCs w:val="22"/>
              </w:rPr>
              <w:t>14</w:t>
            </w:r>
          </w:p>
        </w:tc>
        <w:tc>
          <w:tcPr>
            <w:tcW w:w="1608" w:type="dxa"/>
            <w:vMerge w:val="restart"/>
            <w:tcBorders>
              <w:bottom w:val="nil"/>
            </w:tcBorders>
            <w:vAlign w:val="top"/>
          </w:tcPr>
          <w:p>
            <w:pPr>
              <w:spacing w:line="292" w:lineRule="auto"/>
              <w:rPr>
                <w:rFonts w:ascii="Arial"/>
                <w:sz w:val="21"/>
              </w:rPr>
            </w:pPr>
          </w:p>
          <w:p>
            <w:pPr>
              <w:spacing w:line="293" w:lineRule="auto"/>
              <w:rPr>
                <w:rFonts w:ascii="Arial"/>
                <w:sz w:val="21"/>
              </w:rPr>
            </w:pPr>
          </w:p>
          <w:p>
            <w:pPr>
              <w:spacing w:line="293" w:lineRule="auto"/>
              <w:rPr>
                <w:rFonts w:ascii="Arial"/>
                <w:sz w:val="21"/>
              </w:rPr>
            </w:pPr>
          </w:p>
          <w:p>
            <w:pPr>
              <w:pStyle w:val="28"/>
              <w:spacing w:before="71" w:line="220" w:lineRule="auto"/>
              <w:ind w:left="315"/>
              <w:rPr>
                <w:sz w:val="22"/>
                <w:szCs w:val="22"/>
              </w:rPr>
            </w:pPr>
            <w:r>
              <w:rPr>
                <w:spacing w:val="-3"/>
                <w:sz w:val="22"/>
                <w:szCs w:val="22"/>
              </w:rPr>
              <w:t>富县森林消防队</w:t>
            </w:r>
          </w:p>
        </w:tc>
        <w:tc>
          <w:tcPr>
            <w:tcW w:w="868" w:type="dxa"/>
            <w:vMerge w:val="restart"/>
            <w:tcBorders>
              <w:bottom w:val="nil"/>
            </w:tcBorders>
            <w:vAlign w:val="top"/>
          </w:tcPr>
          <w:p>
            <w:pPr>
              <w:spacing w:line="292" w:lineRule="auto"/>
              <w:rPr>
                <w:rFonts w:ascii="Arial"/>
                <w:sz w:val="21"/>
              </w:rPr>
            </w:pPr>
          </w:p>
          <w:p>
            <w:pPr>
              <w:spacing w:line="292" w:lineRule="auto"/>
              <w:rPr>
                <w:rFonts w:ascii="Arial"/>
                <w:sz w:val="21"/>
              </w:rPr>
            </w:pPr>
          </w:p>
          <w:p>
            <w:pPr>
              <w:spacing w:line="293" w:lineRule="auto"/>
              <w:rPr>
                <w:rFonts w:ascii="Arial"/>
                <w:sz w:val="21"/>
              </w:rPr>
            </w:pPr>
          </w:p>
          <w:p>
            <w:pPr>
              <w:pStyle w:val="28"/>
              <w:spacing w:before="72"/>
              <w:ind w:left="250"/>
              <w:rPr>
                <w:sz w:val="22"/>
                <w:szCs w:val="22"/>
              </w:rPr>
            </w:pPr>
            <w:r>
              <w:rPr>
                <w:spacing w:val="-1"/>
                <w:sz w:val="22"/>
                <w:szCs w:val="22"/>
              </w:rPr>
              <w:t>468.43</w:t>
            </w:r>
          </w:p>
        </w:tc>
        <w:tc>
          <w:tcPr>
            <w:tcW w:w="1521" w:type="dxa"/>
            <w:vAlign w:val="top"/>
          </w:tcPr>
          <w:p>
            <w:pPr>
              <w:spacing w:line="246" w:lineRule="auto"/>
              <w:rPr>
                <w:rFonts w:ascii="Arial"/>
                <w:sz w:val="21"/>
              </w:rPr>
            </w:pPr>
          </w:p>
          <w:p>
            <w:pPr>
              <w:pStyle w:val="28"/>
              <w:spacing w:before="71" w:line="220" w:lineRule="auto"/>
              <w:ind w:left="258"/>
              <w:rPr>
                <w:sz w:val="22"/>
                <w:szCs w:val="22"/>
              </w:rPr>
            </w:pPr>
            <w:r>
              <w:rPr>
                <w:spacing w:val="-3"/>
                <w:sz w:val="22"/>
                <w:szCs w:val="22"/>
              </w:rPr>
              <w:t>富县森林消防队</w:t>
            </w:r>
          </w:p>
        </w:tc>
        <w:tc>
          <w:tcPr>
            <w:tcW w:w="498" w:type="dxa"/>
            <w:vAlign w:val="top"/>
          </w:tcPr>
          <w:p>
            <w:pPr>
              <w:spacing w:line="245" w:lineRule="auto"/>
              <w:rPr>
                <w:rFonts w:ascii="Arial"/>
                <w:sz w:val="21"/>
              </w:rPr>
            </w:pPr>
          </w:p>
          <w:p>
            <w:pPr>
              <w:pStyle w:val="28"/>
              <w:spacing w:before="72" w:line="242" w:lineRule="auto"/>
              <w:ind w:left="284"/>
              <w:rPr>
                <w:sz w:val="22"/>
                <w:szCs w:val="22"/>
              </w:rPr>
            </w:pPr>
            <w:r>
              <w:rPr>
                <w:sz w:val="22"/>
                <w:szCs w:val="22"/>
              </w:rPr>
              <w:t>2</w:t>
            </w:r>
          </w:p>
        </w:tc>
        <w:tc>
          <w:tcPr>
            <w:tcW w:w="553" w:type="dxa"/>
            <w:vAlign w:val="top"/>
          </w:tcPr>
          <w:p>
            <w:pPr>
              <w:spacing w:line="246" w:lineRule="auto"/>
              <w:rPr>
                <w:rFonts w:ascii="Arial"/>
                <w:sz w:val="21"/>
              </w:rPr>
            </w:pPr>
          </w:p>
          <w:p>
            <w:pPr>
              <w:pStyle w:val="28"/>
              <w:spacing w:before="71"/>
              <w:ind w:left="320"/>
              <w:rPr>
                <w:sz w:val="22"/>
                <w:szCs w:val="22"/>
              </w:rPr>
            </w:pPr>
            <w:r>
              <w:rPr>
                <w:sz w:val="22"/>
                <w:szCs w:val="22"/>
              </w:rPr>
              <w:t>0</w:t>
            </w:r>
          </w:p>
        </w:tc>
        <w:tc>
          <w:tcPr>
            <w:tcW w:w="790" w:type="dxa"/>
            <w:vAlign w:val="top"/>
          </w:tcPr>
          <w:p>
            <w:pPr>
              <w:spacing w:line="245" w:lineRule="auto"/>
              <w:rPr>
                <w:rFonts w:ascii="Arial"/>
                <w:sz w:val="21"/>
              </w:rPr>
            </w:pPr>
          </w:p>
          <w:p>
            <w:pPr>
              <w:pStyle w:val="28"/>
              <w:spacing w:before="72"/>
              <w:ind w:left="205"/>
              <w:rPr>
                <w:sz w:val="22"/>
                <w:szCs w:val="22"/>
              </w:rPr>
            </w:pPr>
            <w:r>
              <w:rPr>
                <w:spacing w:val="-2"/>
                <w:sz w:val="22"/>
                <w:szCs w:val="22"/>
              </w:rPr>
              <w:t>218.96</w:t>
            </w:r>
          </w:p>
        </w:tc>
        <w:tc>
          <w:tcPr>
            <w:tcW w:w="699" w:type="dxa"/>
            <w:vAlign w:val="top"/>
          </w:tcPr>
          <w:p>
            <w:pPr>
              <w:spacing w:line="246" w:lineRule="auto"/>
              <w:rPr>
                <w:rFonts w:ascii="Arial"/>
                <w:sz w:val="21"/>
              </w:rPr>
            </w:pPr>
          </w:p>
          <w:p>
            <w:pPr>
              <w:pStyle w:val="28"/>
              <w:spacing w:before="71"/>
              <w:ind w:left="419"/>
              <w:rPr>
                <w:sz w:val="22"/>
                <w:szCs w:val="22"/>
              </w:rPr>
            </w:pPr>
            <w:r>
              <w:rPr>
                <w:sz w:val="22"/>
                <w:szCs w:val="22"/>
              </w:rPr>
              <w:t>0</w:t>
            </w:r>
          </w:p>
        </w:tc>
        <w:tc>
          <w:tcPr>
            <w:tcW w:w="699" w:type="dxa"/>
            <w:vAlign w:val="top"/>
          </w:tcPr>
          <w:p>
            <w:pPr>
              <w:spacing w:line="245" w:lineRule="auto"/>
              <w:rPr>
                <w:rFonts w:ascii="Arial"/>
                <w:sz w:val="21"/>
              </w:rPr>
            </w:pPr>
          </w:p>
          <w:p>
            <w:pPr>
              <w:pStyle w:val="28"/>
              <w:spacing w:before="72" w:line="242" w:lineRule="auto"/>
              <w:ind w:left="377"/>
              <w:rPr>
                <w:sz w:val="22"/>
                <w:szCs w:val="22"/>
              </w:rPr>
            </w:pPr>
            <w:r>
              <w:rPr>
                <w:spacing w:val="-13"/>
                <w:sz w:val="22"/>
                <w:szCs w:val="22"/>
              </w:rPr>
              <w:t>12</w:t>
            </w:r>
          </w:p>
        </w:tc>
        <w:tc>
          <w:tcPr>
            <w:tcW w:w="1715" w:type="dxa"/>
            <w:vAlign w:val="top"/>
          </w:tcPr>
          <w:p>
            <w:pPr>
              <w:pStyle w:val="28"/>
              <w:spacing w:before="162"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9" w:hRule="atLeast"/>
        </w:trPr>
        <w:tc>
          <w:tcPr>
            <w:tcW w:w="544" w:type="dxa"/>
            <w:vMerge w:val="continue"/>
            <w:tcBorders>
              <w:top w:val="nil"/>
              <w:bottom w:val="nil"/>
            </w:tcBorders>
            <w:vAlign w:val="top"/>
          </w:tcPr>
          <w:p>
            <w:pPr>
              <w:rPr>
                <w:rFonts w:ascii="Arial"/>
                <w:sz w:val="21"/>
              </w:rPr>
            </w:pPr>
          </w:p>
        </w:tc>
        <w:tc>
          <w:tcPr>
            <w:tcW w:w="1608" w:type="dxa"/>
            <w:vMerge w:val="continue"/>
            <w:tcBorders>
              <w:top w:val="nil"/>
              <w:bottom w:val="nil"/>
            </w:tcBorders>
            <w:vAlign w:val="top"/>
          </w:tcPr>
          <w:p>
            <w:pPr>
              <w:rPr>
                <w:rFonts w:ascii="Arial"/>
                <w:sz w:val="21"/>
              </w:rPr>
            </w:pPr>
          </w:p>
        </w:tc>
        <w:tc>
          <w:tcPr>
            <w:tcW w:w="868" w:type="dxa"/>
            <w:vMerge w:val="continue"/>
            <w:tcBorders>
              <w:top w:val="nil"/>
              <w:bottom w:val="nil"/>
            </w:tcBorders>
            <w:vAlign w:val="top"/>
          </w:tcPr>
          <w:p>
            <w:pPr>
              <w:rPr>
                <w:rFonts w:ascii="Arial"/>
                <w:sz w:val="21"/>
              </w:rPr>
            </w:pPr>
          </w:p>
        </w:tc>
        <w:tc>
          <w:tcPr>
            <w:tcW w:w="1521" w:type="dxa"/>
            <w:vAlign w:val="top"/>
          </w:tcPr>
          <w:p>
            <w:pPr>
              <w:pStyle w:val="28"/>
              <w:spacing w:before="207" w:line="220" w:lineRule="auto"/>
              <w:ind w:left="258"/>
              <w:rPr>
                <w:sz w:val="22"/>
                <w:szCs w:val="22"/>
              </w:rPr>
            </w:pPr>
            <w:r>
              <w:rPr>
                <w:spacing w:val="-3"/>
                <w:sz w:val="22"/>
                <w:szCs w:val="22"/>
              </w:rPr>
              <w:t>富县森林消防队</w:t>
            </w:r>
          </w:p>
        </w:tc>
        <w:tc>
          <w:tcPr>
            <w:tcW w:w="498" w:type="dxa"/>
            <w:vAlign w:val="top"/>
          </w:tcPr>
          <w:p>
            <w:pPr>
              <w:pStyle w:val="28"/>
              <w:spacing w:before="207" w:line="242" w:lineRule="auto"/>
              <w:ind w:left="298"/>
              <w:rPr>
                <w:sz w:val="22"/>
                <w:szCs w:val="22"/>
              </w:rPr>
            </w:pPr>
            <w:r>
              <w:rPr>
                <w:sz w:val="22"/>
                <w:szCs w:val="22"/>
              </w:rPr>
              <w:t>1</w:t>
            </w:r>
          </w:p>
        </w:tc>
        <w:tc>
          <w:tcPr>
            <w:tcW w:w="553" w:type="dxa"/>
            <w:vAlign w:val="top"/>
          </w:tcPr>
          <w:p>
            <w:pPr>
              <w:pStyle w:val="28"/>
              <w:spacing w:before="208"/>
              <w:ind w:left="320"/>
              <w:rPr>
                <w:sz w:val="22"/>
                <w:szCs w:val="22"/>
              </w:rPr>
            </w:pPr>
            <w:r>
              <w:rPr>
                <w:sz w:val="22"/>
                <w:szCs w:val="22"/>
              </w:rPr>
              <w:t>0</w:t>
            </w:r>
          </w:p>
        </w:tc>
        <w:tc>
          <w:tcPr>
            <w:tcW w:w="790" w:type="dxa"/>
            <w:vAlign w:val="top"/>
          </w:tcPr>
          <w:p>
            <w:pPr>
              <w:pStyle w:val="28"/>
              <w:spacing w:before="208"/>
              <w:ind w:left="422"/>
              <w:rPr>
                <w:sz w:val="22"/>
                <w:szCs w:val="22"/>
              </w:rPr>
            </w:pPr>
            <w:r>
              <w:rPr>
                <w:spacing w:val="-5"/>
                <w:sz w:val="22"/>
                <w:szCs w:val="22"/>
              </w:rPr>
              <w:t>95</w:t>
            </w:r>
          </w:p>
        </w:tc>
        <w:tc>
          <w:tcPr>
            <w:tcW w:w="699" w:type="dxa"/>
            <w:vAlign w:val="top"/>
          </w:tcPr>
          <w:p>
            <w:pPr>
              <w:pStyle w:val="28"/>
              <w:spacing w:before="208"/>
              <w:ind w:left="419"/>
              <w:rPr>
                <w:sz w:val="22"/>
                <w:szCs w:val="22"/>
              </w:rPr>
            </w:pPr>
            <w:r>
              <w:rPr>
                <w:sz w:val="22"/>
                <w:szCs w:val="22"/>
              </w:rPr>
              <w:t>0</w:t>
            </w:r>
          </w:p>
        </w:tc>
        <w:tc>
          <w:tcPr>
            <w:tcW w:w="699" w:type="dxa"/>
            <w:vAlign w:val="top"/>
          </w:tcPr>
          <w:p>
            <w:pPr>
              <w:pStyle w:val="28"/>
              <w:spacing w:before="208"/>
              <w:ind w:left="420"/>
              <w:rPr>
                <w:sz w:val="22"/>
                <w:szCs w:val="22"/>
              </w:rPr>
            </w:pPr>
            <w:r>
              <w:rPr>
                <w:sz w:val="22"/>
                <w:szCs w:val="22"/>
              </w:rPr>
              <w:t>5</w:t>
            </w:r>
          </w:p>
        </w:tc>
        <w:tc>
          <w:tcPr>
            <w:tcW w:w="1715" w:type="dxa"/>
            <w:vAlign w:val="top"/>
          </w:tcPr>
          <w:p>
            <w:pPr>
              <w:pStyle w:val="28"/>
              <w:spacing w:before="51" w:line="238"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544" w:type="dxa"/>
            <w:vMerge w:val="continue"/>
            <w:tcBorders>
              <w:top w:val="nil"/>
            </w:tcBorders>
            <w:vAlign w:val="top"/>
          </w:tcPr>
          <w:p>
            <w:pPr>
              <w:rPr>
                <w:rFonts w:ascii="Arial"/>
                <w:sz w:val="21"/>
              </w:rPr>
            </w:pPr>
          </w:p>
        </w:tc>
        <w:tc>
          <w:tcPr>
            <w:tcW w:w="1608" w:type="dxa"/>
            <w:vMerge w:val="continue"/>
            <w:tcBorders>
              <w:top w:val="nil"/>
            </w:tcBorders>
            <w:vAlign w:val="top"/>
          </w:tcPr>
          <w:p>
            <w:pPr>
              <w:rPr>
                <w:rFonts w:ascii="Arial"/>
                <w:sz w:val="21"/>
              </w:rPr>
            </w:pPr>
          </w:p>
        </w:tc>
        <w:tc>
          <w:tcPr>
            <w:tcW w:w="868" w:type="dxa"/>
            <w:vMerge w:val="continue"/>
            <w:tcBorders>
              <w:top w:val="nil"/>
            </w:tcBorders>
            <w:vAlign w:val="top"/>
          </w:tcPr>
          <w:p>
            <w:pPr>
              <w:rPr>
                <w:rFonts w:ascii="Arial"/>
                <w:sz w:val="21"/>
              </w:rPr>
            </w:pPr>
          </w:p>
        </w:tc>
        <w:tc>
          <w:tcPr>
            <w:tcW w:w="1521" w:type="dxa"/>
            <w:vAlign w:val="top"/>
          </w:tcPr>
          <w:p>
            <w:pPr>
              <w:pStyle w:val="28"/>
              <w:spacing w:before="207" w:line="220" w:lineRule="auto"/>
              <w:ind w:left="258"/>
              <w:rPr>
                <w:sz w:val="22"/>
                <w:szCs w:val="22"/>
              </w:rPr>
            </w:pPr>
            <w:r>
              <w:rPr>
                <w:spacing w:val="-3"/>
                <w:sz w:val="22"/>
                <w:szCs w:val="22"/>
              </w:rPr>
              <w:t>富县森林消防队</w:t>
            </w:r>
          </w:p>
        </w:tc>
        <w:tc>
          <w:tcPr>
            <w:tcW w:w="498" w:type="dxa"/>
            <w:vAlign w:val="top"/>
          </w:tcPr>
          <w:p>
            <w:pPr>
              <w:pStyle w:val="28"/>
              <w:spacing w:before="207" w:line="242" w:lineRule="auto"/>
              <w:ind w:left="298"/>
              <w:rPr>
                <w:sz w:val="22"/>
                <w:szCs w:val="22"/>
              </w:rPr>
            </w:pPr>
            <w:r>
              <w:rPr>
                <w:sz w:val="22"/>
                <w:szCs w:val="22"/>
              </w:rPr>
              <w:t>1</w:t>
            </w:r>
          </w:p>
        </w:tc>
        <w:tc>
          <w:tcPr>
            <w:tcW w:w="553" w:type="dxa"/>
            <w:vAlign w:val="top"/>
          </w:tcPr>
          <w:p>
            <w:pPr>
              <w:pStyle w:val="28"/>
              <w:spacing w:before="207"/>
              <w:ind w:left="320"/>
              <w:rPr>
                <w:sz w:val="22"/>
                <w:szCs w:val="22"/>
              </w:rPr>
            </w:pPr>
            <w:r>
              <w:rPr>
                <w:sz w:val="22"/>
                <w:szCs w:val="22"/>
              </w:rPr>
              <w:t>0</w:t>
            </w:r>
          </w:p>
        </w:tc>
        <w:tc>
          <w:tcPr>
            <w:tcW w:w="790" w:type="dxa"/>
            <w:vAlign w:val="top"/>
          </w:tcPr>
          <w:p>
            <w:pPr>
              <w:pStyle w:val="28"/>
              <w:spacing w:before="206"/>
              <w:rPr>
                <w:sz w:val="22"/>
                <w:szCs w:val="22"/>
              </w:rPr>
            </w:pPr>
            <w:r>
              <w:rPr>
                <w:spacing w:val="-4"/>
                <w:sz w:val="22"/>
                <w:szCs w:val="22"/>
              </w:rPr>
              <w:t>154.47</w:t>
            </w:r>
          </w:p>
        </w:tc>
        <w:tc>
          <w:tcPr>
            <w:tcW w:w="699" w:type="dxa"/>
            <w:vAlign w:val="top"/>
          </w:tcPr>
          <w:p>
            <w:pPr>
              <w:pStyle w:val="28"/>
              <w:spacing w:before="207"/>
              <w:ind w:left="419"/>
              <w:rPr>
                <w:sz w:val="22"/>
                <w:szCs w:val="22"/>
              </w:rPr>
            </w:pPr>
            <w:r>
              <w:rPr>
                <w:sz w:val="22"/>
                <w:szCs w:val="22"/>
              </w:rPr>
              <w:t>0</w:t>
            </w:r>
          </w:p>
        </w:tc>
        <w:tc>
          <w:tcPr>
            <w:tcW w:w="699" w:type="dxa"/>
            <w:vAlign w:val="top"/>
          </w:tcPr>
          <w:p>
            <w:pPr>
              <w:pStyle w:val="28"/>
              <w:spacing w:before="207"/>
              <w:ind w:left="420"/>
              <w:rPr>
                <w:sz w:val="22"/>
                <w:szCs w:val="22"/>
              </w:rPr>
            </w:pPr>
            <w:r>
              <w:rPr>
                <w:sz w:val="22"/>
                <w:szCs w:val="22"/>
              </w:rPr>
              <w:t>5</w:t>
            </w:r>
          </w:p>
        </w:tc>
        <w:tc>
          <w:tcPr>
            <w:tcW w:w="1715" w:type="dxa"/>
            <w:vAlign w:val="top"/>
          </w:tcPr>
          <w:p>
            <w:pPr>
              <w:pStyle w:val="28"/>
              <w:spacing w:before="51"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bl>
    <w:p>
      <w:pPr>
        <w:pStyle w:val="7"/>
      </w:pPr>
    </w:p>
    <w:p>
      <w:pPr>
        <w:sectPr>
          <w:footerReference r:id="rId9" w:type="default"/>
          <w:pgSz w:w="11906" w:h="16839"/>
          <w:pgMar w:top="937" w:right="1152" w:bottom="936" w:left="1012" w:header="0" w:footer="987" w:gutter="0"/>
          <w:cols w:space="720" w:num="1"/>
        </w:sectPr>
      </w:pPr>
    </w:p>
    <w:p>
      <w:pPr>
        <w:spacing w:before="21"/>
      </w:pPr>
    </w:p>
    <w:p>
      <w:pPr>
        <w:spacing w:before="21"/>
      </w:pPr>
    </w:p>
    <w:p>
      <w:pPr>
        <w:spacing w:before="21"/>
      </w:pPr>
    </w:p>
    <w:tbl>
      <w:tblPr>
        <w:tblStyle w:val="27"/>
        <w:tblW w:w="9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7"/>
        <w:gridCol w:w="1588"/>
        <w:gridCol w:w="857"/>
        <w:gridCol w:w="1502"/>
        <w:gridCol w:w="491"/>
        <w:gridCol w:w="546"/>
        <w:gridCol w:w="780"/>
        <w:gridCol w:w="691"/>
        <w:gridCol w:w="691"/>
        <w:gridCol w:w="169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8" w:hRule="atLeast"/>
        </w:trPr>
        <w:tc>
          <w:tcPr>
            <w:tcW w:w="537" w:type="dxa"/>
            <w:vMerge w:val="restart"/>
            <w:tcBorders>
              <w:bottom w:val="nil"/>
            </w:tcBorders>
            <w:vAlign w:val="top"/>
          </w:tcPr>
          <w:p>
            <w:pPr>
              <w:spacing w:line="274" w:lineRule="auto"/>
              <w:rPr>
                <w:rFonts w:ascii="Arial"/>
                <w:sz w:val="21"/>
              </w:rPr>
            </w:pPr>
          </w:p>
          <w:p>
            <w:pPr>
              <w:spacing w:line="274" w:lineRule="auto"/>
              <w:rPr>
                <w:rFonts w:ascii="Arial"/>
                <w:sz w:val="21"/>
              </w:rPr>
            </w:pPr>
          </w:p>
          <w:p>
            <w:pPr>
              <w:spacing w:line="274" w:lineRule="auto"/>
              <w:rPr>
                <w:rFonts w:ascii="Arial"/>
                <w:sz w:val="21"/>
              </w:rPr>
            </w:pPr>
          </w:p>
          <w:p>
            <w:pPr>
              <w:pStyle w:val="28"/>
              <w:spacing w:before="71"/>
              <w:ind w:left="274"/>
              <w:rPr>
                <w:sz w:val="22"/>
                <w:szCs w:val="22"/>
              </w:rPr>
            </w:pPr>
            <w:r>
              <w:rPr>
                <w:spacing w:val="-13"/>
                <w:sz w:val="22"/>
                <w:szCs w:val="22"/>
              </w:rPr>
              <w:t>15</w:t>
            </w:r>
          </w:p>
        </w:tc>
        <w:tc>
          <w:tcPr>
            <w:tcW w:w="1588" w:type="dxa"/>
            <w:vMerge w:val="restart"/>
            <w:tcBorders>
              <w:bottom w:val="nil"/>
            </w:tcBorders>
            <w:vAlign w:val="top"/>
          </w:tcPr>
          <w:p>
            <w:pPr>
              <w:spacing w:line="255" w:lineRule="auto"/>
              <w:rPr>
                <w:rFonts w:ascii="Arial"/>
                <w:sz w:val="21"/>
              </w:rPr>
            </w:pPr>
          </w:p>
          <w:p>
            <w:pPr>
              <w:spacing w:line="256" w:lineRule="auto"/>
              <w:rPr>
                <w:rFonts w:ascii="Arial"/>
                <w:sz w:val="21"/>
              </w:rPr>
            </w:pPr>
          </w:p>
          <w:p>
            <w:pPr>
              <w:pStyle w:val="28"/>
              <w:spacing w:before="72" w:line="220" w:lineRule="auto"/>
              <w:ind w:left="112"/>
              <w:rPr>
                <w:sz w:val="22"/>
                <w:szCs w:val="22"/>
              </w:rPr>
            </w:pPr>
            <w:r>
              <w:rPr>
                <w:spacing w:val="-8"/>
                <w:sz w:val="22"/>
                <w:szCs w:val="22"/>
              </w:rPr>
              <w:t>地税局办公楼（现审</w:t>
            </w:r>
          </w:p>
          <w:p>
            <w:pPr>
              <w:pStyle w:val="28"/>
              <w:spacing w:before="50" w:line="219" w:lineRule="auto"/>
              <w:ind w:left="112"/>
              <w:rPr>
                <w:sz w:val="22"/>
                <w:szCs w:val="22"/>
              </w:rPr>
            </w:pPr>
            <w:r>
              <w:rPr>
                <w:spacing w:val="-8"/>
                <w:sz w:val="22"/>
                <w:szCs w:val="22"/>
              </w:rPr>
              <w:t>计局、退役军人事务</w:t>
            </w:r>
          </w:p>
          <w:p>
            <w:pPr>
              <w:pStyle w:val="28"/>
              <w:spacing w:before="50" w:line="222" w:lineRule="auto"/>
              <w:ind w:left="856"/>
              <w:rPr>
                <w:sz w:val="22"/>
                <w:szCs w:val="22"/>
              </w:rPr>
            </w:pPr>
            <w:r>
              <w:rPr>
                <w:spacing w:val="-6"/>
                <w:sz w:val="22"/>
                <w:szCs w:val="22"/>
              </w:rPr>
              <w:t>局）</w:t>
            </w:r>
          </w:p>
        </w:tc>
        <w:tc>
          <w:tcPr>
            <w:tcW w:w="857" w:type="dxa"/>
            <w:vMerge w:val="restart"/>
            <w:tcBorders>
              <w:bottom w:val="nil"/>
            </w:tcBorders>
            <w:vAlign w:val="top"/>
          </w:tcPr>
          <w:p>
            <w:pPr>
              <w:spacing w:line="273" w:lineRule="auto"/>
              <w:rPr>
                <w:rFonts w:ascii="Arial"/>
                <w:sz w:val="21"/>
              </w:rPr>
            </w:pPr>
          </w:p>
          <w:p>
            <w:pPr>
              <w:spacing w:line="274" w:lineRule="auto"/>
              <w:rPr>
                <w:rFonts w:ascii="Arial"/>
                <w:sz w:val="21"/>
              </w:rPr>
            </w:pPr>
          </w:p>
          <w:p>
            <w:pPr>
              <w:spacing w:line="274" w:lineRule="auto"/>
              <w:rPr>
                <w:rFonts w:ascii="Arial"/>
                <w:sz w:val="21"/>
              </w:rPr>
            </w:pPr>
          </w:p>
          <w:p>
            <w:pPr>
              <w:pStyle w:val="28"/>
              <w:spacing w:before="71"/>
              <w:ind w:left="268"/>
              <w:rPr>
                <w:sz w:val="22"/>
                <w:szCs w:val="22"/>
              </w:rPr>
            </w:pPr>
            <w:r>
              <w:rPr>
                <w:spacing w:val="-4"/>
                <w:sz w:val="22"/>
                <w:szCs w:val="22"/>
              </w:rPr>
              <w:t>1633.8</w:t>
            </w:r>
          </w:p>
        </w:tc>
        <w:tc>
          <w:tcPr>
            <w:tcW w:w="1502" w:type="dxa"/>
            <w:vAlign w:val="top"/>
          </w:tcPr>
          <w:p>
            <w:pPr>
              <w:pStyle w:val="28"/>
              <w:spacing w:before="207" w:line="220" w:lineRule="auto"/>
              <w:ind w:left="357"/>
              <w:rPr>
                <w:sz w:val="22"/>
                <w:szCs w:val="22"/>
              </w:rPr>
            </w:pPr>
            <w:r>
              <w:rPr>
                <w:spacing w:val="-2"/>
                <w:sz w:val="22"/>
                <w:szCs w:val="22"/>
              </w:rPr>
              <w:t>地税局办公楼</w:t>
            </w:r>
          </w:p>
        </w:tc>
        <w:tc>
          <w:tcPr>
            <w:tcW w:w="491" w:type="dxa"/>
            <w:vAlign w:val="top"/>
          </w:tcPr>
          <w:p>
            <w:pPr>
              <w:pStyle w:val="28"/>
              <w:spacing w:before="206" w:line="242" w:lineRule="auto"/>
              <w:ind w:left="281"/>
              <w:rPr>
                <w:sz w:val="22"/>
                <w:szCs w:val="22"/>
              </w:rPr>
            </w:pPr>
            <w:r>
              <w:rPr>
                <w:sz w:val="22"/>
                <w:szCs w:val="22"/>
              </w:rPr>
              <w:t>4</w:t>
            </w:r>
          </w:p>
        </w:tc>
        <w:tc>
          <w:tcPr>
            <w:tcW w:w="546" w:type="dxa"/>
            <w:vAlign w:val="top"/>
          </w:tcPr>
          <w:p>
            <w:pPr>
              <w:pStyle w:val="28"/>
              <w:spacing w:before="207"/>
              <w:ind w:left="320"/>
              <w:rPr>
                <w:sz w:val="22"/>
                <w:szCs w:val="22"/>
              </w:rPr>
            </w:pPr>
            <w:r>
              <w:rPr>
                <w:sz w:val="22"/>
                <w:szCs w:val="22"/>
              </w:rPr>
              <w:t>0</w:t>
            </w:r>
          </w:p>
        </w:tc>
        <w:tc>
          <w:tcPr>
            <w:tcW w:w="780" w:type="dxa"/>
            <w:vAlign w:val="top"/>
          </w:tcPr>
          <w:p>
            <w:pPr>
              <w:pStyle w:val="28"/>
              <w:spacing w:before="207"/>
              <w:ind w:left="329"/>
              <w:rPr>
                <w:sz w:val="22"/>
                <w:szCs w:val="22"/>
              </w:rPr>
            </w:pPr>
            <w:r>
              <w:rPr>
                <w:spacing w:val="-6"/>
                <w:sz w:val="22"/>
                <w:szCs w:val="22"/>
              </w:rPr>
              <w:t>1530</w:t>
            </w:r>
          </w:p>
        </w:tc>
        <w:tc>
          <w:tcPr>
            <w:tcW w:w="691" w:type="dxa"/>
            <w:vAlign w:val="top"/>
          </w:tcPr>
          <w:p>
            <w:pPr>
              <w:pStyle w:val="28"/>
              <w:spacing w:before="207"/>
              <w:ind w:left="419"/>
              <w:rPr>
                <w:sz w:val="22"/>
                <w:szCs w:val="22"/>
              </w:rPr>
            </w:pPr>
            <w:r>
              <w:rPr>
                <w:sz w:val="22"/>
                <w:szCs w:val="22"/>
              </w:rPr>
              <w:t>0</w:t>
            </w:r>
          </w:p>
        </w:tc>
        <w:tc>
          <w:tcPr>
            <w:tcW w:w="691" w:type="dxa"/>
            <w:vAlign w:val="top"/>
          </w:tcPr>
          <w:p>
            <w:pPr>
              <w:pStyle w:val="28"/>
              <w:spacing w:before="207"/>
              <w:ind w:left="363"/>
              <w:rPr>
                <w:sz w:val="22"/>
                <w:szCs w:val="22"/>
              </w:rPr>
            </w:pPr>
            <w:r>
              <w:rPr>
                <w:spacing w:val="-6"/>
                <w:sz w:val="22"/>
                <w:szCs w:val="22"/>
              </w:rPr>
              <w:t>20</w:t>
            </w:r>
          </w:p>
        </w:tc>
        <w:tc>
          <w:tcPr>
            <w:tcW w:w="1693" w:type="dxa"/>
            <w:vAlign w:val="top"/>
          </w:tcPr>
          <w:p>
            <w:pPr>
              <w:pStyle w:val="28"/>
              <w:spacing w:before="50"/>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trPr>
        <w:tc>
          <w:tcPr>
            <w:tcW w:w="537" w:type="dxa"/>
            <w:vMerge w:val="continue"/>
            <w:tcBorders>
              <w:top w:val="nil"/>
              <w:bottom w:val="nil"/>
            </w:tcBorders>
            <w:vAlign w:val="top"/>
          </w:tcPr>
          <w:p>
            <w:pPr>
              <w:rPr>
                <w:rFonts w:ascii="Arial"/>
                <w:sz w:val="21"/>
              </w:rPr>
            </w:pPr>
          </w:p>
        </w:tc>
        <w:tc>
          <w:tcPr>
            <w:tcW w:w="1588" w:type="dxa"/>
            <w:vMerge w:val="continue"/>
            <w:tcBorders>
              <w:top w:val="nil"/>
              <w:bottom w:val="nil"/>
            </w:tcBorders>
            <w:vAlign w:val="top"/>
          </w:tcPr>
          <w:p>
            <w:pPr>
              <w:rPr>
                <w:rFonts w:ascii="Arial"/>
                <w:sz w:val="21"/>
              </w:rPr>
            </w:pPr>
          </w:p>
        </w:tc>
        <w:tc>
          <w:tcPr>
            <w:tcW w:w="857" w:type="dxa"/>
            <w:vMerge w:val="continue"/>
            <w:tcBorders>
              <w:top w:val="nil"/>
              <w:bottom w:val="nil"/>
            </w:tcBorders>
            <w:vAlign w:val="top"/>
          </w:tcPr>
          <w:p>
            <w:pPr>
              <w:rPr>
                <w:rFonts w:ascii="Arial"/>
                <w:sz w:val="21"/>
              </w:rPr>
            </w:pPr>
          </w:p>
        </w:tc>
        <w:tc>
          <w:tcPr>
            <w:tcW w:w="1502" w:type="dxa"/>
            <w:vAlign w:val="top"/>
          </w:tcPr>
          <w:p>
            <w:pPr>
              <w:pStyle w:val="28"/>
              <w:spacing w:before="231" w:line="221" w:lineRule="auto"/>
              <w:ind w:left="469"/>
              <w:rPr>
                <w:sz w:val="22"/>
                <w:szCs w:val="22"/>
              </w:rPr>
            </w:pPr>
            <w:r>
              <w:rPr>
                <w:spacing w:val="-2"/>
                <w:sz w:val="22"/>
                <w:szCs w:val="22"/>
              </w:rPr>
              <w:t>燃气锅炉房</w:t>
            </w:r>
          </w:p>
        </w:tc>
        <w:tc>
          <w:tcPr>
            <w:tcW w:w="491" w:type="dxa"/>
            <w:vAlign w:val="top"/>
          </w:tcPr>
          <w:p>
            <w:pPr>
              <w:pStyle w:val="28"/>
              <w:spacing w:before="231" w:line="242" w:lineRule="auto"/>
              <w:ind w:left="298"/>
              <w:rPr>
                <w:sz w:val="22"/>
                <w:szCs w:val="22"/>
              </w:rPr>
            </w:pPr>
            <w:r>
              <w:rPr>
                <w:sz w:val="22"/>
                <w:szCs w:val="22"/>
              </w:rPr>
              <w:t>1</w:t>
            </w:r>
          </w:p>
        </w:tc>
        <w:tc>
          <w:tcPr>
            <w:tcW w:w="546" w:type="dxa"/>
            <w:vAlign w:val="top"/>
          </w:tcPr>
          <w:p>
            <w:pPr>
              <w:pStyle w:val="28"/>
              <w:spacing w:before="231"/>
              <w:ind w:left="320"/>
              <w:rPr>
                <w:sz w:val="22"/>
                <w:szCs w:val="22"/>
              </w:rPr>
            </w:pPr>
            <w:r>
              <w:rPr>
                <w:sz w:val="22"/>
                <w:szCs w:val="22"/>
              </w:rPr>
              <w:t>0</w:t>
            </w:r>
          </w:p>
        </w:tc>
        <w:tc>
          <w:tcPr>
            <w:tcW w:w="780" w:type="dxa"/>
            <w:vAlign w:val="top"/>
          </w:tcPr>
          <w:p>
            <w:pPr>
              <w:pStyle w:val="28"/>
              <w:spacing w:before="231" w:line="242" w:lineRule="auto"/>
              <w:ind w:left="420"/>
              <w:rPr>
                <w:sz w:val="22"/>
                <w:szCs w:val="22"/>
              </w:rPr>
            </w:pPr>
            <w:r>
              <w:rPr>
                <w:spacing w:val="-4"/>
                <w:sz w:val="22"/>
                <w:szCs w:val="22"/>
              </w:rPr>
              <w:t>42</w:t>
            </w:r>
          </w:p>
        </w:tc>
        <w:tc>
          <w:tcPr>
            <w:tcW w:w="691" w:type="dxa"/>
            <w:vAlign w:val="top"/>
          </w:tcPr>
          <w:p>
            <w:pPr>
              <w:pStyle w:val="28"/>
              <w:spacing w:before="231"/>
              <w:ind w:left="419"/>
              <w:rPr>
                <w:sz w:val="22"/>
                <w:szCs w:val="22"/>
              </w:rPr>
            </w:pPr>
            <w:r>
              <w:rPr>
                <w:sz w:val="22"/>
                <w:szCs w:val="22"/>
              </w:rPr>
              <w:t>0</w:t>
            </w:r>
          </w:p>
        </w:tc>
        <w:tc>
          <w:tcPr>
            <w:tcW w:w="691" w:type="dxa"/>
            <w:vAlign w:val="top"/>
          </w:tcPr>
          <w:p>
            <w:pPr>
              <w:pStyle w:val="28"/>
              <w:spacing w:before="230"/>
              <w:ind w:left="307"/>
              <w:rPr>
                <w:sz w:val="22"/>
                <w:szCs w:val="22"/>
              </w:rPr>
            </w:pPr>
            <w:r>
              <w:rPr>
                <w:spacing w:val="-3"/>
                <w:sz w:val="22"/>
                <w:szCs w:val="22"/>
              </w:rPr>
              <w:t>4.8</w:t>
            </w:r>
          </w:p>
        </w:tc>
        <w:tc>
          <w:tcPr>
            <w:tcW w:w="1693" w:type="dxa"/>
            <w:vAlign w:val="top"/>
          </w:tcPr>
          <w:p>
            <w:pPr>
              <w:pStyle w:val="28"/>
              <w:spacing w:before="75"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4" w:hRule="atLeast"/>
        </w:trPr>
        <w:tc>
          <w:tcPr>
            <w:tcW w:w="537" w:type="dxa"/>
            <w:vMerge w:val="continue"/>
            <w:tcBorders>
              <w:top w:val="nil"/>
            </w:tcBorders>
            <w:vAlign w:val="top"/>
          </w:tcPr>
          <w:p>
            <w:pPr>
              <w:rPr>
                <w:rFonts w:ascii="Arial"/>
                <w:sz w:val="21"/>
              </w:rPr>
            </w:pPr>
          </w:p>
        </w:tc>
        <w:tc>
          <w:tcPr>
            <w:tcW w:w="1588" w:type="dxa"/>
            <w:vMerge w:val="continue"/>
            <w:tcBorders>
              <w:top w:val="nil"/>
            </w:tcBorders>
            <w:vAlign w:val="top"/>
          </w:tcPr>
          <w:p>
            <w:pPr>
              <w:rPr>
                <w:rFonts w:ascii="Arial"/>
                <w:sz w:val="21"/>
              </w:rPr>
            </w:pPr>
          </w:p>
        </w:tc>
        <w:tc>
          <w:tcPr>
            <w:tcW w:w="857" w:type="dxa"/>
            <w:vMerge w:val="continue"/>
            <w:tcBorders>
              <w:top w:val="nil"/>
            </w:tcBorders>
            <w:vAlign w:val="top"/>
          </w:tcPr>
          <w:p>
            <w:pPr>
              <w:rPr>
                <w:rFonts w:ascii="Arial"/>
                <w:sz w:val="21"/>
              </w:rPr>
            </w:pPr>
          </w:p>
        </w:tc>
        <w:tc>
          <w:tcPr>
            <w:tcW w:w="1502" w:type="dxa"/>
            <w:vAlign w:val="top"/>
          </w:tcPr>
          <w:p>
            <w:pPr>
              <w:pStyle w:val="28"/>
              <w:spacing w:before="231" w:line="220" w:lineRule="auto"/>
              <w:ind w:left="590"/>
              <w:rPr>
                <w:sz w:val="22"/>
                <w:szCs w:val="22"/>
              </w:rPr>
            </w:pPr>
            <w:r>
              <w:rPr>
                <w:spacing w:val="-6"/>
                <w:sz w:val="22"/>
                <w:szCs w:val="22"/>
              </w:rPr>
              <w:t>院内厨房</w:t>
            </w:r>
          </w:p>
        </w:tc>
        <w:tc>
          <w:tcPr>
            <w:tcW w:w="491" w:type="dxa"/>
            <w:vAlign w:val="top"/>
          </w:tcPr>
          <w:p>
            <w:pPr>
              <w:pStyle w:val="28"/>
              <w:spacing w:before="230" w:line="242" w:lineRule="auto"/>
              <w:ind w:left="298"/>
              <w:rPr>
                <w:sz w:val="22"/>
                <w:szCs w:val="22"/>
              </w:rPr>
            </w:pPr>
            <w:r>
              <w:rPr>
                <w:sz w:val="22"/>
                <w:szCs w:val="22"/>
              </w:rPr>
              <w:t>1</w:t>
            </w:r>
          </w:p>
        </w:tc>
        <w:tc>
          <w:tcPr>
            <w:tcW w:w="546" w:type="dxa"/>
            <w:vAlign w:val="top"/>
          </w:tcPr>
          <w:p>
            <w:pPr>
              <w:pStyle w:val="28"/>
              <w:spacing w:before="231"/>
              <w:ind w:left="320"/>
              <w:rPr>
                <w:sz w:val="22"/>
                <w:szCs w:val="22"/>
              </w:rPr>
            </w:pPr>
            <w:r>
              <w:rPr>
                <w:sz w:val="22"/>
                <w:szCs w:val="22"/>
              </w:rPr>
              <w:t>0</w:t>
            </w:r>
          </w:p>
        </w:tc>
        <w:tc>
          <w:tcPr>
            <w:tcW w:w="780" w:type="dxa"/>
            <w:vAlign w:val="top"/>
          </w:tcPr>
          <w:p>
            <w:pPr>
              <w:pStyle w:val="28"/>
              <w:spacing w:before="230"/>
              <w:ind w:left="314"/>
              <w:rPr>
                <w:sz w:val="22"/>
                <w:szCs w:val="22"/>
              </w:rPr>
            </w:pPr>
            <w:r>
              <w:rPr>
                <w:spacing w:val="-3"/>
                <w:sz w:val="22"/>
                <w:szCs w:val="22"/>
              </w:rPr>
              <w:t>61.8</w:t>
            </w:r>
          </w:p>
        </w:tc>
        <w:tc>
          <w:tcPr>
            <w:tcW w:w="691" w:type="dxa"/>
            <w:vAlign w:val="top"/>
          </w:tcPr>
          <w:p>
            <w:pPr>
              <w:pStyle w:val="28"/>
              <w:spacing w:before="231"/>
              <w:ind w:left="419"/>
              <w:rPr>
                <w:sz w:val="22"/>
                <w:szCs w:val="22"/>
              </w:rPr>
            </w:pPr>
            <w:r>
              <w:rPr>
                <w:sz w:val="22"/>
                <w:szCs w:val="22"/>
              </w:rPr>
              <w:t>0</w:t>
            </w:r>
          </w:p>
        </w:tc>
        <w:tc>
          <w:tcPr>
            <w:tcW w:w="691" w:type="dxa"/>
            <w:vAlign w:val="top"/>
          </w:tcPr>
          <w:p>
            <w:pPr>
              <w:pStyle w:val="28"/>
              <w:spacing w:before="230"/>
              <w:ind w:left="312"/>
              <w:rPr>
                <w:sz w:val="22"/>
                <w:szCs w:val="22"/>
              </w:rPr>
            </w:pPr>
            <w:r>
              <w:rPr>
                <w:spacing w:val="-4"/>
                <w:sz w:val="22"/>
                <w:szCs w:val="22"/>
              </w:rPr>
              <w:t>3.6</w:t>
            </w:r>
          </w:p>
        </w:tc>
        <w:tc>
          <w:tcPr>
            <w:tcW w:w="1693" w:type="dxa"/>
            <w:vAlign w:val="top"/>
          </w:tcPr>
          <w:p>
            <w:pPr>
              <w:pStyle w:val="28"/>
              <w:spacing w:before="75"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537" w:type="dxa"/>
            <w:vMerge w:val="restart"/>
            <w:tcBorders>
              <w:bottom w:val="nil"/>
            </w:tcBorders>
            <w:vAlign w:val="top"/>
          </w:tcPr>
          <w:p>
            <w:pPr>
              <w:spacing w:line="252" w:lineRule="auto"/>
              <w:rPr>
                <w:rFonts w:ascii="Arial"/>
                <w:sz w:val="21"/>
              </w:rPr>
            </w:pPr>
          </w:p>
          <w:p>
            <w:pPr>
              <w:spacing w:line="252" w:lineRule="auto"/>
              <w:rPr>
                <w:rFonts w:ascii="Arial"/>
                <w:sz w:val="21"/>
              </w:rPr>
            </w:pPr>
          </w:p>
          <w:p>
            <w:pPr>
              <w:pStyle w:val="28"/>
              <w:spacing w:before="72"/>
              <w:ind w:left="274"/>
              <w:rPr>
                <w:sz w:val="22"/>
                <w:szCs w:val="22"/>
              </w:rPr>
            </w:pPr>
            <w:r>
              <w:rPr>
                <w:spacing w:val="-13"/>
                <w:sz w:val="22"/>
                <w:szCs w:val="22"/>
              </w:rPr>
              <w:t>16</w:t>
            </w:r>
          </w:p>
        </w:tc>
        <w:tc>
          <w:tcPr>
            <w:tcW w:w="1588" w:type="dxa"/>
            <w:vMerge w:val="restart"/>
            <w:tcBorders>
              <w:bottom w:val="nil"/>
            </w:tcBorders>
            <w:vAlign w:val="top"/>
          </w:tcPr>
          <w:p>
            <w:pPr>
              <w:spacing w:line="348" w:lineRule="auto"/>
              <w:rPr>
                <w:rFonts w:ascii="Arial"/>
                <w:sz w:val="21"/>
              </w:rPr>
            </w:pPr>
          </w:p>
          <w:p>
            <w:pPr>
              <w:pStyle w:val="28"/>
              <w:spacing w:before="71" w:line="265" w:lineRule="auto"/>
              <w:ind w:left="966" w:right="186" w:hanging="761"/>
              <w:rPr>
                <w:sz w:val="22"/>
                <w:szCs w:val="22"/>
              </w:rPr>
            </w:pPr>
            <w:r>
              <w:rPr>
                <w:spacing w:val="-3"/>
                <w:sz w:val="22"/>
                <w:szCs w:val="22"/>
              </w:rPr>
              <w:t>富县市场监督管理</w:t>
            </w:r>
            <w:r>
              <w:rPr>
                <w:sz w:val="22"/>
                <w:szCs w:val="22"/>
              </w:rPr>
              <w:t>局</w:t>
            </w:r>
          </w:p>
        </w:tc>
        <w:tc>
          <w:tcPr>
            <w:tcW w:w="857" w:type="dxa"/>
            <w:vMerge w:val="restart"/>
            <w:tcBorders>
              <w:bottom w:val="nil"/>
            </w:tcBorders>
            <w:vAlign w:val="top"/>
          </w:tcPr>
          <w:p>
            <w:pPr>
              <w:spacing w:line="252" w:lineRule="auto"/>
              <w:rPr>
                <w:rFonts w:ascii="Arial"/>
                <w:sz w:val="21"/>
              </w:rPr>
            </w:pPr>
          </w:p>
          <w:p>
            <w:pPr>
              <w:spacing w:line="252" w:lineRule="auto"/>
              <w:rPr>
                <w:rFonts w:ascii="Arial"/>
                <w:sz w:val="21"/>
              </w:rPr>
            </w:pPr>
          </w:p>
          <w:p>
            <w:pPr>
              <w:pStyle w:val="28"/>
              <w:spacing w:before="72"/>
              <w:ind w:left="361"/>
              <w:rPr>
                <w:sz w:val="22"/>
                <w:szCs w:val="22"/>
              </w:rPr>
            </w:pPr>
            <w:r>
              <w:rPr>
                <w:spacing w:val="-2"/>
                <w:sz w:val="22"/>
                <w:szCs w:val="22"/>
              </w:rPr>
              <w:t>4848</w:t>
            </w:r>
          </w:p>
        </w:tc>
        <w:tc>
          <w:tcPr>
            <w:tcW w:w="1502" w:type="dxa"/>
            <w:vAlign w:val="top"/>
          </w:tcPr>
          <w:p>
            <w:pPr>
              <w:pStyle w:val="28"/>
              <w:spacing w:before="233" w:line="220" w:lineRule="auto"/>
              <w:ind w:left="252"/>
              <w:rPr>
                <w:sz w:val="22"/>
                <w:szCs w:val="22"/>
              </w:rPr>
            </w:pPr>
            <w:r>
              <w:rPr>
                <w:spacing w:val="-2"/>
                <w:sz w:val="22"/>
                <w:szCs w:val="22"/>
              </w:rPr>
              <w:t>原工商局办公楼</w:t>
            </w:r>
          </w:p>
        </w:tc>
        <w:tc>
          <w:tcPr>
            <w:tcW w:w="491" w:type="dxa"/>
            <w:vAlign w:val="top"/>
          </w:tcPr>
          <w:p>
            <w:pPr>
              <w:pStyle w:val="28"/>
              <w:spacing w:before="233" w:line="242" w:lineRule="auto"/>
              <w:ind w:left="281"/>
              <w:rPr>
                <w:sz w:val="22"/>
                <w:szCs w:val="22"/>
              </w:rPr>
            </w:pPr>
            <w:r>
              <w:rPr>
                <w:sz w:val="22"/>
                <w:szCs w:val="22"/>
              </w:rPr>
              <w:t>4</w:t>
            </w:r>
          </w:p>
        </w:tc>
        <w:tc>
          <w:tcPr>
            <w:tcW w:w="546" w:type="dxa"/>
            <w:vAlign w:val="top"/>
          </w:tcPr>
          <w:p>
            <w:pPr>
              <w:pStyle w:val="28"/>
              <w:spacing w:before="233"/>
              <w:ind w:left="320"/>
              <w:rPr>
                <w:sz w:val="22"/>
                <w:szCs w:val="22"/>
              </w:rPr>
            </w:pPr>
            <w:r>
              <w:rPr>
                <w:sz w:val="22"/>
                <w:szCs w:val="22"/>
              </w:rPr>
              <w:t>0</w:t>
            </w:r>
          </w:p>
        </w:tc>
        <w:tc>
          <w:tcPr>
            <w:tcW w:w="780" w:type="dxa"/>
            <w:vAlign w:val="top"/>
          </w:tcPr>
          <w:p>
            <w:pPr>
              <w:pStyle w:val="28"/>
              <w:spacing w:before="233"/>
              <w:ind w:left="317"/>
              <w:rPr>
                <w:sz w:val="22"/>
                <w:szCs w:val="22"/>
              </w:rPr>
            </w:pPr>
            <w:r>
              <w:rPr>
                <w:spacing w:val="-3"/>
                <w:sz w:val="22"/>
                <w:szCs w:val="22"/>
              </w:rPr>
              <w:t>5600</w:t>
            </w:r>
          </w:p>
        </w:tc>
        <w:tc>
          <w:tcPr>
            <w:tcW w:w="691" w:type="dxa"/>
            <w:vAlign w:val="top"/>
          </w:tcPr>
          <w:p>
            <w:pPr>
              <w:pStyle w:val="28"/>
              <w:spacing w:before="233"/>
              <w:ind w:left="419"/>
              <w:rPr>
                <w:sz w:val="22"/>
                <w:szCs w:val="22"/>
              </w:rPr>
            </w:pPr>
            <w:r>
              <w:rPr>
                <w:sz w:val="22"/>
                <w:szCs w:val="22"/>
              </w:rPr>
              <w:t>0</w:t>
            </w:r>
          </w:p>
        </w:tc>
        <w:tc>
          <w:tcPr>
            <w:tcW w:w="691" w:type="dxa"/>
            <w:vAlign w:val="top"/>
          </w:tcPr>
          <w:p>
            <w:pPr>
              <w:pStyle w:val="28"/>
              <w:spacing w:before="233"/>
              <w:ind w:left="377"/>
              <w:rPr>
                <w:sz w:val="22"/>
                <w:szCs w:val="22"/>
              </w:rPr>
            </w:pPr>
            <w:r>
              <w:rPr>
                <w:spacing w:val="-13"/>
                <w:sz w:val="22"/>
                <w:szCs w:val="22"/>
              </w:rPr>
              <w:t>16</w:t>
            </w:r>
          </w:p>
        </w:tc>
        <w:tc>
          <w:tcPr>
            <w:tcW w:w="1693" w:type="dxa"/>
            <w:vAlign w:val="top"/>
          </w:tcPr>
          <w:p>
            <w:pPr>
              <w:pStyle w:val="28"/>
              <w:spacing w:before="76"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537" w:type="dxa"/>
            <w:vMerge w:val="continue"/>
            <w:tcBorders>
              <w:top w:val="nil"/>
            </w:tcBorders>
            <w:vAlign w:val="top"/>
          </w:tcPr>
          <w:p>
            <w:pPr>
              <w:rPr>
                <w:rFonts w:ascii="Arial"/>
                <w:sz w:val="21"/>
              </w:rPr>
            </w:pPr>
          </w:p>
        </w:tc>
        <w:tc>
          <w:tcPr>
            <w:tcW w:w="1588" w:type="dxa"/>
            <w:vMerge w:val="continue"/>
            <w:tcBorders>
              <w:top w:val="nil"/>
            </w:tcBorders>
            <w:vAlign w:val="top"/>
          </w:tcPr>
          <w:p>
            <w:pPr>
              <w:rPr>
                <w:rFonts w:ascii="Arial"/>
                <w:sz w:val="21"/>
              </w:rPr>
            </w:pPr>
          </w:p>
        </w:tc>
        <w:tc>
          <w:tcPr>
            <w:tcW w:w="857" w:type="dxa"/>
            <w:vMerge w:val="continue"/>
            <w:tcBorders>
              <w:top w:val="nil"/>
            </w:tcBorders>
            <w:vAlign w:val="top"/>
          </w:tcPr>
          <w:p>
            <w:pPr>
              <w:rPr>
                <w:rFonts w:ascii="Arial"/>
                <w:sz w:val="21"/>
              </w:rPr>
            </w:pPr>
          </w:p>
        </w:tc>
        <w:tc>
          <w:tcPr>
            <w:tcW w:w="1502" w:type="dxa"/>
            <w:vAlign w:val="top"/>
          </w:tcPr>
          <w:p>
            <w:pPr>
              <w:pStyle w:val="28"/>
              <w:spacing w:before="232" w:line="221" w:lineRule="auto"/>
              <w:ind w:left="686"/>
              <w:rPr>
                <w:sz w:val="22"/>
                <w:szCs w:val="22"/>
              </w:rPr>
            </w:pPr>
            <w:r>
              <w:rPr>
                <w:spacing w:val="-3"/>
                <w:sz w:val="22"/>
                <w:szCs w:val="22"/>
              </w:rPr>
              <w:t>锅炉房</w:t>
            </w:r>
          </w:p>
        </w:tc>
        <w:tc>
          <w:tcPr>
            <w:tcW w:w="491" w:type="dxa"/>
            <w:vAlign w:val="top"/>
          </w:tcPr>
          <w:p>
            <w:pPr>
              <w:pStyle w:val="28"/>
              <w:spacing w:before="231" w:line="242" w:lineRule="auto"/>
              <w:ind w:left="298"/>
              <w:rPr>
                <w:sz w:val="22"/>
                <w:szCs w:val="22"/>
              </w:rPr>
            </w:pPr>
            <w:r>
              <w:rPr>
                <w:sz w:val="22"/>
                <w:szCs w:val="22"/>
              </w:rPr>
              <w:t>1</w:t>
            </w:r>
          </w:p>
        </w:tc>
        <w:tc>
          <w:tcPr>
            <w:tcW w:w="546" w:type="dxa"/>
            <w:vAlign w:val="top"/>
          </w:tcPr>
          <w:p>
            <w:pPr>
              <w:pStyle w:val="28"/>
              <w:spacing w:before="232"/>
              <w:ind w:left="320"/>
              <w:rPr>
                <w:sz w:val="22"/>
                <w:szCs w:val="22"/>
              </w:rPr>
            </w:pPr>
            <w:r>
              <w:rPr>
                <w:sz w:val="22"/>
                <w:szCs w:val="22"/>
              </w:rPr>
              <w:t>0</w:t>
            </w:r>
          </w:p>
        </w:tc>
        <w:tc>
          <w:tcPr>
            <w:tcW w:w="780" w:type="dxa"/>
            <w:vAlign w:val="top"/>
          </w:tcPr>
          <w:p>
            <w:pPr>
              <w:pStyle w:val="28"/>
              <w:spacing w:before="232"/>
              <w:ind w:left="420"/>
              <w:rPr>
                <w:sz w:val="22"/>
                <w:szCs w:val="22"/>
              </w:rPr>
            </w:pPr>
            <w:r>
              <w:rPr>
                <w:spacing w:val="-4"/>
                <w:sz w:val="22"/>
                <w:szCs w:val="22"/>
              </w:rPr>
              <w:t>48</w:t>
            </w:r>
          </w:p>
        </w:tc>
        <w:tc>
          <w:tcPr>
            <w:tcW w:w="691" w:type="dxa"/>
            <w:vAlign w:val="top"/>
          </w:tcPr>
          <w:p>
            <w:pPr>
              <w:pStyle w:val="28"/>
              <w:spacing w:before="232"/>
              <w:ind w:left="419"/>
              <w:rPr>
                <w:sz w:val="22"/>
                <w:szCs w:val="22"/>
              </w:rPr>
            </w:pPr>
            <w:r>
              <w:rPr>
                <w:sz w:val="22"/>
                <w:szCs w:val="22"/>
              </w:rPr>
              <w:t>0</w:t>
            </w:r>
          </w:p>
        </w:tc>
        <w:tc>
          <w:tcPr>
            <w:tcW w:w="691" w:type="dxa"/>
            <w:vAlign w:val="top"/>
          </w:tcPr>
          <w:p>
            <w:pPr>
              <w:pStyle w:val="28"/>
              <w:spacing w:before="232"/>
              <w:ind w:left="421"/>
              <w:rPr>
                <w:sz w:val="22"/>
                <w:szCs w:val="22"/>
              </w:rPr>
            </w:pPr>
            <w:r>
              <w:rPr>
                <w:sz w:val="22"/>
                <w:szCs w:val="22"/>
              </w:rPr>
              <w:t>7</w:t>
            </w:r>
          </w:p>
        </w:tc>
        <w:tc>
          <w:tcPr>
            <w:tcW w:w="1693" w:type="dxa"/>
            <w:vAlign w:val="top"/>
          </w:tcPr>
          <w:p>
            <w:pPr>
              <w:pStyle w:val="28"/>
              <w:spacing w:before="76"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95" w:hRule="atLeast"/>
        </w:trPr>
        <w:tc>
          <w:tcPr>
            <w:tcW w:w="537"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2" w:lineRule="auto"/>
              <w:rPr>
                <w:rFonts w:ascii="Arial"/>
                <w:sz w:val="21"/>
              </w:rPr>
            </w:pPr>
          </w:p>
          <w:p>
            <w:pPr>
              <w:pStyle w:val="28"/>
              <w:spacing w:before="71"/>
              <w:ind w:left="274"/>
              <w:rPr>
                <w:sz w:val="22"/>
                <w:szCs w:val="22"/>
              </w:rPr>
            </w:pPr>
            <w:r>
              <w:rPr>
                <w:spacing w:val="-13"/>
                <w:sz w:val="22"/>
                <w:szCs w:val="22"/>
              </w:rPr>
              <w:t>17</w:t>
            </w:r>
          </w:p>
        </w:tc>
        <w:tc>
          <w:tcPr>
            <w:tcW w:w="1588"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2" w:lineRule="auto"/>
              <w:rPr>
                <w:rFonts w:ascii="Arial"/>
                <w:sz w:val="21"/>
              </w:rPr>
            </w:pPr>
          </w:p>
          <w:p>
            <w:pPr>
              <w:pStyle w:val="28"/>
              <w:spacing w:before="71" w:line="220" w:lineRule="auto"/>
              <w:ind w:left="423"/>
              <w:rPr>
                <w:sz w:val="22"/>
                <w:szCs w:val="22"/>
              </w:rPr>
            </w:pPr>
            <w:r>
              <w:rPr>
                <w:spacing w:val="-4"/>
                <w:sz w:val="22"/>
                <w:szCs w:val="22"/>
              </w:rPr>
              <w:t>富县县委党校</w:t>
            </w:r>
          </w:p>
        </w:tc>
        <w:tc>
          <w:tcPr>
            <w:tcW w:w="857" w:type="dxa"/>
            <w:vMerge w:val="restart"/>
            <w:tcBorders>
              <w:bottom w:val="nil"/>
            </w:tcBorders>
            <w:vAlign w:val="top"/>
          </w:tcPr>
          <w:p>
            <w:pPr>
              <w:spacing w:line="262" w:lineRule="auto"/>
              <w:rPr>
                <w:rFonts w:ascii="Arial"/>
                <w:sz w:val="21"/>
              </w:rPr>
            </w:pPr>
          </w:p>
          <w:p>
            <w:pPr>
              <w:spacing w:line="262" w:lineRule="auto"/>
              <w:rPr>
                <w:rFonts w:ascii="Arial"/>
                <w:sz w:val="21"/>
              </w:rPr>
            </w:pPr>
          </w:p>
          <w:p>
            <w:pPr>
              <w:spacing w:line="262" w:lineRule="auto"/>
              <w:rPr>
                <w:rFonts w:ascii="Arial"/>
                <w:sz w:val="21"/>
              </w:rPr>
            </w:pPr>
          </w:p>
          <w:p>
            <w:pPr>
              <w:pStyle w:val="28"/>
              <w:spacing w:before="71"/>
              <w:ind w:left="364"/>
              <w:rPr>
                <w:sz w:val="22"/>
                <w:szCs w:val="22"/>
              </w:rPr>
            </w:pPr>
            <w:r>
              <w:rPr>
                <w:spacing w:val="-3"/>
                <w:sz w:val="22"/>
                <w:szCs w:val="22"/>
              </w:rPr>
              <w:t>2583</w:t>
            </w:r>
          </w:p>
        </w:tc>
        <w:tc>
          <w:tcPr>
            <w:tcW w:w="1502" w:type="dxa"/>
            <w:vAlign w:val="top"/>
          </w:tcPr>
          <w:p>
            <w:pPr>
              <w:spacing w:line="286" w:lineRule="auto"/>
              <w:rPr>
                <w:rFonts w:ascii="Arial"/>
                <w:sz w:val="21"/>
              </w:rPr>
            </w:pPr>
          </w:p>
          <w:p>
            <w:pPr>
              <w:pStyle w:val="28"/>
              <w:spacing w:before="72" w:line="264" w:lineRule="auto"/>
              <w:ind w:left="906" w:right="126" w:hanging="758"/>
              <w:rPr>
                <w:sz w:val="22"/>
                <w:szCs w:val="22"/>
              </w:rPr>
            </w:pPr>
            <w:r>
              <w:rPr>
                <w:spacing w:val="-3"/>
                <w:sz w:val="22"/>
                <w:szCs w:val="22"/>
              </w:rPr>
              <w:t>富县县委党校培训</w:t>
            </w:r>
            <w:r>
              <w:rPr>
                <w:sz w:val="22"/>
                <w:szCs w:val="22"/>
              </w:rPr>
              <w:t>楼</w:t>
            </w:r>
          </w:p>
        </w:tc>
        <w:tc>
          <w:tcPr>
            <w:tcW w:w="491" w:type="dxa"/>
            <w:vAlign w:val="top"/>
          </w:tcPr>
          <w:p>
            <w:pPr>
              <w:spacing w:line="442" w:lineRule="auto"/>
              <w:rPr>
                <w:rFonts w:ascii="Arial"/>
                <w:sz w:val="21"/>
              </w:rPr>
            </w:pPr>
          </w:p>
          <w:p>
            <w:pPr>
              <w:pStyle w:val="28"/>
              <w:spacing w:before="72"/>
              <w:ind w:left="286"/>
              <w:rPr>
                <w:sz w:val="22"/>
                <w:szCs w:val="22"/>
              </w:rPr>
            </w:pPr>
            <w:r>
              <w:rPr>
                <w:sz w:val="22"/>
                <w:szCs w:val="22"/>
              </w:rPr>
              <w:t>5</w:t>
            </w:r>
          </w:p>
        </w:tc>
        <w:tc>
          <w:tcPr>
            <w:tcW w:w="546" w:type="dxa"/>
            <w:vAlign w:val="top"/>
          </w:tcPr>
          <w:p>
            <w:pPr>
              <w:spacing w:line="442" w:lineRule="auto"/>
              <w:rPr>
                <w:rFonts w:ascii="Arial"/>
                <w:sz w:val="21"/>
              </w:rPr>
            </w:pPr>
          </w:p>
          <w:p>
            <w:pPr>
              <w:pStyle w:val="28"/>
              <w:spacing w:before="72"/>
              <w:ind w:left="320"/>
              <w:rPr>
                <w:sz w:val="22"/>
                <w:szCs w:val="22"/>
              </w:rPr>
            </w:pPr>
            <w:r>
              <w:rPr>
                <w:sz w:val="22"/>
                <w:szCs w:val="22"/>
              </w:rPr>
              <w:t>0</w:t>
            </w:r>
          </w:p>
        </w:tc>
        <w:tc>
          <w:tcPr>
            <w:tcW w:w="780" w:type="dxa"/>
            <w:vAlign w:val="top"/>
          </w:tcPr>
          <w:p>
            <w:pPr>
              <w:spacing w:line="442" w:lineRule="auto"/>
              <w:rPr>
                <w:rFonts w:ascii="Arial"/>
                <w:sz w:val="21"/>
              </w:rPr>
            </w:pPr>
          </w:p>
          <w:p>
            <w:pPr>
              <w:pStyle w:val="28"/>
              <w:spacing w:before="72"/>
              <w:ind w:left="315"/>
              <w:rPr>
                <w:sz w:val="22"/>
                <w:szCs w:val="22"/>
              </w:rPr>
            </w:pPr>
            <w:r>
              <w:rPr>
                <w:spacing w:val="-3"/>
                <w:sz w:val="22"/>
                <w:szCs w:val="22"/>
              </w:rPr>
              <w:t>2538</w:t>
            </w:r>
          </w:p>
        </w:tc>
        <w:tc>
          <w:tcPr>
            <w:tcW w:w="691" w:type="dxa"/>
            <w:vAlign w:val="top"/>
          </w:tcPr>
          <w:p>
            <w:pPr>
              <w:spacing w:line="442" w:lineRule="auto"/>
              <w:rPr>
                <w:rFonts w:ascii="Arial"/>
                <w:sz w:val="21"/>
              </w:rPr>
            </w:pPr>
          </w:p>
          <w:p>
            <w:pPr>
              <w:pStyle w:val="28"/>
              <w:spacing w:before="72"/>
              <w:ind w:left="419"/>
              <w:rPr>
                <w:sz w:val="22"/>
                <w:szCs w:val="22"/>
              </w:rPr>
            </w:pPr>
            <w:r>
              <w:rPr>
                <w:sz w:val="22"/>
                <w:szCs w:val="22"/>
              </w:rPr>
              <w:t>0</w:t>
            </w:r>
          </w:p>
        </w:tc>
        <w:tc>
          <w:tcPr>
            <w:tcW w:w="691" w:type="dxa"/>
            <w:vAlign w:val="top"/>
          </w:tcPr>
          <w:p>
            <w:pPr>
              <w:spacing w:line="442" w:lineRule="auto"/>
              <w:rPr>
                <w:rFonts w:ascii="Arial"/>
                <w:sz w:val="21"/>
              </w:rPr>
            </w:pPr>
          </w:p>
          <w:p>
            <w:pPr>
              <w:pStyle w:val="28"/>
              <w:spacing w:before="72"/>
              <w:ind w:left="363"/>
              <w:rPr>
                <w:sz w:val="22"/>
                <w:szCs w:val="22"/>
              </w:rPr>
            </w:pPr>
            <w:r>
              <w:rPr>
                <w:spacing w:val="-6"/>
                <w:sz w:val="22"/>
                <w:szCs w:val="22"/>
              </w:rPr>
              <w:t>20</w:t>
            </w:r>
          </w:p>
        </w:tc>
        <w:tc>
          <w:tcPr>
            <w:tcW w:w="1693" w:type="dxa"/>
            <w:vAlign w:val="top"/>
          </w:tcPr>
          <w:p>
            <w:pPr>
              <w:pStyle w:val="28"/>
              <w:spacing w:before="50" w:line="250" w:lineRule="auto"/>
              <w:ind w:left="117" w:right="103" w:firstLine="1"/>
              <w:rPr>
                <w:sz w:val="22"/>
                <w:szCs w:val="22"/>
              </w:rPr>
            </w:pPr>
            <w:r>
              <w:rPr>
                <w:spacing w:val="7"/>
                <w:sz w:val="22"/>
                <w:szCs w:val="22"/>
              </w:rPr>
              <w:t>消防应急照明及疏散</w:t>
            </w:r>
            <w:r>
              <w:rPr>
                <w:spacing w:val="8"/>
                <w:sz w:val="22"/>
                <w:szCs w:val="22"/>
              </w:rPr>
              <w:t>指示系统、灭火器、消防给水及消火栓系</w:t>
            </w:r>
            <w:r>
              <w:rPr>
                <w:sz w:val="22"/>
                <w:szCs w:val="22"/>
              </w:rPr>
              <w:t>统</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537" w:type="dxa"/>
            <w:vMerge w:val="continue"/>
            <w:tcBorders>
              <w:top w:val="nil"/>
            </w:tcBorders>
            <w:vAlign w:val="top"/>
          </w:tcPr>
          <w:p>
            <w:pPr>
              <w:rPr>
                <w:rFonts w:ascii="Arial"/>
                <w:sz w:val="21"/>
              </w:rPr>
            </w:pPr>
          </w:p>
        </w:tc>
        <w:tc>
          <w:tcPr>
            <w:tcW w:w="1588" w:type="dxa"/>
            <w:vMerge w:val="continue"/>
            <w:tcBorders>
              <w:top w:val="nil"/>
            </w:tcBorders>
            <w:vAlign w:val="top"/>
          </w:tcPr>
          <w:p>
            <w:pPr>
              <w:rPr>
                <w:rFonts w:ascii="Arial"/>
                <w:sz w:val="21"/>
              </w:rPr>
            </w:pPr>
          </w:p>
        </w:tc>
        <w:tc>
          <w:tcPr>
            <w:tcW w:w="857" w:type="dxa"/>
            <w:vMerge w:val="continue"/>
            <w:tcBorders>
              <w:top w:val="nil"/>
            </w:tcBorders>
            <w:vAlign w:val="top"/>
          </w:tcPr>
          <w:p>
            <w:pPr>
              <w:rPr>
                <w:rFonts w:ascii="Arial"/>
                <w:sz w:val="21"/>
              </w:rPr>
            </w:pPr>
          </w:p>
        </w:tc>
        <w:tc>
          <w:tcPr>
            <w:tcW w:w="1502" w:type="dxa"/>
            <w:vAlign w:val="top"/>
          </w:tcPr>
          <w:p>
            <w:pPr>
              <w:pStyle w:val="28"/>
              <w:spacing w:before="233" w:line="221" w:lineRule="auto"/>
              <w:ind w:left="686"/>
              <w:rPr>
                <w:sz w:val="22"/>
                <w:szCs w:val="22"/>
              </w:rPr>
            </w:pPr>
            <w:r>
              <w:rPr>
                <w:spacing w:val="-3"/>
                <w:sz w:val="22"/>
                <w:szCs w:val="22"/>
              </w:rPr>
              <w:t>锅炉房</w:t>
            </w:r>
          </w:p>
        </w:tc>
        <w:tc>
          <w:tcPr>
            <w:tcW w:w="491" w:type="dxa"/>
            <w:vAlign w:val="top"/>
          </w:tcPr>
          <w:p>
            <w:pPr>
              <w:pStyle w:val="28"/>
              <w:spacing w:before="233" w:line="242" w:lineRule="auto"/>
              <w:ind w:left="298"/>
              <w:rPr>
                <w:sz w:val="22"/>
                <w:szCs w:val="22"/>
              </w:rPr>
            </w:pPr>
            <w:r>
              <w:rPr>
                <w:sz w:val="22"/>
                <w:szCs w:val="22"/>
              </w:rPr>
              <w:t>1</w:t>
            </w:r>
          </w:p>
        </w:tc>
        <w:tc>
          <w:tcPr>
            <w:tcW w:w="546" w:type="dxa"/>
            <w:vAlign w:val="top"/>
          </w:tcPr>
          <w:p>
            <w:pPr>
              <w:pStyle w:val="28"/>
              <w:spacing w:before="234"/>
              <w:ind w:left="320"/>
              <w:rPr>
                <w:sz w:val="22"/>
                <w:szCs w:val="22"/>
              </w:rPr>
            </w:pPr>
            <w:r>
              <w:rPr>
                <w:sz w:val="22"/>
                <w:szCs w:val="22"/>
              </w:rPr>
              <w:t>0</w:t>
            </w:r>
          </w:p>
        </w:tc>
        <w:tc>
          <w:tcPr>
            <w:tcW w:w="780" w:type="dxa"/>
            <w:vAlign w:val="top"/>
          </w:tcPr>
          <w:p>
            <w:pPr>
              <w:pStyle w:val="28"/>
              <w:spacing w:before="234"/>
              <w:ind w:left="420"/>
              <w:rPr>
                <w:sz w:val="22"/>
                <w:szCs w:val="22"/>
              </w:rPr>
            </w:pPr>
            <w:r>
              <w:rPr>
                <w:spacing w:val="-4"/>
                <w:sz w:val="22"/>
                <w:szCs w:val="22"/>
              </w:rPr>
              <w:t>45</w:t>
            </w:r>
          </w:p>
        </w:tc>
        <w:tc>
          <w:tcPr>
            <w:tcW w:w="691" w:type="dxa"/>
            <w:vAlign w:val="top"/>
          </w:tcPr>
          <w:p>
            <w:pPr>
              <w:pStyle w:val="28"/>
              <w:spacing w:before="234"/>
              <w:ind w:left="419"/>
              <w:rPr>
                <w:sz w:val="22"/>
                <w:szCs w:val="22"/>
              </w:rPr>
            </w:pPr>
            <w:r>
              <w:rPr>
                <w:sz w:val="22"/>
                <w:szCs w:val="22"/>
              </w:rPr>
              <w:t>0</w:t>
            </w:r>
          </w:p>
        </w:tc>
        <w:tc>
          <w:tcPr>
            <w:tcW w:w="691" w:type="dxa"/>
            <w:vAlign w:val="top"/>
          </w:tcPr>
          <w:p>
            <w:pPr>
              <w:pStyle w:val="28"/>
              <w:spacing w:before="234"/>
              <w:ind w:left="421"/>
              <w:rPr>
                <w:sz w:val="22"/>
                <w:szCs w:val="22"/>
              </w:rPr>
            </w:pPr>
            <w:r>
              <w:rPr>
                <w:sz w:val="22"/>
                <w:szCs w:val="22"/>
              </w:rPr>
              <w:t>7</w:t>
            </w:r>
          </w:p>
        </w:tc>
        <w:tc>
          <w:tcPr>
            <w:tcW w:w="1693" w:type="dxa"/>
            <w:vAlign w:val="top"/>
          </w:tcPr>
          <w:p>
            <w:pPr>
              <w:pStyle w:val="28"/>
              <w:spacing w:before="76"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40" w:hRule="atLeast"/>
        </w:trPr>
        <w:tc>
          <w:tcPr>
            <w:tcW w:w="537" w:type="dxa"/>
            <w:vMerge w:val="restart"/>
            <w:tcBorders>
              <w:bottom w:val="nil"/>
            </w:tcBorders>
            <w:vAlign w:val="top"/>
          </w:tcPr>
          <w:p>
            <w:pPr>
              <w:spacing w:line="314" w:lineRule="auto"/>
              <w:rPr>
                <w:rFonts w:ascii="Arial"/>
                <w:sz w:val="21"/>
              </w:rPr>
            </w:pPr>
          </w:p>
          <w:p>
            <w:pPr>
              <w:spacing w:line="314" w:lineRule="auto"/>
              <w:rPr>
                <w:rFonts w:ascii="Arial"/>
                <w:sz w:val="21"/>
              </w:rPr>
            </w:pPr>
          </w:p>
          <w:p>
            <w:pPr>
              <w:spacing w:line="315" w:lineRule="auto"/>
              <w:rPr>
                <w:rFonts w:ascii="Arial"/>
                <w:sz w:val="21"/>
              </w:rPr>
            </w:pPr>
          </w:p>
          <w:p>
            <w:pPr>
              <w:pStyle w:val="28"/>
              <w:spacing w:before="71"/>
              <w:ind w:left="274"/>
              <w:rPr>
                <w:sz w:val="22"/>
                <w:szCs w:val="22"/>
              </w:rPr>
            </w:pPr>
            <w:r>
              <w:rPr>
                <w:spacing w:val="-13"/>
                <w:sz w:val="22"/>
                <w:szCs w:val="22"/>
              </w:rPr>
              <w:t>18</w:t>
            </w:r>
          </w:p>
        </w:tc>
        <w:tc>
          <w:tcPr>
            <w:tcW w:w="1588" w:type="dxa"/>
            <w:vMerge w:val="restart"/>
            <w:tcBorders>
              <w:bottom w:val="nil"/>
            </w:tcBorders>
            <w:vAlign w:val="top"/>
          </w:tcPr>
          <w:p>
            <w:pPr>
              <w:spacing w:line="314" w:lineRule="auto"/>
              <w:rPr>
                <w:rFonts w:ascii="Arial"/>
                <w:sz w:val="21"/>
              </w:rPr>
            </w:pPr>
          </w:p>
          <w:p>
            <w:pPr>
              <w:spacing w:line="314" w:lineRule="auto"/>
              <w:rPr>
                <w:rFonts w:ascii="Arial"/>
                <w:sz w:val="21"/>
              </w:rPr>
            </w:pPr>
          </w:p>
          <w:p>
            <w:pPr>
              <w:spacing w:line="315" w:lineRule="auto"/>
              <w:rPr>
                <w:rFonts w:ascii="Arial"/>
                <w:sz w:val="21"/>
              </w:rPr>
            </w:pPr>
          </w:p>
          <w:p>
            <w:pPr>
              <w:pStyle w:val="28"/>
              <w:spacing w:before="71" w:line="219" w:lineRule="auto"/>
              <w:ind w:left="315"/>
              <w:rPr>
                <w:sz w:val="22"/>
                <w:szCs w:val="22"/>
              </w:rPr>
            </w:pPr>
            <w:r>
              <w:rPr>
                <w:spacing w:val="-3"/>
                <w:sz w:val="22"/>
                <w:szCs w:val="22"/>
              </w:rPr>
              <w:t>富县融媒体中心</w:t>
            </w:r>
          </w:p>
        </w:tc>
        <w:tc>
          <w:tcPr>
            <w:tcW w:w="857" w:type="dxa"/>
            <w:vMerge w:val="restart"/>
            <w:tcBorders>
              <w:bottom w:val="nil"/>
            </w:tcBorders>
            <w:vAlign w:val="top"/>
          </w:tcPr>
          <w:p>
            <w:pPr>
              <w:spacing w:line="314" w:lineRule="auto"/>
              <w:rPr>
                <w:rFonts w:ascii="Arial"/>
                <w:sz w:val="21"/>
              </w:rPr>
            </w:pPr>
          </w:p>
          <w:p>
            <w:pPr>
              <w:spacing w:line="314" w:lineRule="auto"/>
              <w:rPr>
                <w:rFonts w:ascii="Arial"/>
                <w:sz w:val="21"/>
              </w:rPr>
            </w:pPr>
          </w:p>
          <w:p>
            <w:pPr>
              <w:spacing w:line="314" w:lineRule="auto"/>
              <w:rPr>
                <w:rFonts w:ascii="Arial"/>
                <w:sz w:val="21"/>
              </w:rPr>
            </w:pPr>
          </w:p>
          <w:p>
            <w:pPr>
              <w:pStyle w:val="28"/>
              <w:spacing w:before="71"/>
              <w:ind w:left="199"/>
              <w:rPr>
                <w:sz w:val="22"/>
                <w:szCs w:val="22"/>
              </w:rPr>
            </w:pPr>
            <w:r>
              <w:rPr>
                <w:spacing w:val="-2"/>
                <w:sz w:val="22"/>
                <w:szCs w:val="22"/>
              </w:rPr>
              <w:t>2469.98</w:t>
            </w:r>
          </w:p>
        </w:tc>
        <w:tc>
          <w:tcPr>
            <w:tcW w:w="1502" w:type="dxa"/>
            <w:vAlign w:val="top"/>
          </w:tcPr>
          <w:p>
            <w:pPr>
              <w:spacing w:line="299" w:lineRule="auto"/>
              <w:rPr>
                <w:rFonts w:ascii="Arial"/>
                <w:sz w:val="21"/>
              </w:rPr>
            </w:pPr>
          </w:p>
          <w:p>
            <w:pPr>
              <w:spacing w:line="300" w:lineRule="auto"/>
              <w:rPr>
                <w:rFonts w:ascii="Arial"/>
                <w:sz w:val="21"/>
              </w:rPr>
            </w:pPr>
          </w:p>
          <w:p>
            <w:pPr>
              <w:pStyle w:val="28"/>
              <w:spacing w:before="72" w:line="219" w:lineRule="auto"/>
              <w:ind w:left="258"/>
              <w:rPr>
                <w:sz w:val="22"/>
                <w:szCs w:val="22"/>
              </w:rPr>
            </w:pPr>
            <w:r>
              <w:rPr>
                <w:spacing w:val="-3"/>
                <w:sz w:val="22"/>
                <w:szCs w:val="22"/>
              </w:rPr>
              <w:t>富县融媒体中心</w:t>
            </w:r>
          </w:p>
        </w:tc>
        <w:tc>
          <w:tcPr>
            <w:tcW w:w="491" w:type="dxa"/>
            <w:vAlign w:val="top"/>
          </w:tcPr>
          <w:p>
            <w:pPr>
              <w:spacing w:line="299" w:lineRule="auto"/>
              <w:rPr>
                <w:rFonts w:ascii="Arial"/>
                <w:sz w:val="21"/>
              </w:rPr>
            </w:pPr>
          </w:p>
          <w:p>
            <w:pPr>
              <w:spacing w:line="299" w:lineRule="auto"/>
              <w:rPr>
                <w:rFonts w:ascii="Arial"/>
                <w:sz w:val="21"/>
              </w:rPr>
            </w:pPr>
          </w:p>
          <w:p>
            <w:pPr>
              <w:pStyle w:val="28"/>
              <w:spacing w:before="72" w:line="242" w:lineRule="auto"/>
              <w:ind w:left="281"/>
              <w:rPr>
                <w:sz w:val="22"/>
                <w:szCs w:val="22"/>
              </w:rPr>
            </w:pPr>
            <w:r>
              <w:rPr>
                <w:sz w:val="22"/>
                <w:szCs w:val="22"/>
              </w:rPr>
              <w:t>4</w:t>
            </w:r>
          </w:p>
        </w:tc>
        <w:tc>
          <w:tcPr>
            <w:tcW w:w="546" w:type="dxa"/>
            <w:vAlign w:val="top"/>
          </w:tcPr>
          <w:p>
            <w:pPr>
              <w:spacing w:line="299" w:lineRule="auto"/>
              <w:rPr>
                <w:rFonts w:ascii="Arial"/>
                <w:sz w:val="21"/>
              </w:rPr>
            </w:pPr>
          </w:p>
          <w:p>
            <w:pPr>
              <w:spacing w:line="300" w:lineRule="auto"/>
              <w:rPr>
                <w:rFonts w:ascii="Arial"/>
                <w:sz w:val="21"/>
              </w:rPr>
            </w:pPr>
          </w:p>
          <w:p>
            <w:pPr>
              <w:pStyle w:val="28"/>
              <w:spacing w:before="72"/>
              <w:ind w:left="320"/>
              <w:rPr>
                <w:sz w:val="22"/>
                <w:szCs w:val="22"/>
              </w:rPr>
            </w:pPr>
            <w:r>
              <w:rPr>
                <w:sz w:val="22"/>
                <w:szCs w:val="22"/>
              </w:rPr>
              <w:t>0</w:t>
            </w:r>
          </w:p>
        </w:tc>
        <w:tc>
          <w:tcPr>
            <w:tcW w:w="780" w:type="dxa"/>
            <w:vMerge w:val="restart"/>
            <w:tcBorders>
              <w:bottom w:val="nil"/>
            </w:tcBorders>
            <w:vAlign w:val="top"/>
          </w:tcPr>
          <w:p>
            <w:pPr>
              <w:spacing w:line="314" w:lineRule="auto"/>
              <w:rPr>
                <w:rFonts w:ascii="Arial"/>
                <w:sz w:val="21"/>
              </w:rPr>
            </w:pPr>
          </w:p>
          <w:p>
            <w:pPr>
              <w:spacing w:line="314" w:lineRule="auto"/>
              <w:rPr>
                <w:rFonts w:ascii="Arial"/>
                <w:sz w:val="21"/>
              </w:rPr>
            </w:pPr>
          </w:p>
          <w:p>
            <w:pPr>
              <w:spacing w:line="314" w:lineRule="auto"/>
              <w:rPr>
                <w:rFonts w:ascii="Arial"/>
                <w:sz w:val="21"/>
              </w:rPr>
            </w:pPr>
          </w:p>
          <w:p>
            <w:pPr>
              <w:pStyle w:val="28"/>
              <w:spacing w:before="71"/>
              <w:ind w:left="150"/>
              <w:rPr>
                <w:sz w:val="22"/>
                <w:szCs w:val="22"/>
              </w:rPr>
            </w:pPr>
            <w:r>
              <w:rPr>
                <w:spacing w:val="-2"/>
                <w:sz w:val="22"/>
                <w:szCs w:val="22"/>
              </w:rPr>
              <w:t>2469.98</w:t>
            </w:r>
          </w:p>
        </w:tc>
        <w:tc>
          <w:tcPr>
            <w:tcW w:w="691" w:type="dxa"/>
            <w:vAlign w:val="top"/>
          </w:tcPr>
          <w:p>
            <w:pPr>
              <w:spacing w:line="299" w:lineRule="auto"/>
              <w:rPr>
                <w:rFonts w:ascii="Arial"/>
                <w:sz w:val="21"/>
              </w:rPr>
            </w:pPr>
          </w:p>
          <w:p>
            <w:pPr>
              <w:spacing w:line="300" w:lineRule="auto"/>
              <w:rPr>
                <w:rFonts w:ascii="Arial"/>
                <w:sz w:val="21"/>
              </w:rPr>
            </w:pPr>
          </w:p>
          <w:p>
            <w:pPr>
              <w:pStyle w:val="28"/>
              <w:spacing w:before="72"/>
              <w:ind w:left="419"/>
              <w:rPr>
                <w:sz w:val="22"/>
                <w:szCs w:val="22"/>
              </w:rPr>
            </w:pPr>
            <w:r>
              <w:rPr>
                <w:sz w:val="22"/>
                <w:szCs w:val="22"/>
              </w:rPr>
              <w:t>0</w:t>
            </w:r>
          </w:p>
        </w:tc>
        <w:tc>
          <w:tcPr>
            <w:tcW w:w="691" w:type="dxa"/>
            <w:vAlign w:val="top"/>
          </w:tcPr>
          <w:p>
            <w:pPr>
              <w:spacing w:line="299" w:lineRule="auto"/>
              <w:rPr>
                <w:rFonts w:ascii="Arial"/>
                <w:sz w:val="21"/>
              </w:rPr>
            </w:pPr>
          </w:p>
          <w:p>
            <w:pPr>
              <w:spacing w:line="300" w:lineRule="auto"/>
              <w:rPr>
                <w:rFonts w:ascii="Arial"/>
                <w:sz w:val="21"/>
              </w:rPr>
            </w:pPr>
          </w:p>
          <w:p>
            <w:pPr>
              <w:pStyle w:val="28"/>
              <w:spacing w:before="72"/>
              <w:ind w:left="377"/>
              <w:rPr>
                <w:sz w:val="22"/>
                <w:szCs w:val="22"/>
              </w:rPr>
            </w:pPr>
            <w:r>
              <w:rPr>
                <w:spacing w:val="-13"/>
                <w:sz w:val="22"/>
                <w:szCs w:val="22"/>
              </w:rPr>
              <w:t>16</w:t>
            </w:r>
          </w:p>
        </w:tc>
        <w:tc>
          <w:tcPr>
            <w:tcW w:w="1693" w:type="dxa"/>
            <w:vAlign w:val="top"/>
          </w:tcPr>
          <w:p>
            <w:pPr>
              <w:pStyle w:val="28"/>
              <w:spacing w:before="52" w:line="252" w:lineRule="auto"/>
              <w:ind w:left="117" w:right="103" w:firstLine="1"/>
              <w:rPr>
                <w:sz w:val="22"/>
                <w:szCs w:val="22"/>
              </w:rPr>
            </w:pPr>
            <w:r>
              <w:rPr>
                <w:spacing w:val="7"/>
                <w:sz w:val="22"/>
                <w:szCs w:val="22"/>
              </w:rPr>
              <w:t>消防应急照明及疏散</w:t>
            </w:r>
            <w:r>
              <w:rPr>
                <w:spacing w:val="8"/>
                <w:sz w:val="22"/>
                <w:szCs w:val="22"/>
              </w:rPr>
              <w:t>指示系统、灭火器、消防给水及消火栓系统（室外消火栓、消</w:t>
            </w:r>
            <w:r>
              <w:rPr>
                <w:spacing w:val="-3"/>
                <w:sz w:val="22"/>
                <w:szCs w:val="22"/>
              </w:rPr>
              <w:t>防泵房）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5" w:hRule="atLeast"/>
        </w:trPr>
        <w:tc>
          <w:tcPr>
            <w:tcW w:w="537" w:type="dxa"/>
            <w:vMerge w:val="continue"/>
            <w:tcBorders>
              <w:top w:val="nil"/>
            </w:tcBorders>
            <w:vAlign w:val="top"/>
          </w:tcPr>
          <w:p>
            <w:pPr>
              <w:rPr>
                <w:rFonts w:ascii="Arial"/>
                <w:sz w:val="21"/>
              </w:rPr>
            </w:pPr>
          </w:p>
        </w:tc>
        <w:tc>
          <w:tcPr>
            <w:tcW w:w="1588" w:type="dxa"/>
            <w:vMerge w:val="continue"/>
            <w:tcBorders>
              <w:top w:val="nil"/>
            </w:tcBorders>
            <w:vAlign w:val="top"/>
          </w:tcPr>
          <w:p>
            <w:pPr>
              <w:rPr>
                <w:rFonts w:ascii="Arial"/>
                <w:sz w:val="21"/>
              </w:rPr>
            </w:pPr>
          </w:p>
        </w:tc>
        <w:tc>
          <w:tcPr>
            <w:tcW w:w="857" w:type="dxa"/>
            <w:vMerge w:val="continue"/>
            <w:tcBorders>
              <w:top w:val="nil"/>
            </w:tcBorders>
            <w:vAlign w:val="top"/>
          </w:tcPr>
          <w:p>
            <w:pPr>
              <w:rPr>
                <w:rFonts w:ascii="Arial"/>
                <w:sz w:val="21"/>
              </w:rPr>
            </w:pPr>
          </w:p>
        </w:tc>
        <w:tc>
          <w:tcPr>
            <w:tcW w:w="1502" w:type="dxa"/>
            <w:vAlign w:val="top"/>
          </w:tcPr>
          <w:p>
            <w:pPr>
              <w:pStyle w:val="28"/>
              <w:spacing w:before="235" w:line="221" w:lineRule="auto"/>
              <w:ind w:left="469"/>
              <w:rPr>
                <w:sz w:val="22"/>
                <w:szCs w:val="22"/>
              </w:rPr>
            </w:pPr>
            <w:r>
              <w:rPr>
                <w:spacing w:val="-2"/>
                <w:sz w:val="22"/>
                <w:szCs w:val="22"/>
              </w:rPr>
              <w:t>燃气锅炉房</w:t>
            </w:r>
          </w:p>
        </w:tc>
        <w:tc>
          <w:tcPr>
            <w:tcW w:w="491" w:type="dxa"/>
            <w:vAlign w:val="top"/>
          </w:tcPr>
          <w:p>
            <w:pPr>
              <w:pStyle w:val="28"/>
              <w:spacing w:before="235" w:line="242" w:lineRule="auto"/>
              <w:ind w:left="298"/>
              <w:rPr>
                <w:sz w:val="22"/>
                <w:szCs w:val="22"/>
              </w:rPr>
            </w:pPr>
            <w:r>
              <w:rPr>
                <w:sz w:val="22"/>
                <w:szCs w:val="22"/>
              </w:rPr>
              <w:t>1</w:t>
            </w:r>
          </w:p>
        </w:tc>
        <w:tc>
          <w:tcPr>
            <w:tcW w:w="546" w:type="dxa"/>
            <w:vAlign w:val="top"/>
          </w:tcPr>
          <w:p>
            <w:pPr>
              <w:pStyle w:val="28"/>
              <w:spacing w:before="236"/>
              <w:ind w:left="320"/>
              <w:rPr>
                <w:sz w:val="22"/>
                <w:szCs w:val="22"/>
              </w:rPr>
            </w:pPr>
            <w:r>
              <w:rPr>
                <w:sz w:val="22"/>
                <w:szCs w:val="22"/>
              </w:rPr>
              <w:t>0</w:t>
            </w:r>
          </w:p>
        </w:tc>
        <w:tc>
          <w:tcPr>
            <w:tcW w:w="780" w:type="dxa"/>
            <w:vMerge w:val="continue"/>
            <w:tcBorders>
              <w:top w:val="nil"/>
            </w:tcBorders>
            <w:vAlign w:val="top"/>
          </w:tcPr>
          <w:p>
            <w:pPr>
              <w:rPr>
                <w:rFonts w:ascii="Arial"/>
                <w:sz w:val="21"/>
              </w:rPr>
            </w:pPr>
          </w:p>
        </w:tc>
        <w:tc>
          <w:tcPr>
            <w:tcW w:w="691" w:type="dxa"/>
            <w:vAlign w:val="top"/>
          </w:tcPr>
          <w:p>
            <w:pPr>
              <w:pStyle w:val="28"/>
              <w:spacing w:before="236"/>
              <w:ind w:left="419"/>
              <w:rPr>
                <w:sz w:val="22"/>
                <w:szCs w:val="22"/>
              </w:rPr>
            </w:pPr>
            <w:r>
              <w:rPr>
                <w:sz w:val="22"/>
                <w:szCs w:val="22"/>
              </w:rPr>
              <w:t>0</w:t>
            </w:r>
          </w:p>
        </w:tc>
        <w:tc>
          <w:tcPr>
            <w:tcW w:w="691" w:type="dxa"/>
            <w:vAlign w:val="top"/>
          </w:tcPr>
          <w:p>
            <w:pPr>
              <w:pStyle w:val="28"/>
              <w:spacing w:before="235"/>
              <w:ind w:left="307"/>
              <w:rPr>
                <w:sz w:val="22"/>
                <w:szCs w:val="22"/>
              </w:rPr>
            </w:pPr>
            <w:r>
              <w:rPr>
                <w:spacing w:val="-3"/>
                <w:sz w:val="22"/>
                <w:szCs w:val="22"/>
              </w:rPr>
              <w:t>4.2</w:t>
            </w:r>
          </w:p>
        </w:tc>
        <w:tc>
          <w:tcPr>
            <w:tcW w:w="1693" w:type="dxa"/>
            <w:vAlign w:val="top"/>
          </w:tcPr>
          <w:p>
            <w:pPr>
              <w:pStyle w:val="28"/>
              <w:spacing w:before="79"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5" w:hRule="atLeast"/>
        </w:trPr>
        <w:tc>
          <w:tcPr>
            <w:tcW w:w="537" w:type="dxa"/>
            <w:vAlign w:val="top"/>
          </w:tcPr>
          <w:p>
            <w:pPr>
              <w:pStyle w:val="28"/>
              <w:spacing w:before="234"/>
              <w:ind w:left="274"/>
              <w:rPr>
                <w:sz w:val="22"/>
                <w:szCs w:val="22"/>
              </w:rPr>
            </w:pPr>
            <w:r>
              <w:rPr>
                <w:spacing w:val="-13"/>
                <w:sz w:val="22"/>
                <w:szCs w:val="22"/>
              </w:rPr>
              <w:t>19</w:t>
            </w:r>
          </w:p>
        </w:tc>
        <w:tc>
          <w:tcPr>
            <w:tcW w:w="1588" w:type="dxa"/>
            <w:vAlign w:val="top"/>
          </w:tcPr>
          <w:p>
            <w:pPr>
              <w:pStyle w:val="28"/>
              <w:spacing w:before="78" w:line="251" w:lineRule="auto"/>
              <w:ind w:left="310" w:right="186" w:hanging="115"/>
              <w:rPr>
                <w:sz w:val="22"/>
                <w:szCs w:val="22"/>
              </w:rPr>
            </w:pPr>
            <w:r>
              <w:rPr>
                <w:spacing w:val="-2"/>
                <w:sz w:val="22"/>
                <w:szCs w:val="22"/>
              </w:rPr>
              <w:t>沙梁综合广场项目</w:t>
            </w:r>
            <w:r>
              <w:rPr>
                <w:spacing w:val="-3"/>
                <w:sz w:val="22"/>
                <w:szCs w:val="22"/>
              </w:rPr>
              <w:t>（鄜州博物馆）</w:t>
            </w:r>
          </w:p>
        </w:tc>
        <w:tc>
          <w:tcPr>
            <w:tcW w:w="857" w:type="dxa"/>
            <w:vAlign w:val="top"/>
          </w:tcPr>
          <w:p>
            <w:pPr>
              <w:pStyle w:val="28"/>
              <w:spacing w:before="234"/>
              <w:ind w:left="195"/>
              <w:rPr>
                <w:sz w:val="22"/>
                <w:szCs w:val="22"/>
              </w:rPr>
            </w:pPr>
            <w:r>
              <w:rPr>
                <w:spacing w:val="-1"/>
                <w:sz w:val="22"/>
                <w:szCs w:val="22"/>
              </w:rPr>
              <w:t>4551.86</w:t>
            </w:r>
          </w:p>
        </w:tc>
        <w:tc>
          <w:tcPr>
            <w:tcW w:w="1502" w:type="dxa"/>
            <w:vAlign w:val="top"/>
          </w:tcPr>
          <w:p>
            <w:pPr>
              <w:pStyle w:val="28"/>
              <w:spacing w:before="78" w:line="251" w:lineRule="auto"/>
              <w:ind w:left="253" w:right="126" w:hanging="115"/>
              <w:rPr>
                <w:sz w:val="22"/>
                <w:szCs w:val="22"/>
              </w:rPr>
            </w:pPr>
            <w:r>
              <w:rPr>
                <w:spacing w:val="-2"/>
                <w:sz w:val="22"/>
                <w:szCs w:val="22"/>
              </w:rPr>
              <w:t>沙梁综合广场项目</w:t>
            </w:r>
            <w:r>
              <w:rPr>
                <w:spacing w:val="-3"/>
                <w:sz w:val="22"/>
                <w:szCs w:val="22"/>
              </w:rPr>
              <w:t>（鄜州博物馆）</w:t>
            </w:r>
          </w:p>
        </w:tc>
        <w:tc>
          <w:tcPr>
            <w:tcW w:w="491" w:type="dxa"/>
            <w:vAlign w:val="top"/>
          </w:tcPr>
          <w:p>
            <w:pPr>
              <w:pStyle w:val="28"/>
              <w:spacing w:before="234"/>
              <w:ind w:left="286"/>
              <w:rPr>
                <w:sz w:val="22"/>
                <w:szCs w:val="22"/>
              </w:rPr>
            </w:pPr>
            <w:r>
              <w:rPr>
                <w:sz w:val="22"/>
                <w:szCs w:val="22"/>
              </w:rPr>
              <w:t>3</w:t>
            </w:r>
          </w:p>
        </w:tc>
        <w:tc>
          <w:tcPr>
            <w:tcW w:w="546" w:type="dxa"/>
            <w:vAlign w:val="top"/>
          </w:tcPr>
          <w:p>
            <w:pPr>
              <w:pStyle w:val="28"/>
              <w:spacing w:before="234" w:line="242" w:lineRule="auto"/>
              <w:ind w:left="334"/>
              <w:rPr>
                <w:sz w:val="22"/>
                <w:szCs w:val="22"/>
              </w:rPr>
            </w:pPr>
            <w:r>
              <w:rPr>
                <w:sz w:val="22"/>
                <w:szCs w:val="22"/>
              </w:rPr>
              <w:t>1</w:t>
            </w:r>
          </w:p>
        </w:tc>
        <w:tc>
          <w:tcPr>
            <w:tcW w:w="780" w:type="dxa"/>
            <w:vAlign w:val="top"/>
          </w:tcPr>
          <w:p>
            <w:pPr>
              <w:pStyle w:val="28"/>
              <w:spacing w:before="234"/>
              <w:ind w:left="146"/>
              <w:rPr>
                <w:sz w:val="22"/>
                <w:szCs w:val="22"/>
              </w:rPr>
            </w:pPr>
            <w:r>
              <w:rPr>
                <w:spacing w:val="-1"/>
                <w:sz w:val="22"/>
                <w:szCs w:val="22"/>
              </w:rPr>
              <w:t>4551.86</w:t>
            </w:r>
          </w:p>
        </w:tc>
        <w:tc>
          <w:tcPr>
            <w:tcW w:w="691" w:type="dxa"/>
            <w:vAlign w:val="top"/>
          </w:tcPr>
          <w:p>
            <w:pPr>
              <w:pStyle w:val="28"/>
              <w:spacing w:before="234"/>
              <w:ind w:left="419"/>
              <w:rPr>
                <w:sz w:val="22"/>
                <w:szCs w:val="22"/>
              </w:rPr>
            </w:pPr>
            <w:r>
              <w:rPr>
                <w:sz w:val="22"/>
                <w:szCs w:val="22"/>
              </w:rPr>
              <w:t>0</w:t>
            </w:r>
          </w:p>
        </w:tc>
        <w:tc>
          <w:tcPr>
            <w:tcW w:w="691" w:type="dxa"/>
            <w:vAlign w:val="top"/>
          </w:tcPr>
          <w:p>
            <w:pPr>
              <w:pStyle w:val="28"/>
              <w:spacing w:before="234"/>
              <w:ind w:left="377"/>
              <w:rPr>
                <w:sz w:val="22"/>
                <w:szCs w:val="22"/>
              </w:rPr>
            </w:pPr>
            <w:r>
              <w:rPr>
                <w:spacing w:val="-13"/>
                <w:sz w:val="22"/>
                <w:szCs w:val="22"/>
              </w:rPr>
              <w:t>15</w:t>
            </w:r>
          </w:p>
        </w:tc>
        <w:tc>
          <w:tcPr>
            <w:tcW w:w="1693" w:type="dxa"/>
            <w:vAlign w:val="top"/>
          </w:tcPr>
          <w:p>
            <w:pPr>
              <w:pStyle w:val="28"/>
              <w:spacing w:before="78"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bl>
    <w:p>
      <w:pPr>
        <w:pStyle w:val="7"/>
      </w:pPr>
    </w:p>
    <w:p>
      <w:pPr>
        <w:sectPr>
          <w:footerReference r:id="rId10" w:type="default"/>
          <w:pgSz w:w="11906" w:h="16839"/>
          <w:pgMar w:top="937" w:right="1152" w:bottom="936" w:left="1012" w:header="0" w:footer="987" w:gutter="0"/>
          <w:cols w:space="720" w:num="1"/>
        </w:sectPr>
      </w:pPr>
    </w:p>
    <w:p>
      <w:pPr>
        <w:spacing w:before="21"/>
      </w:pPr>
    </w:p>
    <w:p>
      <w:pPr>
        <w:spacing w:before="21"/>
      </w:pPr>
    </w:p>
    <w:p>
      <w:pPr>
        <w:spacing w:before="21"/>
      </w:pPr>
    </w:p>
    <w:tbl>
      <w:tblPr>
        <w:tblStyle w:val="27"/>
        <w:tblW w:w="97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57"/>
        <w:gridCol w:w="1646"/>
        <w:gridCol w:w="888"/>
        <w:gridCol w:w="1556"/>
        <w:gridCol w:w="509"/>
        <w:gridCol w:w="565"/>
        <w:gridCol w:w="808"/>
        <w:gridCol w:w="716"/>
        <w:gridCol w:w="716"/>
        <w:gridCol w:w="175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74" w:hRule="atLeast"/>
        </w:trPr>
        <w:tc>
          <w:tcPr>
            <w:tcW w:w="557"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4" w:lineRule="auto"/>
              <w:rPr>
                <w:rFonts w:ascii="Arial"/>
                <w:sz w:val="21"/>
              </w:rPr>
            </w:pPr>
          </w:p>
          <w:p>
            <w:pPr>
              <w:pStyle w:val="28"/>
              <w:spacing w:before="71"/>
              <w:ind w:left="260"/>
              <w:rPr>
                <w:sz w:val="22"/>
                <w:szCs w:val="22"/>
              </w:rPr>
            </w:pPr>
            <w:r>
              <w:rPr>
                <w:spacing w:val="-6"/>
                <w:sz w:val="22"/>
                <w:szCs w:val="22"/>
              </w:rPr>
              <w:t>20</w:t>
            </w:r>
          </w:p>
        </w:tc>
        <w:tc>
          <w:tcPr>
            <w:tcW w:w="1646" w:type="dxa"/>
            <w:vMerge w:val="restart"/>
            <w:tcBorders>
              <w:bottom w:val="nil"/>
            </w:tcBorders>
            <w:vAlign w:val="top"/>
          </w:tcPr>
          <w:p>
            <w:pPr>
              <w:spacing w:line="302" w:lineRule="auto"/>
              <w:rPr>
                <w:rFonts w:ascii="Arial"/>
                <w:sz w:val="21"/>
              </w:rPr>
            </w:pPr>
          </w:p>
          <w:p>
            <w:pPr>
              <w:spacing w:line="302" w:lineRule="auto"/>
              <w:rPr>
                <w:rFonts w:ascii="Arial"/>
                <w:sz w:val="21"/>
              </w:rPr>
            </w:pPr>
          </w:p>
          <w:p>
            <w:pPr>
              <w:pStyle w:val="28"/>
              <w:spacing w:before="71" w:line="221" w:lineRule="auto"/>
              <w:ind w:left="205"/>
              <w:rPr>
                <w:sz w:val="22"/>
                <w:szCs w:val="22"/>
              </w:rPr>
            </w:pPr>
            <w:r>
              <w:rPr>
                <w:spacing w:val="-3"/>
                <w:sz w:val="22"/>
                <w:szCs w:val="22"/>
              </w:rPr>
              <w:t>富县苹果非疫区项</w:t>
            </w:r>
          </w:p>
          <w:p>
            <w:pPr>
              <w:pStyle w:val="28"/>
              <w:spacing w:before="48" w:line="223" w:lineRule="auto"/>
              <w:ind w:left="1006"/>
              <w:rPr>
                <w:sz w:val="22"/>
                <w:szCs w:val="22"/>
              </w:rPr>
            </w:pPr>
            <w:r>
              <w:rPr>
                <w:sz w:val="22"/>
                <w:szCs w:val="22"/>
              </w:rPr>
              <w:t>目</w:t>
            </w:r>
          </w:p>
        </w:tc>
        <w:tc>
          <w:tcPr>
            <w:tcW w:w="888" w:type="dxa"/>
            <w:vMerge w:val="restart"/>
            <w:tcBorders>
              <w:bottom w:val="nil"/>
            </w:tcBorders>
            <w:vAlign w:val="top"/>
          </w:tcPr>
          <w:p>
            <w:pPr>
              <w:spacing w:line="253" w:lineRule="auto"/>
              <w:rPr>
                <w:rFonts w:ascii="Arial"/>
                <w:sz w:val="21"/>
              </w:rPr>
            </w:pPr>
          </w:p>
          <w:p>
            <w:pPr>
              <w:spacing w:line="253" w:lineRule="auto"/>
              <w:rPr>
                <w:rFonts w:ascii="Arial"/>
                <w:sz w:val="21"/>
              </w:rPr>
            </w:pPr>
          </w:p>
          <w:p>
            <w:pPr>
              <w:spacing w:line="254" w:lineRule="auto"/>
              <w:rPr>
                <w:rFonts w:ascii="Arial"/>
                <w:sz w:val="21"/>
              </w:rPr>
            </w:pPr>
          </w:p>
          <w:p>
            <w:pPr>
              <w:pStyle w:val="28"/>
              <w:spacing w:before="71"/>
              <w:ind w:left="364"/>
              <w:rPr>
                <w:sz w:val="22"/>
                <w:szCs w:val="22"/>
              </w:rPr>
            </w:pPr>
            <w:r>
              <w:rPr>
                <w:spacing w:val="-3"/>
                <w:sz w:val="22"/>
                <w:szCs w:val="22"/>
              </w:rPr>
              <w:t>2206</w:t>
            </w:r>
          </w:p>
        </w:tc>
        <w:tc>
          <w:tcPr>
            <w:tcW w:w="1556" w:type="dxa"/>
            <w:vAlign w:val="top"/>
          </w:tcPr>
          <w:p>
            <w:pPr>
              <w:pStyle w:val="28"/>
              <w:spacing w:before="50" w:line="221" w:lineRule="auto"/>
              <w:ind w:left="148"/>
              <w:rPr>
                <w:sz w:val="22"/>
                <w:szCs w:val="22"/>
              </w:rPr>
            </w:pPr>
            <w:r>
              <w:rPr>
                <w:spacing w:val="-3"/>
                <w:sz w:val="22"/>
                <w:szCs w:val="22"/>
              </w:rPr>
              <w:t>富县苹果非疫区项</w:t>
            </w:r>
          </w:p>
          <w:p>
            <w:pPr>
              <w:pStyle w:val="28"/>
              <w:spacing w:before="48" w:line="221" w:lineRule="auto"/>
              <w:ind w:left="208"/>
              <w:rPr>
                <w:sz w:val="22"/>
                <w:szCs w:val="22"/>
              </w:rPr>
            </w:pPr>
            <w:r>
              <w:rPr>
                <w:spacing w:val="-10"/>
                <w:sz w:val="22"/>
                <w:szCs w:val="22"/>
              </w:rPr>
              <w:t>目</w:t>
            </w:r>
            <w:r>
              <w:rPr>
                <w:spacing w:val="-27"/>
                <w:sz w:val="22"/>
                <w:szCs w:val="22"/>
              </w:rPr>
              <w:t xml:space="preserve"> </w:t>
            </w:r>
            <w:r>
              <w:rPr>
                <w:spacing w:val="-10"/>
                <w:sz w:val="22"/>
                <w:szCs w:val="22"/>
              </w:rPr>
              <w:t>1（应急药品器</w:t>
            </w:r>
          </w:p>
          <w:p>
            <w:pPr>
              <w:pStyle w:val="28"/>
              <w:spacing w:before="49" w:line="218" w:lineRule="auto"/>
              <w:ind w:left="685"/>
              <w:rPr>
                <w:sz w:val="22"/>
                <w:szCs w:val="22"/>
              </w:rPr>
            </w:pPr>
            <w:r>
              <w:rPr>
                <w:spacing w:val="-2"/>
                <w:sz w:val="22"/>
                <w:szCs w:val="22"/>
              </w:rPr>
              <w:t>械库）</w:t>
            </w:r>
          </w:p>
        </w:tc>
        <w:tc>
          <w:tcPr>
            <w:tcW w:w="509" w:type="dxa"/>
            <w:vAlign w:val="top"/>
          </w:tcPr>
          <w:p>
            <w:pPr>
              <w:spacing w:line="290" w:lineRule="auto"/>
              <w:rPr>
                <w:rFonts w:ascii="Arial"/>
                <w:sz w:val="21"/>
              </w:rPr>
            </w:pPr>
          </w:p>
          <w:p>
            <w:pPr>
              <w:pStyle w:val="28"/>
              <w:spacing w:before="71"/>
              <w:ind w:left="283"/>
              <w:rPr>
                <w:sz w:val="22"/>
                <w:szCs w:val="22"/>
              </w:rPr>
            </w:pPr>
            <w:r>
              <w:rPr>
                <w:sz w:val="22"/>
                <w:szCs w:val="22"/>
              </w:rPr>
              <w:t>6</w:t>
            </w:r>
          </w:p>
        </w:tc>
        <w:tc>
          <w:tcPr>
            <w:tcW w:w="565" w:type="dxa"/>
            <w:vAlign w:val="top"/>
          </w:tcPr>
          <w:p>
            <w:pPr>
              <w:spacing w:line="290" w:lineRule="auto"/>
              <w:rPr>
                <w:rFonts w:ascii="Arial"/>
                <w:sz w:val="21"/>
              </w:rPr>
            </w:pPr>
          </w:p>
          <w:p>
            <w:pPr>
              <w:pStyle w:val="28"/>
              <w:spacing w:before="71"/>
              <w:ind w:left="320"/>
              <w:rPr>
                <w:sz w:val="22"/>
                <w:szCs w:val="22"/>
              </w:rPr>
            </w:pPr>
            <w:r>
              <w:rPr>
                <w:sz w:val="22"/>
                <w:szCs w:val="22"/>
              </w:rPr>
              <w:t>0</w:t>
            </w:r>
          </w:p>
        </w:tc>
        <w:tc>
          <w:tcPr>
            <w:tcW w:w="808" w:type="dxa"/>
            <w:vAlign w:val="top"/>
          </w:tcPr>
          <w:p>
            <w:pPr>
              <w:spacing w:line="290" w:lineRule="auto"/>
              <w:rPr>
                <w:rFonts w:ascii="Arial"/>
                <w:sz w:val="21"/>
              </w:rPr>
            </w:pPr>
          </w:p>
          <w:p>
            <w:pPr>
              <w:pStyle w:val="28"/>
              <w:spacing w:before="71"/>
              <w:ind w:left="329"/>
              <w:rPr>
                <w:sz w:val="22"/>
                <w:szCs w:val="22"/>
              </w:rPr>
            </w:pPr>
            <w:r>
              <w:rPr>
                <w:spacing w:val="-6"/>
                <w:sz w:val="22"/>
                <w:szCs w:val="22"/>
              </w:rPr>
              <w:t>1800</w:t>
            </w:r>
          </w:p>
        </w:tc>
        <w:tc>
          <w:tcPr>
            <w:tcW w:w="716" w:type="dxa"/>
            <w:vAlign w:val="top"/>
          </w:tcPr>
          <w:p>
            <w:pPr>
              <w:spacing w:line="290" w:lineRule="auto"/>
              <w:rPr>
                <w:rFonts w:ascii="Arial"/>
                <w:sz w:val="21"/>
              </w:rPr>
            </w:pPr>
          </w:p>
          <w:p>
            <w:pPr>
              <w:pStyle w:val="28"/>
              <w:spacing w:before="71"/>
              <w:ind w:left="419"/>
              <w:rPr>
                <w:sz w:val="22"/>
                <w:szCs w:val="22"/>
              </w:rPr>
            </w:pPr>
            <w:r>
              <w:rPr>
                <w:sz w:val="22"/>
                <w:szCs w:val="22"/>
              </w:rPr>
              <w:t>0</w:t>
            </w:r>
          </w:p>
        </w:tc>
        <w:tc>
          <w:tcPr>
            <w:tcW w:w="716" w:type="dxa"/>
            <w:vAlign w:val="top"/>
          </w:tcPr>
          <w:p>
            <w:pPr>
              <w:spacing w:line="289" w:lineRule="auto"/>
              <w:rPr>
                <w:rFonts w:ascii="Arial"/>
                <w:sz w:val="21"/>
              </w:rPr>
            </w:pPr>
          </w:p>
          <w:p>
            <w:pPr>
              <w:pStyle w:val="28"/>
              <w:spacing w:before="71"/>
              <w:ind w:left="255"/>
              <w:rPr>
                <w:sz w:val="22"/>
                <w:szCs w:val="22"/>
              </w:rPr>
            </w:pPr>
            <w:r>
              <w:rPr>
                <w:spacing w:val="-3"/>
                <w:sz w:val="22"/>
                <w:szCs w:val="22"/>
              </w:rPr>
              <w:t>20.6</w:t>
            </w:r>
          </w:p>
        </w:tc>
        <w:tc>
          <w:tcPr>
            <w:tcW w:w="1754" w:type="dxa"/>
            <w:vAlign w:val="top"/>
          </w:tcPr>
          <w:p>
            <w:pPr>
              <w:pStyle w:val="28"/>
              <w:spacing w:before="206"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557" w:type="dxa"/>
            <w:vMerge w:val="continue"/>
            <w:tcBorders>
              <w:top w:val="nil"/>
            </w:tcBorders>
            <w:vAlign w:val="top"/>
          </w:tcPr>
          <w:p>
            <w:pPr>
              <w:rPr>
                <w:rFonts w:ascii="Arial"/>
                <w:sz w:val="21"/>
              </w:rPr>
            </w:pPr>
          </w:p>
        </w:tc>
        <w:tc>
          <w:tcPr>
            <w:tcW w:w="1646" w:type="dxa"/>
            <w:vMerge w:val="continue"/>
            <w:tcBorders>
              <w:top w:val="nil"/>
            </w:tcBorders>
            <w:vAlign w:val="top"/>
          </w:tcPr>
          <w:p>
            <w:pPr>
              <w:rPr>
                <w:rFonts w:ascii="Arial"/>
                <w:sz w:val="21"/>
              </w:rPr>
            </w:pPr>
          </w:p>
        </w:tc>
        <w:tc>
          <w:tcPr>
            <w:tcW w:w="888" w:type="dxa"/>
            <w:vMerge w:val="continue"/>
            <w:tcBorders>
              <w:top w:val="nil"/>
            </w:tcBorders>
            <w:vAlign w:val="top"/>
          </w:tcPr>
          <w:p>
            <w:pPr>
              <w:rPr>
                <w:rFonts w:ascii="Arial"/>
                <w:sz w:val="21"/>
              </w:rPr>
            </w:pPr>
          </w:p>
        </w:tc>
        <w:tc>
          <w:tcPr>
            <w:tcW w:w="1556" w:type="dxa"/>
            <w:vAlign w:val="top"/>
          </w:tcPr>
          <w:p>
            <w:pPr>
              <w:pStyle w:val="28"/>
              <w:spacing w:before="46" w:line="221" w:lineRule="auto"/>
              <w:ind w:left="148"/>
              <w:rPr>
                <w:sz w:val="22"/>
                <w:szCs w:val="22"/>
              </w:rPr>
            </w:pPr>
            <w:r>
              <w:rPr>
                <w:spacing w:val="-3"/>
                <w:sz w:val="22"/>
                <w:szCs w:val="22"/>
              </w:rPr>
              <w:t>富县苹果非疫区项</w:t>
            </w:r>
          </w:p>
          <w:p>
            <w:pPr>
              <w:pStyle w:val="28"/>
              <w:spacing w:before="48" w:line="221" w:lineRule="auto"/>
              <w:ind w:left="208"/>
              <w:rPr>
                <w:sz w:val="22"/>
                <w:szCs w:val="22"/>
              </w:rPr>
            </w:pPr>
            <w:r>
              <w:rPr>
                <w:spacing w:val="-8"/>
                <w:sz w:val="22"/>
                <w:szCs w:val="22"/>
              </w:rPr>
              <w:t>目</w:t>
            </w:r>
            <w:r>
              <w:rPr>
                <w:spacing w:val="-43"/>
                <w:sz w:val="22"/>
                <w:szCs w:val="22"/>
              </w:rPr>
              <w:t xml:space="preserve"> </w:t>
            </w:r>
            <w:r>
              <w:rPr>
                <w:spacing w:val="-8"/>
                <w:sz w:val="22"/>
                <w:szCs w:val="22"/>
              </w:rPr>
              <w:t>2（应急药品器</w:t>
            </w:r>
          </w:p>
          <w:p>
            <w:pPr>
              <w:pStyle w:val="28"/>
              <w:spacing w:before="48" w:line="218" w:lineRule="auto"/>
              <w:ind w:left="685"/>
              <w:rPr>
                <w:sz w:val="22"/>
                <w:szCs w:val="22"/>
              </w:rPr>
            </w:pPr>
            <w:r>
              <w:rPr>
                <w:spacing w:val="-2"/>
                <w:sz w:val="22"/>
                <w:szCs w:val="22"/>
              </w:rPr>
              <w:t>械库）</w:t>
            </w:r>
          </w:p>
        </w:tc>
        <w:tc>
          <w:tcPr>
            <w:tcW w:w="509" w:type="dxa"/>
            <w:vAlign w:val="top"/>
          </w:tcPr>
          <w:p>
            <w:pPr>
              <w:spacing w:line="285" w:lineRule="auto"/>
              <w:rPr>
                <w:rFonts w:ascii="Arial"/>
                <w:sz w:val="21"/>
              </w:rPr>
            </w:pPr>
          </w:p>
          <w:p>
            <w:pPr>
              <w:pStyle w:val="28"/>
              <w:spacing w:before="71" w:line="242" w:lineRule="auto"/>
              <w:ind w:left="284"/>
              <w:rPr>
                <w:sz w:val="22"/>
                <w:szCs w:val="22"/>
              </w:rPr>
            </w:pPr>
            <w:r>
              <w:rPr>
                <w:sz w:val="22"/>
                <w:szCs w:val="22"/>
              </w:rPr>
              <w:t>2</w:t>
            </w:r>
          </w:p>
        </w:tc>
        <w:tc>
          <w:tcPr>
            <w:tcW w:w="565" w:type="dxa"/>
            <w:vAlign w:val="top"/>
          </w:tcPr>
          <w:p>
            <w:pPr>
              <w:spacing w:line="285" w:lineRule="auto"/>
              <w:rPr>
                <w:rFonts w:ascii="Arial"/>
                <w:sz w:val="21"/>
              </w:rPr>
            </w:pPr>
          </w:p>
          <w:p>
            <w:pPr>
              <w:pStyle w:val="28"/>
              <w:spacing w:before="72"/>
              <w:ind w:left="320"/>
              <w:rPr>
                <w:sz w:val="22"/>
                <w:szCs w:val="22"/>
              </w:rPr>
            </w:pPr>
            <w:r>
              <w:rPr>
                <w:sz w:val="22"/>
                <w:szCs w:val="22"/>
              </w:rPr>
              <w:t>0</w:t>
            </w:r>
          </w:p>
        </w:tc>
        <w:tc>
          <w:tcPr>
            <w:tcW w:w="808" w:type="dxa"/>
            <w:vAlign w:val="top"/>
          </w:tcPr>
          <w:p>
            <w:pPr>
              <w:spacing w:line="285" w:lineRule="auto"/>
              <w:rPr>
                <w:rFonts w:ascii="Arial"/>
                <w:sz w:val="21"/>
              </w:rPr>
            </w:pPr>
          </w:p>
          <w:p>
            <w:pPr>
              <w:pStyle w:val="28"/>
              <w:spacing w:before="72"/>
              <w:ind w:left="367"/>
              <w:rPr>
                <w:sz w:val="22"/>
                <w:szCs w:val="22"/>
              </w:rPr>
            </w:pPr>
            <w:r>
              <w:rPr>
                <w:spacing w:val="-3"/>
                <w:sz w:val="22"/>
                <w:szCs w:val="22"/>
              </w:rPr>
              <w:t>406</w:t>
            </w:r>
          </w:p>
        </w:tc>
        <w:tc>
          <w:tcPr>
            <w:tcW w:w="716" w:type="dxa"/>
            <w:vAlign w:val="top"/>
          </w:tcPr>
          <w:p>
            <w:pPr>
              <w:spacing w:line="285" w:lineRule="auto"/>
              <w:rPr>
                <w:rFonts w:ascii="Arial"/>
                <w:sz w:val="21"/>
              </w:rPr>
            </w:pPr>
          </w:p>
          <w:p>
            <w:pPr>
              <w:pStyle w:val="28"/>
              <w:spacing w:before="72"/>
              <w:ind w:left="419"/>
              <w:rPr>
                <w:sz w:val="22"/>
                <w:szCs w:val="22"/>
              </w:rPr>
            </w:pPr>
            <w:r>
              <w:rPr>
                <w:sz w:val="22"/>
                <w:szCs w:val="22"/>
              </w:rPr>
              <w:t>0</w:t>
            </w:r>
          </w:p>
        </w:tc>
        <w:tc>
          <w:tcPr>
            <w:tcW w:w="716" w:type="dxa"/>
            <w:vAlign w:val="top"/>
          </w:tcPr>
          <w:p>
            <w:pPr>
              <w:spacing w:line="284" w:lineRule="auto"/>
              <w:rPr>
                <w:rFonts w:ascii="Arial"/>
                <w:sz w:val="21"/>
              </w:rPr>
            </w:pPr>
          </w:p>
          <w:p>
            <w:pPr>
              <w:pStyle w:val="28"/>
              <w:spacing w:before="72"/>
              <w:ind w:left="313"/>
              <w:rPr>
                <w:sz w:val="22"/>
                <w:szCs w:val="22"/>
              </w:rPr>
            </w:pPr>
            <w:r>
              <w:rPr>
                <w:spacing w:val="-5"/>
                <w:sz w:val="22"/>
                <w:szCs w:val="22"/>
              </w:rPr>
              <w:t>7.8</w:t>
            </w:r>
          </w:p>
        </w:tc>
        <w:tc>
          <w:tcPr>
            <w:tcW w:w="1754" w:type="dxa"/>
            <w:vAlign w:val="top"/>
          </w:tcPr>
          <w:p>
            <w:pPr>
              <w:pStyle w:val="28"/>
              <w:spacing w:before="202"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2" w:hRule="atLeast"/>
        </w:trPr>
        <w:tc>
          <w:tcPr>
            <w:tcW w:w="557" w:type="dxa"/>
            <w:vAlign w:val="top"/>
          </w:tcPr>
          <w:p>
            <w:pPr>
              <w:pStyle w:val="28"/>
              <w:spacing w:before="231" w:line="242" w:lineRule="auto"/>
              <w:ind w:left="260"/>
              <w:rPr>
                <w:sz w:val="22"/>
                <w:szCs w:val="22"/>
              </w:rPr>
            </w:pPr>
            <w:r>
              <w:rPr>
                <w:spacing w:val="-6"/>
                <w:sz w:val="22"/>
                <w:szCs w:val="22"/>
              </w:rPr>
              <w:t>21</w:t>
            </w:r>
          </w:p>
        </w:tc>
        <w:tc>
          <w:tcPr>
            <w:tcW w:w="1646" w:type="dxa"/>
            <w:vAlign w:val="top"/>
          </w:tcPr>
          <w:p>
            <w:pPr>
              <w:pStyle w:val="28"/>
              <w:spacing w:before="75" w:line="251" w:lineRule="auto"/>
              <w:ind w:left="744" w:right="186" w:hanging="539"/>
              <w:rPr>
                <w:sz w:val="22"/>
                <w:szCs w:val="22"/>
              </w:rPr>
            </w:pPr>
            <w:r>
              <w:rPr>
                <w:spacing w:val="-3"/>
                <w:sz w:val="22"/>
                <w:szCs w:val="22"/>
              </w:rPr>
              <w:t>富县质检局食品检测用房</w:t>
            </w:r>
          </w:p>
        </w:tc>
        <w:tc>
          <w:tcPr>
            <w:tcW w:w="888" w:type="dxa"/>
            <w:vAlign w:val="top"/>
          </w:tcPr>
          <w:p>
            <w:pPr>
              <w:pStyle w:val="28"/>
              <w:spacing w:before="232"/>
              <w:ind w:left="419"/>
              <w:rPr>
                <w:sz w:val="22"/>
                <w:szCs w:val="22"/>
              </w:rPr>
            </w:pPr>
            <w:r>
              <w:rPr>
                <w:spacing w:val="-4"/>
                <w:sz w:val="22"/>
                <w:szCs w:val="22"/>
              </w:rPr>
              <w:t>600</w:t>
            </w:r>
          </w:p>
        </w:tc>
        <w:tc>
          <w:tcPr>
            <w:tcW w:w="1556" w:type="dxa"/>
            <w:vAlign w:val="top"/>
          </w:tcPr>
          <w:p>
            <w:pPr>
              <w:pStyle w:val="28"/>
              <w:spacing w:before="75" w:line="251" w:lineRule="auto"/>
              <w:ind w:left="687" w:right="126" w:hanging="539"/>
              <w:rPr>
                <w:sz w:val="22"/>
                <w:szCs w:val="22"/>
              </w:rPr>
            </w:pPr>
            <w:r>
              <w:rPr>
                <w:spacing w:val="-3"/>
                <w:sz w:val="22"/>
                <w:szCs w:val="22"/>
              </w:rPr>
              <w:t>富县质检局食品检测用房</w:t>
            </w:r>
          </w:p>
        </w:tc>
        <w:tc>
          <w:tcPr>
            <w:tcW w:w="509" w:type="dxa"/>
            <w:vAlign w:val="top"/>
          </w:tcPr>
          <w:p>
            <w:pPr>
              <w:pStyle w:val="28"/>
              <w:spacing w:before="232"/>
              <w:ind w:left="286"/>
              <w:rPr>
                <w:sz w:val="22"/>
                <w:szCs w:val="22"/>
              </w:rPr>
            </w:pPr>
            <w:r>
              <w:rPr>
                <w:sz w:val="22"/>
                <w:szCs w:val="22"/>
              </w:rPr>
              <w:t>3</w:t>
            </w:r>
          </w:p>
        </w:tc>
        <w:tc>
          <w:tcPr>
            <w:tcW w:w="565" w:type="dxa"/>
            <w:vAlign w:val="top"/>
          </w:tcPr>
          <w:p>
            <w:pPr>
              <w:pStyle w:val="28"/>
              <w:spacing w:before="232"/>
              <w:ind w:left="320"/>
              <w:rPr>
                <w:sz w:val="22"/>
                <w:szCs w:val="22"/>
              </w:rPr>
            </w:pPr>
            <w:r>
              <w:rPr>
                <w:sz w:val="22"/>
                <w:szCs w:val="22"/>
              </w:rPr>
              <w:t>0</w:t>
            </w:r>
          </w:p>
        </w:tc>
        <w:tc>
          <w:tcPr>
            <w:tcW w:w="808" w:type="dxa"/>
            <w:vAlign w:val="top"/>
          </w:tcPr>
          <w:p>
            <w:pPr>
              <w:pStyle w:val="28"/>
              <w:spacing w:before="232"/>
              <w:ind w:left="370"/>
              <w:rPr>
                <w:sz w:val="22"/>
                <w:szCs w:val="22"/>
              </w:rPr>
            </w:pPr>
            <w:r>
              <w:rPr>
                <w:spacing w:val="-4"/>
                <w:sz w:val="22"/>
                <w:szCs w:val="22"/>
              </w:rPr>
              <w:t>600</w:t>
            </w:r>
          </w:p>
        </w:tc>
        <w:tc>
          <w:tcPr>
            <w:tcW w:w="716" w:type="dxa"/>
            <w:vAlign w:val="top"/>
          </w:tcPr>
          <w:p>
            <w:pPr>
              <w:pStyle w:val="28"/>
              <w:spacing w:before="232"/>
              <w:ind w:left="419"/>
              <w:rPr>
                <w:sz w:val="22"/>
                <w:szCs w:val="22"/>
              </w:rPr>
            </w:pPr>
            <w:r>
              <w:rPr>
                <w:sz w:val="22"/>
                <w:szCs w:val="22"/>
              </w:rPr>
              <w:t>0</w:t>
            </w:r>
          </w:p>
        </w:tc>
        <w:tc>
          <w:tcPr>
            <w:tcW w:w="716" w:type="dxa"/>
            <w:vAlign w:val="top"/>
          </w:tcPr>
          <w:p>
            <w:pPr>
              <w:pStyle w:val="28"/>
              <w:spacing w:before="232"/>
              <w:ind w:left="377"/>
              <w:rPr>
                <w:sz w:val="22"/>
                <w:szCs w:val="22"/>
              </w:rPr>
            </w:pPr>
            <w:r>
              <w:rPr>
                <w:spacing w:val="-13"/>
                <w:sz w:val="22"/>
                <w:szCs w:val="22"/>
              </w:rPr>
              <w:t>10</w:t>
            </w:r>
          </w:p>
        </w:tc>
        <w:tc>
          <w:tcPr>
            <w:tcW w:w="1754" w:type="dxa"/>
            <w:vAlign w:val="top"/>
          </w:tcPr>
          <w:p>
            <w:pPr>
              <w:pStyle w:val="28"/>
              <w:spacing w:before="75"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2" w:hRule="atLeast"/>
        </w:trPr>
        <w:tc>
          <w:tcPr>
            <w:tcW w:w="557" w:type="dxa"/>
            <w:vAlign w:val="top"/>
          </w:tcPr>
          <w:p>
            <w:pPr>
              <w:pStyle w:val="28"/>
              <w:spacing w:before="233" w:line="242" w:lineRule="auto"/>
              <w:ind w:left="260"/>
              <w:rPr>
                <w:sz w:val="22"/>
                <w:szCs w:val="22"/>
              </w:rPr>
            </w:pPr>
            <w:r>
              <w:rPr>
                <w:spacing w:val="-6"/>
                <w:sz w:val="22"/>
                <w:szCs w:val="22"/>
              </w:rPr>
              <w:t>22</w:t>
            </w:r>
          </w:p>
        </w:tc>
        <w:tc>
          <w:tcPr>
            <w:tcW w:w="1646" w:type="dxa"/>
            <w:vAlign w:val="top"/>
          </w:tcPr>
          <w:p>
            <w:pPr>
              <w:pStyle w:val="28"/>
              <w:spacing w:before="234" w:line="219" w:lineRule="auto"/>
              <w:ind w:left="193"/>
              <w:rPr>
                <w:sz w:val="22"/>
                <w:szCs w:val="22"/>
              </w:rPr>
            </w:pPr>
            <w:r>
              <w:rPr>
                <w:spacing w:val="-1"/>
                <w:sz w:val="22"/>
                <w:szCs w:val="22"/>
              </w:rPr>
              <w:t>寺仙镇政府办公房</w:t>
            </w:r>
          </w:p>
        </w:tc>
        <w:tc>
          <w:tcPr>
            <w:tcW w:w="888" w:type="dxa"/>
            <w:vAlign w:val="top"/>
          </w:tcPr>
          <w:p>
            <w:pPr>
              <w:pStyle w:val="28"/>
              <w:spacing w:before="234"/>
              <w:ind w:left="418"/>
              <w:rPr>
                <w:sz w:val="22"/>
                <w:szCs w:val="22"/>
              </w:rPr>
            </w:pPr>
            <w:r>
              <w:rPr>
                <w:spacing w:val="-3"/>
                <w:sz w:val="22"/>
                <w:szCs w:val="22"/>
              </w:rPr>
              <w:t>872</w:t>
            </w:r>
          </w:p>
        </w:tc>
        <w:tc>
          <w:tcPr>
            <w:tcW w:w="1556" w:type="dxa"/>
            <w:vAlign w:val="top"/>
          </w:tcPr>
          <w:p>
            <w:pPr>
              <w:pStyle w:val="28"/>
              <w:spacing w:before="234" w:line="219" w:lineRule="auto"/>
              <w:ind w:left="137"/>
              <w:rPr>
                <w:sz w:val="22"/>
                <w:szCs w:val="22"/>
              </w:rPr>
            </w:pPr>
            <w:r>
              <w:rPr>
                <w:spacing w:val="-1"/>
                <w:sz w:val="22"/>
                <w:szCs w:val="22"/>
              </w:rPr>
              <w:t>寺仙镇政府办公房</w:t>
            </w:r>
          </w:p>
        </w:tc>
        <w:tc>
          <w:tcPr>
            <w:tcW w:w="509" w:type="dxa"/>
            <w:vAlign w:val="top"/>
          </w:tcPr>
          <w:p>
            <w:pPr>
              <w:pStyle w:val="28"/>
              <w:spacing w:before="234"/>
              <w:ind w:left="286"/>
              <w:rPr>
                <w:sz w:val="22"/>
                <w:szCs w:val="22"/>
              </w:rPr>
            </w:pPr>
            <w:r>
              <w:rPr>
                <w:sz w:val="22"/>
                <w:szCs w:val="22"/>
              </w:rPr>
              <w:t>3</w:t>
            </w:r>
          </w:p>
        </w:tc>
        <w:tc>
          <w:tcPr>
            <w:tcW w:w="565" w:type="dxa"/>
            <w:vAlign w:val="top"/>
          </w:tcPr>
          <w:p>
            <w:pPr>
              <w:pStyle w:val="28"/>
              <w:spacing w:before="234"/>
              <w:ind w:left="320"/>
              <w:rPr>
                <w:sz w:val="22"/>
                <w:szCs w:val="22"/>
              </w:rPr>
            </w:pPr>
            <w:r>
              <w:rPr>
                <w:sz w:val="22"/>
                <w:szCs w:val="22"/>
              </w:rPr>
              <w:t>0</w:t>
            </w:r>
          </w:p>
        </w:tc>
        <w:tc>
          <w:tcPr>
            <w:tcW w:w="808" w:type="dxa"/>
            <w:vAlign w:val="top"/>
          </w:tcPr>
          <w:p>
            <w:pPr>
              <w:pStyle w:val="28"/>
              <w:spacing w:before="234"/>
              <w:ind w:left="369"/>
              <w:rPr>
                <w:sz w:val="22"/>
                <w:szCs w:val="22"/>
              </w:rPr>
            </w:pPr>
            <w:r>
              <w:rPr>
                <w:spacing w:val="-3"/>
                <w:sz w:val="22"/>
                <w:szCs w:val="22"/>
              </w:rPr>
              <w:t>872</w:t>
            </w:r>
          </w:p>
        </w:tc>
        <w:tc>
          <w:tcPr>
            <w:tcW w:w="716" w:type="dxa"/>
            <w:vAlign w:val="top"/>
          </w:tcPr>
          <w:p>
            <w:pPr>
              <w:pStyle w:val="28"/>
              <w:spacing w:before="234"/>
              <w:ind w:left="419"/>
              <w:rPr>
                <w:sz w:val="22"/>
                <w:szCs w:val="22"/>
              </w:rPr>
            </w:pPr>
            <w:r>
              <w:rPr>
                <w:sz w:val="22"/>
                <w:szCs w:val="22"/>
              </w:rPr>
              <w:t>0</w:t>
            </w:r>
          </w:p>
        </w:tc>
        <w:tc>
          <w:tcPr>
            <w:tcW w:w="716" w:type="dxa"/>
            <w:vAlign w:val="top"/>
          </w:tcPr>
          <w:p>
            <w:pPr>
              <w:pStyle w:val="28"/>
              <w:spacing w:before="233" w:line="242" w:lineRule="auto"/>
              <w:ind w:left="377"/>
              <w:rPr>
                <w:sz w:val="22"/>
                <w:szCs w:val="22"/>
              </w:rPr>
            </w:pPr>
            <w:r>
              <w:rPr>
                <w:spacing w:val="-13"/>
                <w:sz w:val="22"/>
                <w:szCs w:val="22"/>
              </w:rPr>
              <w:t>11</w:t>
            </w:r>
          </w:p>
        </w:tc>
        <w:tc>
          <w:tcPr>
            <w:tcW w:w="1754" w:type="dxa"/>
            <w:vAlign w:val="top"/>
          </w:tcPr>
          <w:p>
            <w:pPr>
              <w:pStyle w:val="28"/>
              <w:spacing w:before="78"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2" w:hRule="atLeast"/>
        </w:trPr>
        <w:tc>
          <w:tcPr>
            <w:tcW w:w="557" w:type="dxa"/>
            <w:vMerge w:val="restart"/>
            <w:tcBorders>
              <w:bottom w:val="nil"/>
            </w:tcBorders>
            <w:vAlign w:val="top"/>
          </w:tcPr>
          <w:p>
            <w:pPr>
              <w:spacing w:line="282" w:lineRule="auto"/>
              <w:rPr>
                <w:rFonts w:ascii="Arial"/>
                <w:sz w:val="21"/>
              </w:rPr>
            </w:pPr>
          </w:p>
          <w:p>
            <w:pPr>
              <w:spacing w:line="283" w:lineRule="auto"/>
              <w:rPr>
                <w:rFonts w:ascii="Arial"/>
                <w:sz w:val="21"/>
              </w:rPr>
            </w:pPr>
          </w:p>
          <w:p>
            <w:pPr>
              <w:spacing w:line="283" w:lineRule="auto"/>
              <w:rPr>
                <w:rFonts w:ascii="Arial"/>
                <w:sz w:val="21"/>
              </w:rPr>
            </w:pPr>
          </w:p>
          <w:p>
            <w:pPr>
              <w:pStyle w:val="28"/>
              <w:spacing w:before="72"/>
              <w:ind w:left="260"/>
              <w:rPr>
                <w:sz w:val="22"/>
                <w:szCs w:val="22"/>
              </w:rPr>
            </w:pPr>
            <w:r>
              <w:rPr>
                <w:spacing w:val="-6"/>
                <w:sz w:val="22"/>
                <w:szCs w:val="22"/>
              </w:rPr>
              <w:t>23</w:t>
            </w:r>
          </w:p>
        </w:tc>
        <w:tc>
          <w:tcPr>
            <w:tcW w:w="1646" w:type="dxa"/>
            <w:vMerge w:val="restart"/>
            <w:tcBorders>
              <w:bottom w:val="nil"/>
            </w:tcBorders>
            <w:vAlign w:val="top"/>
          </w:tcPr>
          <w:p>
            <w:pPr>
              <w:spacing w:line="282" w:lineRule="auto"/>
              <w:rPr>
                <w:rFonts w:ascii="Arial"/>
                <w:sz w:val="21"/>
              </w:rPr>
            </w:pPr>
          </w:p>
          <w:p>
            <w:pPr>
              <w:spacing w:line="283" w:lineRule="auto"/>
              <w:rPr>
                <w:rFonts w:ascii="Arial"/>
                <w:sz w:val="21"/>
              </w:rPr>
            </w:pPr>
          </w:p>
          <w:p>
            <w:pPr>
              <w:spacing w:line="283" w:lineRule="auto"/>
              <w:rPr>
                <w:rFonts w:ascii="Arial"/>
                <w:sz w:val="21"/>
              </w:rPr>
            </w:pPr>
          </w:p>
          <w:p>
            <w:pPr>
              <w:pStyle w:val="28"/>
              <w:spacing w:before="72" w:line="219" w:lineRule="auto"/>
              <w:ind w:left="199"/>
              <w:rPr>
                <w:sz w:val="22"/>
                <w:szCs w:val="22"/>
              </w:rPr>
            </w:pPr>
            <w:r>
              <w:rPr>
                <w:spacing w:val="-2"/>
                <w:sz w:val="22"/>
                <w:szCs w:val="22"/>
              </w:rPr>
              <w:t>张村驿镇人民政府</w:t>
            </w:r>
          </w:p>
        </w:tc>
        <w:tc>
          <w:tcPr>
            <w:tcW w:w="888" w:type="dxa"/>
            <w:vMerge w:val="restart"/>
            <w:tcBorders>
              <w:bottom w:val="nil"/>
            </w:tcBorders>
            <w:vAlign w:val="top"/>
          </w:tcPr>
          <w:p>
            <w:pPr>
              <w:spacing w:line="282" w:lineRule="auto"/>
              <w:rPr>
                <w:rFonts w:ascii="Arial"/>
                <w:sz w:val="21"/>
              </w:rPr>
            </w:pPr>
          </w:p>
          <w:p>
            <w:pPr>
              <w:spacing w:line="283" w:lineRule="auto"/>
              <w:rPr>
                <w:rFonts w:ascii="Arial"/>
                <w:sz w:val="21"/>
              </w:rPr>
            </w:pPr>
          </w:p>
          <w:p>
            <w:pPr>
              <w:spacing w:line="283" w:lineRule="auto"/>
              <w:rPr>
                <w:rFonts w:ascii="Arial"/>
                <w:sz w:val="21"/>
              </w:rPr>
            </w:pPr>
          </w:p>
          <w:p>
            <w:pPr>
              <w:pStyle w:val="28"/>
              <w:spacing w:before="71"/>
              <w:ind w:left="199"/>
              <w:rPr>
                <w:sz w:val="22"/>
                <w:szCs w:val="22"/>
              </w:rPr>
            </w:pPr>
            <w:r>
              <w:rPr>
                <w:spacing w:val="-2"/>
                <w:sz w:val="22"/>
                <w:szCs w:val="22"/>
              </w:rPr>
              <w:t>2923.48</w:t>
            </w:r>
          </w:p>
        </w:tc>
        <w:tc>
          <w:tcPr>
            <w:tcW w:w="1556" w:type="dxa"/>
            <w:vAlign w:val="top"/>
          </w:tcPr>
          <w:p>
            <w:pPr>
              <w:pStyle w:val="28"/>
              <w:spacing w:before="234" w:line="219" w:lineRule="auto"/>
              <w:ind w:left="246"/>
              <w:rPr>
                <w:sz w:val="22"/>
                <w:szCs w:val="22"/>
              </w:rPr>
            </w:pPr>
            <w:r>
              <w:rPr>
                <w:spacing w:val="-1"/>
                <w:sz w:val="22"/>
                <w:szCs w:val="22"/>
              </w:rPr>
              <w:t>政府一号办公楼</w:t>
            </w:r>
          </w:p>
        </w:tc>
        <w:tc>
          <w:tcPr>
            <w:tcW w:w="509" w:type="dxa"/>
            <w:vAlign w:val="top"/>
          </w:tcPr>
          <w:p>
            <w:pPr>
              <w:pStyle w:val="28"/>
              <w:spacing w:before="233" w:line="242" w:lineRule="auto"/>
              <w:ind w:left="281"/>
              <w:rPr>
                <w:sz w:val="22"/>
                <w:szCs w:val="22"/>
              </w:rPr>
            </w:pPr>
            <w:r>
              <w:rPr>
                <w:sz w:val="22"/>
                <w:szCs w:val="22"/>
              </w:rPr>
              <w:t>4</w:t>
            </w:r>
          </w:p>
        </w:tc>
        <w:tc>
          <w:tcPr>
            <w:tcW w:w="565" w:type="dxa"/>
            <w:vAlign w:val="top"/>
          </w:tcPr>
          <w:p>
            <w:pPr>
              <w:pStyle w:val="28"/>
              <w:spacing w:before="234"/>
              <w:ind w:left="320"/>
              <w:rPr>
                <w:sz w:val="22"/>
                <w:szCs w:val="22"/>
              </w:rPr>
            </w:pPr>
            <w:r>
              <w:rPr>
                <w:sz w:val="22"/>
                <w:szCs w:val="22"/>
              </w:rPr>
              <w:t>0</w:t>
            </w:r>
          </w:p>
        </w:tc>
        <w:tc>
          <w:tcPr>
            <w:tcW w:w="808" w:type="dxa"/>
            <w:vAlign w:val="top"/>
          </w:tcPr>
          <w:p>
            <w:pPr>
              <w:pStyle w:val="28"/>
              <w:spacing w:before="233"/>
              <w:ind w:left="163"/>
              <w:rPr>
                <w:sz w:val="22"/>
                <w:szCs w:val="22"/>
              </w:rPr>
            </w:pPr>
            <w:r>
              <w:rPr>
                <w:spacing w:val="-4"/>
                <w:sz w:val="22"/>
                <w:szCs w:val="22"/>
              </w:rPr>
              <w:t>1374.48</w:t>
            </w:r>
          </w:p>
        </w:tc>
        <w:tc>
          <w:tcPr>
            <w:tcW w:w="716" w:type="dxa"/>
            <w:vAlign w:val="top"/>
          </w:tcPr>
          <w:p>
            <w:pPr>
              <w:pStyle w:val="28"/>
              <w:spacing w:before="234"/>
              <w:ind w:left="419"/>
              <w:rPr>
                <w:sz w:val="22"/>
                <w:szCs w:val="22"/>
              </w:rPr>
            </w:pPr>
            <w:r>
              <w:rPr>
                <w:sz w:val="22"/>
                <w:szCs w:val="22"/>
              </w:rPr>
              <w:t>0</w:t>
            </w:r>
          </w:p>
        </w:tc>
        <w:tc>
          <w:tcPr>
            <w:tcW w:w="716" w:type="dxa"/>
            <w:vAlign w:val="top"/>
          </w:tcPr>
          <w:p>
            <w:pPr>
              <w:pStyle w:val="28"/>
              <w:spacing w:before="234"/>
              <w:ind w:left="377"/>
              <w:rPr>
                <w:sz w:val="22"/>
                <w:szCs w:val="22"/>
              </w:rPr>
            </w:pPr>
            <w:r>
              <w:rPr>
                <w:spacing w:val="-13"/>
                <w:sz w:val="22"/>
                <w:szCs w:val="22"/>
              </w:rPr>
              <w:t>15</w:t>
            </w:r>
          </w:p>
        </w:tc>
        <w:tc>
          <w:tcPr>
            <w:tcW w:w="1754" w:type="dxa"/>
            <w:vAlign w:val="top"/>
          </w:tcPr>
          <w:p>
            <w:pPr>
              <w:pStyle w:val="28"/>
              <w:spacing w:before="78"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557" w:type="dxa"/>
            <w:vMerge w:val="continue"/>
            <w:tcBorders>
              <w:top w:val="nil"/>
              <w:bottom w:val="nil"/>
            </w:tcBorders>
            <w:vAlign w:val="top"/>
          </w:tcPr>
          <w:p>
            <w:pPr>
              <w:rPr>
                <w:rFonts w:ascii="Arial"/>
                <w:sz w:val="21"/>
              </w:rPr>
            </w:pPr>
          </w:p>
        </w:tc>
        <w:tc>
          <w:tcPr>
            <w:tcW w:w="1646" w:type="dxa"/>
            <w:vMerge w:val="continue"/>
            <w:tcBorders>
              <w:top w:val="nil"/>
              <w:bottom w:val="nil"/>
            </w:tcBorders>
            <w:vAlign w:val="top"/>
          </w:tcPr>
          <w:p>
            <w:pPr>
              <w:rPr>
                <w:rFonts w:ascii="Arial"/>
                <w:sz w:val="21"/>
              </w:rPr>
            </w:pPr>
          </w:p>
        </w:tc>
        <w:tc>
          <w:tcPr>
            <w:tcW w:w="888" w:type="dxa"/>
            <w:vMerge w:val="continue"/>
            <w:tcBorders>
              <w:top w:val="nil"/>
              <w:bottom w:val="nil"/>
            </w:tcBorders>
            <w:vAlign w:val="top"/>
          </w:tcPr>
          <w:p>
            <w:pPr>
              <w:rPr>
                <w:rFonts w:ascii="Arial"/>
                <w:sz w:val="21"/>
              </w:rPr>
            </w:pPr>
          </w:p>
        </w:tc>
        <w:tc>
          <w:tcPr>
            <w:tcW w:w="1556" w:type="dxa"/>
            <w:vAlign w:val="top"/>
          </w:tcPr>
          <w:p>
            <w:pPr>
              <w:pStyle w:val="28"/>
              <w:spacing w:before="236" w:line="219" w:lineRule="auto"/>
              <w:ind w:left="246"/>
              <w:rPr>
                <w:sz w:val="22"/>
                <w:szCs w:val="22"/>
              </w:rPr>
            </w:pPr>
            <w:r>
              <w:rPr>
                <w:spacing w:val="-1"/>
                <w:sz w:val="22"/>
                <w:szCs w:val="22"/>
              </w:rPr>
              <w:t>政府二号办公楼</w:t>
            </w:r>
          </w:p>
        </w:tc>
        <w:tc>
          <w:tcPr>
            <w:tcW w:w="509" w:type="dxa"/>
            <w:vAlign w:val="top"/>
          </w:tcPr>
          <w:p>
            <w:pPr>
              <w:pStyle w:val="28"/>
              <w:spacing w:before="235" w:line="242" w:lineRule="auto"/>
              <w:ind w:left="284"/>
              <w:rPr>
                <w:sz w:val="22"/>
                <w:szCs w:val="22"/>
              </w:rPr>
            </w:pPr>
            <w:r>
              <w:rPr>
                <w:sz w:val="22"/>
                <w:szCs w:val="22"/>
              </w:rPr>
              <w:t>2</w:t>
            </w:r>
          </w:p>
        </w:tc>
        <w:tc>
          <w:tcPr>
            <w:tcW w:w="565" w:type="dxa"/>
            <w:vAlign w:val="top"/>
          </w:tcPr>
          <w:p>
            <w:pPr>
              <w:pStyle w:val="28"/>
              <w:spacing w:before="236"/>
              <w:ind w:left="320"/>
              <w:rPr>
                <w:sz w:val="22"/>
                <w:szCs w:val="22"/>
              </w:rPr>
            </w:pPr>
            <w:r>
              <w:rPr>
                <w:sz w:val="22"/>
                <w:szCs w:val="22"/>
              </w:rPr>
              <w:t>0</w:t>
            </w:r>
          </w:p>
        </w:tc>
        <w:tc>
          <w:tcPr>
            <w:tcW w:w="808" w:type="dxa"/>
            <w:vAlign w:val="top"/>
          </w:tcPr>
          <w:p>
            <w:pPr>
              <w:pStyle w:val="28"/>
              <w:spacing w:before="236"/>
              <w:ind w:left="373"/>
              <w:rPr>
                <w:sz w:val="22"/>
                <w:szCs w:val="22"/>
              </w:rPr>
            </w:pPr>
            <w:r>
              <w:rPr>
                <w:spacing w:val="-5"/>
                <w:sz w:val="22"/>
                <w:szCs w:val="22"/>
              </w:rPr>
              <w:t>765</w:t>
            </w:r>
          </w:p>
        </w:tc>
        <w:tc>
          <w:tcPr>
            <w:tcW w:w="716" w:type="dxa"/>
            <w:vAlign w:val="top"/>
          </w:tcPr>
          <w:p>
            <w:pPr>
              <w:pStyle w:val="28"/>
              <w:spacing w:before="236"/>
              <w:ind w:left="419"/>
              <w:rPr>
                <w:sz w:val="22"/>
                <w:szCs w:val="22"/>
              </w:rPr>
            </w:pPr>
            <w:r>
              <w:rPr>
                <w:sz w:val="22"/>
                <w:szCs w:val="22"/>
              </w:rPr>
              <w:t>0</w:t>
            </w:r>
          </w:p>
        </w:tc>
        <w:tc>
          <w:tcPr>
            <w:tcW w:w="716" w:type="dxa"/>
            <w:vAlign w:val="top"/>
          </w:tcPr>
          <w:p>
            <w:pPr>
              <w:pStyle w:val="28"/>
              <w:spacing w:before="236"/>
              <w:ind w:left="417"/>
              <w:rPr>
                <w:sz w:val="22"/>
                <w:szCs w:val="22"/>
              </w:rPr>
            </w:pPr>
            <w:r>
              <w:rPr>
                <w:sz w:val="22"/>
                <w:szCs w:val="22"/>
              </w:rPr>
              <w:t>8</w:t>
            </w:r>
          </w:p>
        </w:tc>
        <w:tc>
          <w:tcPr>
            <w:tcW w:w="1754" w:type="dxa"/>
            <w:vAlign w:val="top"/>
          </w:tcPr>
          <w:p>
            <w:pPr>
              <w:pStyle w:val="28"/>
              <w:spacing w:before="79"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557" w:type="dxa"/>
            <w:vMerge w:val="continue"/>
            <w:tcBorders>
              <w:top w:val="nil"/>
            </w:tcBorders>
            <w:vAlign w:val="top"/>
          </w:tcPr>
          <w:p>
            <w:pPr>
              <w:rPr>
                <w:rFonts w:ascii="Arial"/>
                <w:sz w:val="21"/>
              </w:rPr>
            </w:pPr>
          </w:p>
        </w:tc>
        <w:tc>
          <w:tcPr>
            <w:tcW w:w="1646" w:type="dxa"/>
            <w:vMerge w:val="continue"/>
            <w:tcBorders>
              <w:top w:val="nil"/>
            </w:tcBorders>
            <w:vAlign w:val="top"/>
          </w:tcPr>
          <w:p>
            <w:pPr>
              <w:rPr>
                <w:rFonts w:ascii="Arial"/>
                <w:sz w:val="21"/>
              </w:rPr>
            </w:pPr>
          </w:p>
        </w:tc>
        <w:tc>
          <w:tcPr>
            <w:tcW w:w="888" w:type="dxa"/>
            <w:vMerge w:val="continue"/>
            <w:tcBorders>
              <w:top w:val="nil"/>
            </w:tcBorders>
            <w:vAlign w:val="top"/>
          </w:tcPr>
          <w:p>
            <w:pPr>
              <w:rPr>
                <w:rFonts w:ascii="Arial"/>
                <w:sz w:val="21"/>
              </w:rPr>
            </w:pPr>
          </w:p>
        </w:tc>
        <w:tc>
          <w:tcPr>
            <w:tcW w:w="1556" w:type="dxa"/>
            <w:vAlign w:val="top"/>
          </w:tcPr>
          <w:p>
            <w:pPr>
              <w:pStyle w:val="28"/>
              <w:spacing w:before="235" w:line="219" w:lineRule="auto"/>
              <w:ind w:left="246"/>
              <w:rPr>
                <w:sz w:val="22"/>
                <w:szCs w:val="22"/>
              </w:rPr>
            </w:pPr>
            <w:r>
              <w:rPr>
                <w:spacing w:val="-1"/>
                <w:sz w:val="22"/>
                <w:szCs w:val="22"/>
              </w:rPr>
              <w:t>政府三号办公楼</w:t>
            </w:r>
          </w:p>
        </w:tc>
        <w:tc>
          <w:tcPr>
            <w:tcW w:w="509" w:type="dxa"/>
            <w:vAlign w:val="top"/>
          </w:tcPr>
          <w:p>
            <w:pPr>
              <w:pStyle w:val="28"/>
              <w:spacing w:before="234" w:line="242" w:lineRule="auto"/>
              <w:ind w:left="284"/>
              <w:rPr>
                <w:sz w:val="22"/>
                <w:szCs w:val="22"/>
              </w:rPr>
            </w:pPr>
            <w:r>
              <w:rPr>
                <w:sz w:val="22"/>
                <w:szCs w:val="22"/>
              </w:rPr>
              <w:t>2</w:t>
            </w:r>
          </w:p>
        </w:tc>
        <w:tc>
          <w:tcPr>
            <w:tcW w:w="565" w:type="dxa"/>
            <w:vAlign w:val="top"/>
          </w:tcPr>
          <w:p>
            <w:pPr>
              <w:pStyle w:val="28"/>
              <w:spacing w:before="235"/>
              <w:ind w:left="320"/>
              <w:rPr>
                <w:sz w:val="22"/>
                <w:szCs w:val="22"/>
              </w:rPr>
            </w:pPr>
            <w:r>
              <w:rPr>
                <w:sz w:val="22"/>
                <w:szCs w:val="22"/>
              </w:rPr>
              <w:t>0</w:t>
            </w:r>
          </w:p>
        </w:tc>
        <w:tc>
          <w:tcPr>
            <w:tcW w:w="808" w:type="dxa"/>
            <w:vAlign w:val="top"/>
          </w:tcPr>
          <w:p>
            <w:pPr>
              <w:pStyle w:val="28"/>
              <w:spacing w:before="235"/>
              <w:ind w:left="373"/>
              <w:rPr>
                <w:sz w:val="22"/>
                <w:szCs w:val="22"/>
              </w:rPr>
            </w:pPr>
            <w:r>
              <w:rPr>
                <w:spacing w:val="-5"/>
                <w:sz w:val="22"/>
                <w:szCs w:val="22"/>
              </w:rPr>
              <w:t>784</w:t>
            </w:r>
          </w:p>
        </w:tc>
        <w:tc>
          <w:tcPr>
            <w:tcW w:w="716" w:type="dxa"/>
            <w:vAlign w:val="top"/>
          </w:tcPr>
          <w:p>
            <w:pPr>
              <w:pStyle w:val="28"/>
              <w:spacing w:before="235"/>
              <w:ind w:left="419"/>
              <w:rPr>
                <w:sz w:val="22"/>
                <w:szCs w:val="22"/>
              </w:rPr>
            </w:pPr>
            <w:r>
              <w:rPr>
                <w:sz w:val="22"/>
                <w:szCs w:val="22"/>
              </w:rPr>
              <w:t>0</w:t>
            </w:r>
          </w:p>
        </w:tc>
        <w:tc>
          <w:tcPr>
            <w:tcW w:w="716" w:type="dxa"/>
            <w:vAlign w:val="top"/>
          </w:tcPr>
          <w:p>
            <w:pPr>
              <w:pStyle w:val="28"/>
              <w:spacing w:before="235"/>
              <w:ind w:left="417"/>
              <w:rPr>
                <w:sz w:val="22"/>
                <w:szCs w:val="22"/>
              </w:rPr>
            </w:pPr>
            <w:r>
              <w:rPr>
                <w:sz w:val="22"/>
                <w:szCs w:val="22"/>
              </w:rPr>
              <w:t>8</w:t>
            </w:r>
          </w:p>
        </w:tc>
        <w:tc>
          <w:tcPr>
            <w:tcW w:w="1754" w:type="dxa"/>
            <w:vAlign w:val="top"/>
          </w:tcPr>
          <w:p>
            <w:pPr>
              <w:pStyle w:val="28"/>
              <w:spacing w:before="79"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1" w:hRule="atLeast"/>
        </w:trPr>
        <w:tc>
          <w:tcPr>
            <w:tcW w:w="557" w:type="dxa"/>
            <w:vAlign w:val="top"/>
          </w:tcPr>
          <w:p>
            <w:pPr>
              <w:pStyle w:val="28"/>
              <w:spacing w:before="235" w:line="242" w:lineRule="auto"/>
              <w:ind w:left="260"/>
              <w:rPr>
                <w:sz w:val="22"/>
                <w:szCs w:val="22"/>
              </w:rPr>
            </w:pPr>
            <w:r>
              <w:rPr>
                <w:spacing w:val="-6"/>
                <w:sz w:val="22"/>
                <w:szCs w:val="22"/>
              </w:rPr>
              <w:t>24</w:t>
            </w:r>
          </w:p>
        </w:tc>
        <w:tc>
          <w:tcPr>
            <w:tcW w:w="1646" w:type="dxa"/>
            <w:vAlign w:val="top"/>
          </w:tcPr>
          <w:p>
            <w:pPr>
              <w:pStyle w:val="28"/>
              <w:spacing w:before="236" w:line="219" w:lineRule="auto"/>
              <w:ind w:left="309"/>
              <w:rPr>
                <w:sz w:val="22"/>
                <w:szCs w:val="22"/>
              </w:rPr>
            </w:pPr>
            <w:r>
              <w:rPr>
                <w:spacing w:val="-2"/>
                <w:sz w:val="22"/>
                <w:szCs w:val="22"/>
              </w:rPr>
              <w:t>张村驿审判法庭</w:t>
            </w:r>
          </w:p>
        </w:tc>
        <w:tc>
          <w:tcPr>
            <w:tcW w:w="888" w:type="dxa"/>
            <w:vAlign w:val="top"/>
          </w:tcPr>
          <w:p>
            <w:pPr>
              <w:pStyle w:val="28"/>
              <w:spacing w:before="236"/>
              <w:ind w:left="421"/>
              <w:rPr>
                <w:sz w:val="22"/>
                <w:szCs w:val="22"/>
              </w:rPr>
            </w:pPr>
            <w:r>
              <w:rPr>
                <w:spacing w:val="-4"/>
                <w:sz w:val="22"/>
                <w:szCs w:val="22"/>
              </w:rPr>
              <w:t>560</w:t>
            </w:r>
          </w:p>
        </w:tc>
        <w:tc>
          <w:tcPr>
            <w:tcW w:w="1556" w:type="dxa"/>
            <w:vAlign w:val="top"/>
          </w:tcPr>
          <w:p>
            <w:pPr>
              <w:pStyle w:val="28"/>
              <w:spacing w:before="79" w:line="250" w:lineRule="auto"/>
              <w:ind w:left="906" w:right="126" w:hanging="758"/>
              <w:rPr>
                <w:sz w:val="22"/>
                <w:szCs w:val="22"/>
              </w:rPr>
            </w:pPr>
            <w:r>
              <w:rPr>
                <w:spacing w:val="-3"/>
                <w:sz w:val="22"/>
                <w:szCs w:val="22"/>
              </w:rPr>
              <w:t>富县张村驿审判法</w:t>
            </w:r>
            <w:r>
              <w:rPr>
                <w:sz w:val="22"/>
                <w:szCs w:val="22"/>
              </w:rPr>
              <w:t>庭</w:t>
            </w:r>
          </w:p>
        </w:tc>
        <w:tc>
          <w:tcPr>
            <w:tcW w:w="509" w:type="dxa"/>
            <w:vAlign w:val="top"/>
          </w:tcPr>
          <w:p>
            <w:pPr>
              <w:pStyle w:val="28"/>
              <w:spacing w:before="236"/>
              <w:ind w:left="286"/>
              <w:rPr>
                <w:sz w:val="22"/>
                <w:szCs w:val="22"/>
              </w:rPr>
            </w:pPr>
            <w:r>
              <w:rPr>
                <w:sz w:val="22"/>
                <w:szCs w:val="22"/>
              </w:rPr>
              <w:t>3</w:t>
            </w:r>
          </w:p>
        </w:tc>
        <w:tc>
          <w:tcPr>
            <w:tcW w:w="565" w:type="dxa"/>
            <w:vAlign w:val="top"/>
          </w:tcPr>
          <w:p>
            <w:pPr>
              <w:pStyle w:val="28"/>
              <w:spacing w:before="236"/>
              <w:ind w:left="320"/>
              <w:rPr>
                <w:sz w:val="22"/>
                <w:szCs w:val="22"/>
              </w:rPr>
            </w:pPr>
            <w:r>
              <w:rPr>
                <w:sz w:val="22"/>
                <w:szCs w:val="22"/>
              </w:rPr>
              <w:t>0</w:t>
            </w:r>
          </w:p>
        </w:tc>
        <w:tc>
          <w:tcPr>
            <w:tcW w:w="808" w:type="dxa"/>
            <w:vAlign w:val="top"/>
          </w:tcPr>
          <w:p>
            <w:pPr>
              <w:pStyle w:val="28"/>
              <w:spacing w:before="236"/>
              <w:ind w:left="372"/>
              <w:rPr>
                <w:sz w:val="22"/>
                <w:szCs w:val="22"/>
              </w:rPr>
            </w:pPr>
            <w:r>
              <w:rPr>
                <w:spacing w:val="-4"/>
                <w:sz w:val="22"/>
                <w:szCs w:val="22"/>
              </w:rPr>
              <w:t>560</w:t>
            </w:r>
          </w:p>
        </w:tc>
        <w:tc>
          <w:tcPr>
            <w:tcW w:w="716" w:type="dxa"/>
            <w:vAlign w:val="top"/>
          </w:tcPr>
          <w:p>
            <w:pPr>
              <w:pStyle w:val="28"/>
              <w:spacing w:before="236"/>
              <w:ind w:left="419"/>
              <w:rPr>
                <w:sz w:val="22"/>
                <w:szCs w:val="22"/>
              </w:rPr>
            </w:pPr>
            <w:r>
              <w:rPr>
                <w:sz w:val="22"/>
                <w:szCs w:val="22"/>
              </w:rPr>
              <w:t>0</w:t>
            </w:r>
          </w:p>
        </w:tc>
        <w:tc>
          <w:tcPr>
            <w:tcW w:w="716" w:type="dxa"/>
            <w:vAlign w:val="top"/>
          </w:tcPr>
          <w:p>
            <w:pPr>
              <w:pStyle w:val="28"/>
              <w:spacing w:before="235"/>
              <w:ind w:left="269"/>
              <w:rPr>
                <w:sz w:val="22"/>
                <w:szCs w:val="22"/>
              </w:rPr>
            </w:pPr>
            <w:r>
              <w:rPr>
                <w:spacing w:val="-6"/>
                <w:sz w:val="22"/>
                <w:szCs w:val="22"/>
              </w:rPr>
              <w:t>10.5</w:t>
            </w:r>
          </w:p>
        </w:tc>
        <w:tc>
          <w:tcPr>
            <w:tcW w:w="1754" w:type="dxa"/>
            <w:vAlign w:val="top"/>
          </w:tcPr>
          <w:p>
            <w:pPr>
              <w:pStyle w:val="28"/>
              <w:spacing w:before="79"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4" w:hRule="atLeast"/>
        </w:trPr>
        <w:tc>
          <w:tcPr>
            <w:tcW w:w="557" w:type="dxa"/>
            <w:vAlign w:val="top"/>
          </w:tcPr>
          <w:p>
            <w:pPr>
              <w:pStyle w:val="28"/>
              <w:spacing w:before="235"/>
              <w:ind w:left="260"/>
              <w:rPr>
                <w:sz w:val="22"/>
                <w:szCs w:val="22"/>
              </w:rPr>
            </w:pPr>
            <w:r>
              <w:rPr>
                <w:spacing w:val="-6"/>
                <w:sz w:val="22"/>
                <w:szCs w:val="22"/>
              </w:rPr>
              <w:t>25</w:t>
            </w:r>
          </w:p>
        </w:tc>
        <w:tc>
          <w:tcPr>
            <w:tcW w:w="1646" w:type="dxa"/>
            <w:vAlign w:val="top"/>
          </w:tcPr>
          <w:p>
            <w:pPr>
              <w:pStyle w:val="28"/>
              <w:spacing w:before="79" w:line="250" w:lineRule="auto"/>
              <w:ind w:left="962" w:right="186" w:hanging="765"/>
              <w:rPr>
                <w:sz w:val="22"/>
                <w:szCs w:val="22"/>
              </w:rPr>
            </w:pPr>
            <w:r>
              <w:rPr>
                <w:spacing w:val="-2"/>
                <w:sz w:val="22"/>
                <w:szCs w:val="22"/>
              </w:rPr>
              <w:t>北道德乡政府办公</w:t>
            </w:r>
            <w:r>
              <w:rPr>
                <w:sz w:val="22"/>
                <w:szCs w:val="22"/>
              </w:rPr>
              <w:t>楼</w:t>
            </w:r>
          </w:p>
        </w:tc>
        <w:tc>
          <w:tcPr>
            <w:tcW w:w="888" w:type="dxa"/>
            <w:vAlign w:val="top"/>
          </w:tcPr>
          <w:p>
            <w:pPr>
              <w:pStyle w:val="28"/>
              <w:spacing w:before="235"/>
              <w:ind w:left="378"/>
              <w:rPr>
                <w:sz w:val="22"/>
                <w:szCs w:val="22"/>
              </w:rPr>
            </w:pPr>
            <w:r>
              <w:rPr>
                <w:spacing w:val="-6"/>
                <w:sz w:val="22"/>
                <w:szCs w:val="22"/>
              </w:rPr>
              <w:t>1600</w:t>
            </w:r>
          </w:p>
        </w:tc>
        <w:tc>
          <w:tcPr>
            <w:tcW w:w="1556" w:type="dxa"/>
            <w:vAlign w:val="top"/>
          </w:tcPr>
          <w:p>
            <w:pPr>
              <w:pStyle w:val="28"/>
              <w:spacing w:before="79" w:line="250" w:lineRule="auto"/>
              <w:ind w:left="690" w:right="126" w:hanging="550"/>
              <w:rPr>
                <w:sz w:val="22"/>
                <w:szCs w:val="22"/>
              </w:rPr>
            </w:pPr>
            <w:r>
              <w:rPr>
                <w:spacing w:val="-2"/>
                <w:sz w:val="22"/>
                <w:szCs w:val="22"/>
              </w:rPr>
              <w:t>北道德乡政府综合</w:t>
            </w:r>
            <w:r>
              <w:rPr>
                <w:spacing w:val="-4"/>
                <w:sz w:val="22"/>
                <w:szCs w:val="22"/>
              </w:rPr>
              <w:t>办公楼</w:t>
            </w:r>
          </w:p>
        </w:tc>
        <w:tc>
          <w:tcPr>
            <w:tcW w:w="509" w:type="dxa"/>
            <w:vAlign w:val="top"/>
          </w:tcPr>
          <w:p>
            <w:pPr>
              <w:pStyle w:val="28"/>
              <w:spacing w:before="234" w:line="242" w:lineRule="auto"/>
              <w:ind w:left="281"/>
              <w:rPr>
                <w:sz w:val="22"/>
                <w:szCs w:val="22"/>
              </w:rPr>
            </w:pPr>
            <w:r>
              <w:rPr>
                <w:sz w:val="22"/>
                <w:szCs w:val="22"/>
              </w:rPr>
              <w:t>4</w:t>
            </w:r>
          </w:p>
        </w:tc>
        <w:tc>
          <w:tcPr>
            <w:tcW w:w="565" w:type="dxa"/>
            <w:vAlign w:val="top"/>
          </w:tcPr>
          <w:p>
            <w:pPr>
              <w:pStyle w:val="28"/>
              <w:spacing w:before="235"/>
              <w:ind w:left="320"/>
              <w:rPr>
                <w:sz w:val="22"/>
                <w:szCs w:val="22"/>
              </w:rPr>
            </w:pPr>
            <w:r>
              <w:rPr>
                <w:sz w:val="22"/>
                <w:szCs w:val="22"/>
              </w:rPr>
              <w:t>0</w:t>
            </w:r>
          </w:p>
        </w:tc>
        <w:tc>
          <w:tcPr>
            <w:tcW w:w="808" w:type="dxa"/>
            <w:vAlign w:val="top"/>
          </w:tcPr>
          <w:p>
            <w:pPr>
              <w:pStyle w:val="28"/>
              <w:spacing w:before="235"/>
              <w:ind w:left="329"/>
              <w:rPr>
                <w:sz w:val="22"/>
                <w:szCs w:val="22"/>
              </w:rPr>
            </w:pPr>
            <w:r>
              <w:rPr>
                <w:spacing w:val="-6"/>
                <w:sz w:val="22"/>
                <w:szCs w:val="22"/>
              </w:rPr>
              <w:t>1600</w:t>
            </w:r>
          </w:p>
        </w:tc>
        <w:tc>
          <w:tcPr>
            <w:tcW w:w="716" w:type="dxa"/>
            <w:vAlign w:val="top"/>
          </w:tcPr>
          <w:p>
            <w:pPr>
              <w:pStyle w:val="28"/>
              <w:spacing w:before="235"/>
              <w:ind w:left="419"/>
              <w:rPr>
                <w:sz w:val="22"/>
                <w:szCs w:val="22"/>
              </w:rPr>
            </w:pPr>
            <w:r>
              <w:rPr>
                <w:sz w:val="22"/>
                <w:szCs w:val="22"/>
              </w:rPr>
              <w:t>0</w:t>
            </w:r>
          </w:p>
        </w:tc>
        <w:tc>
          <w:tcPr>
            <w:tcW w:w="716" w:type="dxa"/>
            <w:vAlign w:val="top"/>
          </w:tcPr>
          <w:p>
            <w:pPr>
              <w:pStyle w:val="28"/>
              <w:spacing w:before="234"/>
              <w:ind w:left="269"/>
              <w:rPr>
                <w:sz w:val="22"/>
                <w:szCs w:val="22"/>
              </w:rPr>
            </w:pPr>
            <w:r>
              <w:rPr>
                <w:spacing w:val="-6"/>
                <w:sz w:val="22"/>
                <w:szCs w:val="22"/>
              </w:rPr>
              <w:t>14.2</w:t>
            </w:r>
          </w:p>
        </w:tc>
        <w:tc>
          <w:tcPr>
            <w:tcW w:w="1754" w:type="dxa"/>
            <w:vAlign w:val="top"/>
          </w:tcPr>
          <w:p>
            <w:pPr>
              <w:pStyle w:val="28"/>
              <w:spacing w:before="79"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557" w:type="dxa"/>
            <w:vAlign w:val="top"/>
          </w:tcPr>
          <w:p>
            <w:pPr>
              <w:pStyle w:val="28"/>
              <w:spacing w:before="236"/>
              <w:ind w:left="260"/>
              <w:rPr>
                <w:sz w:val="22"/>
                <w:szCs w:val="22"/>
              </w:rPr>
            </w:pPr>
            <w:r>
              <w:rPr>
                <w:spacing w:val="-6"/>
                <w:sz w:val="22"/>
                <w:szCs w:val="22"/>
              </w:rPr>
              <w:t>26</w:t>
            </w:r>
          </w:p>
        </w:tc>
        <w:tc>
          <w:tcPr>
            <w:tcW w:w="1646" w:type="dxa"/>
            <w:vAlign w:val="top"/>
          </w:tcPr>
          <w:p>
            <w:pPr>
              <w:pStyle w:val="28"/>
              <w:spacing w:before="79" w:line="250" w:lineRule="auto"/>
              <w:ind w:left="412" w:right="186" w:hanging="207"/>
              <w:rPr>
                <w:sz w:val="22"/>
                <w:szCs w:val="22"/>
              </w:rPr>
            </w:pPr>
            <w:r>
              <w:rPr>
                <w:spacing w:val="-3"/>
                <w:sz w:val="22"/>
                <w:szCs w:val="22"/>
              </w:rPr>
              <w:t>富县农产品质量安</w:t>
            </w:r>
            <w:r>
              <w:rPr>
                <w:spacing w:val="-2"/>
                <w:sz w:val="22"/>
                <w:szCs w:val="22"/>
              </w:rPr>
              <w:t>全检验检测站</w:t>
            </w:r>
          </w:p>
        </w:tc>
        <w:tc>
          <w:tcPr>
            <w:tcW w:w="888" w:type="dxa"/>
            <w:vAlign w:val="top"/>
          </w:tcPr>
          <w:p>
            <w:pPr>
              <w:pStyle w:val="28"/>
              <w:spacing w:before="236"/>
              <w:ind w:left="418"/>
              <w:rPr>
                <w:sz w:val="22"/>
                <w:szCs w:val="22"/>
              </w:rPr>
            </w:pPr>
            <w:r>
              <w:rPr>
                <w:spacing w:val="-3"/>
                <w:sz w:val="22"/>
                <w:szCs w:val="22"/>
              </w:rPr>
              <w:t>825</w:t>
            </w:r>
          </w:p>
        </w:tc>
        <w:tc>
          <w:tcPr>
            <w:tcW w:w="1556" w:type="dxa"/>
            <w:vAlign w:val="top"/>
          </w:tcPr>
          <w:p>
            <w:pPr>
              <w:pStyle w:val="28"/>
              <w:spacing w:before="79" w:line="250" w:lineRule="auto"/>
              <w:ind w:left="357" w:right="126" w:hanging="209"/>
              <w:rPr>
                <w:sz w:val="22"/>
                <w:szCs w:val="22"/>
              </w:rPr>
            </w:pPr>
            <w:r>
              <w:rPr>
                <w:spacing w:val="-3"/>
                <w:sz w:val="22"/>
                <w:szCs w:val="22"/>
              </w:rPr>
              <w:t>富县农产品质量安</w:t>
            </w:r>
            <w:r>
              <w:rPr>
                <w:spacing w:val="-2"/>
                <w:sz w:val="22"/>
                <w:szCs w:val="22"/>
              </w:rPr>
              <w:t>全检验检测站</w:t>
            </w:r>
          </w:p>
        </w:tc>
        <w:tc>
          <w:tcPr>
            <w:tcW w:w="509" w:type="dxa"/>
            <w:vAlign w:val="top"/>
          </w:tcPr>
          <w:p>
            <w:pPr>
              <w:pStyle w:val="28"/>
              <w:spacing w:before="236"/>
              <w:ind w:left="286"/>
              <w:rPr>
                <w:sz w:val="22"/>
                <w:szCs w:val="22"/>
              </w:rPr>
            </w:pPr>
            <w:r>
              <w:rPr>
                <w:sz w:val="22"/>
                <w:szCs w:val="22"/>
              </w:rPr>
              <w:t>3</w:t>
            </w:r>
          </w:p>
        </w:tc>
        <w:tc>
          <w:tcPr>
            <w:tcW w:w="565" w:type="dxa"/>
            <w:vAlign w:val="top"/>
          </w:tcPr>
          <w:p>
            <w:pPr>
              <w:pStyle w:val="28"/>
              <w:spacing w:before="236"/>
              <w:ind w:left="320"/>
              <w:rPr>
                <w:sz w:val="22"/>
                <w:szCs w:val="22"/>
              </w:rPr>
            </w:pPr>
            <w:r>
              <w:rPr>
                <w:sz w:val="22"/>
                <w:szCs w:val="22"/>
              </w:rPr>
              <w:t>0</w:t>
            </w:r>
          </w:p>
        </w:tc>
        <w:tc>
          <w:tcPr>
            <w:tcW w:w="808" w:type="dxa"/>
            <w:vAlign w:val="top"/>
          </w:tcPr>
          <w:p>
            <w:pPr>
              <w:pStyle w:val="28"/>
              <w:spacing w:before="236"/>
              <w:ind w:left="369"/>
              <w:rPr>
                <w:sz w:val="22"/>
                <w:szCs w:val="22"/>
              </w:rPr>
            </w:pPr>
            <w:r>
              <w:rPr>
                <w:spacing w:val="-3"/>
                <w:sz w:val="22"/>
                <w:szCs w:val="22"/>
              </w:rPr>
              <w:t>825</w:t>
            </w:r>
          </w:p>
        </w:tc>
        <w:tc>
          <w:tcPr>
            <w:tcW w:w="716" w:type="dxa"/>
            <w:vAlign w:val="top"/>
          </w:tcPr>
          <w:p>
            <w:pPr>
              <w:pStyle w:val="28"/>
              <w:spacing w:before="236"/>
              <w:ind w:left="419"/>
              <w:rPr>
                <w:sz w:val="22"/>
                <w:szCs w:val="22"/>
              </w:rPr>
            </w:pPr>
            <w:r>
              <w:rPr>
                <w:sz w:val="22"/>
                <w:szCs w:val="22"/>
              </w:rPr>
              <w:t>0</w:t>
            </w:r>
          </w:p>
        </w:tc>
        <w:tc>
          <w:tcPr>
            <w:tcW w:w="716" w:type="dxa"/>
            <w:vAlign w:val="top"/>
          </w:tcPr>
          <w:p>
            <w:pPr>
              <w:pStyle w:val="28"/>
              <w:spacing w:before="236"/>
              <w:ind w:left="377"/>
              <w:rPr>
                <w:sz w:val="22"/>
                <w:szCs w:val="22"/>
              </w:rPr>
            </w:pPr>
            <w:r>
              <w:rPr>
                <w:spacing w:val="-13"/>
                <w:sz w:val="22"/>
                <w:szCs w:val="22"/>
              </w:rPr>
              <w:t>10</w:t>
            </w:r>
          </w:p>
        </w:tc>
        <w:tc>
          <w:tcPr>
            <w:tcW w:w="1754" w:type="dxa"/>
            <w:vAlign w:val="top"/>
          </w:tcPr>
          <w:p>
            <w:pPr>
              <w:pStyle w:val="28"/>
              <w:spacing w:before="79"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5" w:hRule="atLeast"/>
        </w:trPr>
        <w:tc>
          <w:tcPr>
            <w:tcW w:w="557" w:type="dxa"/>
            <w:vAlign w:val="top"/>
          </w:tcPr>
          <w:p>
            <w:pPr>
              <w:pStyle w:val="28"/>
              <w:spacing w:before="235"/>
              <w:ind w:left="260"/>
              <w:rPr>
                <w:sz w:val="22"/>
                <w:szCs w:val="22"/>
              </w:rPr>
            </w:pPr>
            <w:r>
              <w:rPr>
                <w:spacing w:val="-6"/>
                <w:sz w:val="22"/>
                <w:szCs w:val="22"/>
              </w:rPr>
              <w:t>27</w:t>
            </w:r>
          </w:p>
        </w:tc>
        <w:tc>
          <w:tcPr>
            <w:tcW w:w="1646" w:type="dxa"/>
            <w:vAlign w:val="top"/>
          </w:tcPr>
          <w:p>
            <w:pPr>
              <w:pStyle w:val="28"/>
              <w:spacing w:before="78" w:line="251" w:lineRule="auto"/>
              <w:ind w:left="633" w:right="186" w:hanging="428"/>
              <w:rPr>
                <w:sz w:val="22"/>
                <w:szCs w:val="22"/>
              </w:rPr>
            </w:pPr>
            <w:r>
              <w:rPr>
                <w:spacing w:val="-3"/>
                <w:sz w:val="22"/>
                <w:szCs w:val="22"/>
              </w:rPr>
              <w:t>富县工业品公司综合营业楼</w:t>
            </w:r>
          </w:p>
        </w:tc>
        <w:tc>
          <w:tcPr>
            <w:tcW w:w="888" w:type="dxa"/>
            <w:vAlign w:val="top"/>
          </w:tcPr>
          <w:p>
            <w:pPr>
              <w:pStyle w:val="28"/>
              <w:spacing w:before="235"/>
              <w:ind w:left="364"/>
              <w:rPr>
                <w:sz w:val="22"/>
                <w:szCs w:val="22"/>
              </w:rPr>
            </w:pPr>
            <w:r>
              <w:rPr>
                <w:spacing w:val="-3"/>
                <w:sz w:val="22"/>
                <w:szCs w:val="22"/>
              </w:rPr>
              <w:t>2502</w:t>
            </w:r>
          </w:p>
        </w:tc>
        <w:tc>
          <w:tcPr>
            <w:tcW w:w="1556" w:type="dxa"/>
            <w:vAlign w:val="top"/>
          </w:tcPr>
          <w:p>
            <w:pPr>
              <w:pStyle w:val="28"/>
              <w:spacing w:before="78" w:line="251" w:lineRule="auto"/>
              <w:ind w:left="576" w:right="126" w:hanging="428"/>
              <w:rPr>
                <w:sz w:val="22"/>
                <w:szCs w:val="22"/>
              </w:rPr>
            </w:pPr>
            <w:r>
              <w:rPr>
                <w:spacing w:val="-3"/>
                <w:sz w:val="22"/>
                <w:szCs w:val="22"/>
              </w:rPr>
              <w:t>富县工业品公司综合营业楼</w:t>
            </w:r>
          </w:p>
        </w:tc>
        <w:tc>
          <w:tcPr>
            <w:tcW w:w="509" w:type="dxa"/>
            <w:vAlign w:val="top"/>
          </w:tcPr>
          <w:p>
            <w:pPr>
              <w:pStyle w:val="28"/>
              <w:spacing w:before="235"/>
              <w:ind w:left="283"/>
              <w:rPr>
                <w:sz w:val="22"/>
                <w:szCs w:val="22"/>
              </w:rPr>
            </w:pPr>
            <w:r>
              <w:rPr>
                <w:sz w:val="22"/>
                <w:szCs w:val="22"/>
              </w:rPr>
              <w:t>6</w:t>
            </w:r>
          </w:p>
        </w:tc>
        <w:tc>
          <w:tcPr>
            <w:tcW w:w="565" w:type="dxa"/>
            <w:vAlign w:val="top"/>
          </w:tcPr>
          <w:p>
            <w:pPr>
              <w:pStyle w:val="28"/>
              <w:spacing w:before="234" w:line="242" w:lineRule="auto"/>
              <w:ind w:left="334"/>
              <w:rPr>
                <w:sz w:val="22"/>
                <w:szCs w:val="22"/>
              </w:rPr>
            </w:pPr>
            <w:r>
              <w:rPr>
                <w:sz w:val="22"/>
                <w:szCs w:val="22"/>
              </w:rPr>
              <w:t>1</w:t>
            </w:r>
          </w:p>
        </w:tc>
        <w:tc>
          <w:tcPr>
            <w:tcW w:w="808" w:type="dxa"/>
            <w:vAlign w:val="top"/>
          </w:tcPr>
          <w:p>
            <w:pPr>
              <w:pStyle w:val="28"/>
              <w:spacing w:before="234" w:line="242" w:lineRule="auto"/>
              <w:ind w:left="315"/>
              <w:rPr>
                <w:sz w:val="22"/>
                <w:szCs w:val="22"/>
              </w:rPr>
            </w:pPr>
            <w:r>
              <w:rPr>
                <w:spacing w:val="-3"/>
                <w:sz w:val="22"/>
                <w:szCs w:val="22"/>
              </w:rPr>
              <w:t>2144</w:t>
            </w:r>
          </w:p>
        </w:tc>
        <w:tc>
          <w:tcPr>
            <w:tcW w:w="716" w:type="dxa"/>
            <w:vAlign w:val="top"/>
          </w:tcPr>
          <w:p>
            <w:pPr>
              <w:pStyle w:val="28"/>
              <w:spacing w:before="235"/>
              <w:ind w:left="311"/>
              <w:rPr>
                <w:sz w:val="22"/>
                <w:szCs w:val="22"/>
              </w:rPr>
            </w:pPr>
            <w:r>
              <w:rPr>
                <w:spacing w:val="-4"/>
                <w:sz w:val="22"/>
                <w:szCs w:val="22"/>
              </w:rPr>
              <w:t>358</w:t>
            </w:r>
          </w:p>
        </w:tc>
        <w:tc>
          <w:tcPr>
            <w:tcW w:w="716" w:type="dxa"/>
            <w:vAlign w:val="top"/>
          </w:tcPr>
          <w:p>
            <w:pPr>
              <w:pStyle w:val="28"/>
              <w:spacing w:before="234" w:line="242" w:lineRule="auto"/>
              <w:ind w:left="377"/>
              <w:rPr>
                <w:sz w:val="22"/>
                <w:szCs w:val="22"/>
              </w:rPr>
            </w:pPr>
            <w:r>
              <w:rPr>
                <w:spacing w:val="-13"/>
                <w:sz w:val="22"/>
                <w:szCs w:val="22"/>
              </w:rPr>
              <w:t>12</w:t>
            </w:r>
          </w:p>
        </w:tc>
        <w:tc>
          <w:tcPr>
            <w:tcW w:w="1754" w:type="dxa"/>
            <w:vAlign w:val="top"/>
          </w:tcPr>
          <w:p>
            <w:pPr>
              <w:pStyle w:val="28"/>
              <w:spacing w:before="78"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bl>
    <w:p>
      <w:pPr>
        <w:pStyle w:val="7"/>
      </w:pPr>
    </w:p>
    <w:p>
      <w:pPr>
        <w:sectPr>
          <w:footerReference r:id="rId11" w:type="default"/>
          <w:pgSz w:w="11906" w:h="16839"/>
          <w:pgMar w:top="937" w:right="1152" w:bottom="936" w:left="1012" w:header="0" w:footer="987" w:gutter="0"/>
          <w:cols w:space="720" w:num="1"/>
        </w:sectPr>
      </w:pPr>
    </w:p>
    <w:p>
      <w:pPr>
        <w:spacing w:before="21"/>
      </w:pPr>
    </w:p>
    <w:p>
      <w:pPr>
        <w:spacing w:before="21"/>
      </w:pPr>
    </w:p>
    <w:p>
      <w:pPr>
        <w:spacing w:before="21"/>
      </w:pPr>
    </w:p>
    <w:tbl>
      <w:tblPr>
        <w:tblStyle w:val="27"/>
        <w:tblW w:w="95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48"/>
        <w:gridCol w:w="1619"/>
        <w:gridCol w:w="873"/>
        <w:gridCol w:w="1531"/>
        <w:gridCol w:w="501"/>
        <w:gridCol w:w="556"/>
        <w:gridCol w:w="795"/>
        <w:gridCol w:w="704"/>
        <w:gridCol w:w="704"/>
        <w:gridCol w:w="172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0" w:hRule="atLeast"/>
        </w:trPr>
        <w:tc>
          <w:tcPr>
            <w:tcW w:w="548" w:type="dxa"/>
            <w:vAlign w:val="top"/>
          </w:tcPr>
          <w:p>
            <w:pPr>
              <w:pStyle w:val="28"/>
              <w:spacing w:before="236"/>
              <w:ind w:left="260"/>
              <w:rPr>
                <w:sz w:val="22"/>
                <w:szCs w:val="22"/>
              </w:rPr>
            </w:pPr>
            <w:r>
              <w:rPr>
                <w:spacing w:val="-6"/>
                <w:sz w:val="22"/>
                <w:szCs w:val="22"/>
              </w:rPr>
              <w:t>28</w:t>
            </w:r>
          </w:p>
        </w:tc>
        <w:tc>
          <w:tcPr>
            <w:tcW w:w="1619" w:type="dxa"/>
            <w:vAlign w:val="top"/>
          </w:tcPr>
          <w:p>
            <w:pPr>
              <w:pStyle w:val="28"/>
              <w:spacing w:before="80" w:line="251" w:lineRule="auto"/>
              <w:ind w:left="305" w:right="186" w:hanging="100"/>
              <w:rPr>
                <w:sz w:val="22"/>
                <w:szCs w:val="22"/>
              </w:rPr>
            </w:pPr>
            <w:r>
              <w:rPr>
                <w:spacing w:val="-3"/>
                <w:sz w:val="22"/>
                <w:szCs w:val="22"/>
              </w:rPr>
              <w:t>富县供销下岗职工</w:t>
            </w:r>
            <w:r>
              <w:rPr>
                <w:spacing w:val="-2"/>
                <w:sz w:val="22"/>
                <w:szCs w:val="22"/>
              </w:rPr>
              <w:t>专营市场综合楼</w:t>
            </w:r>
          </w:p>
        </w:tc>
        <w:tc>
          <w:tcPr>
            <w:tcW w:w="873" w:type="dxa"/>
            <w:vAlign w:val="top"/>
          </w:tcPr>
          <w:p>
            <w:pPr>
              <w:pStyle w:val="28"/>
              <w:spacing w:before="235"/>
              <w:ind w:left="212"/>
              <w:rPr>
                <w:sz w:val="22"/>
                <w:szCs w:val="22"/>
              </w:rPr>
            </w:pPr>
            <w:r>
              <w:rPr>
                <w:spacing w:val="-4"/>
                <w:sz w:val="22"/>
                <w:szCs w:val="22"/>
              </w:rPr>
              <w:t>1737.33</w:t>
            </w:r>
          </w:p>
        </w:tc>
        <w:tc>
          <w:tcPr>
            <w:tcW w:w="1531" w:type="dxa"/>
            <w:vAlign w:val="top"/>
          </w:tcPr>
          <w:p>
            <w:pPr>
              <w:pStyle w:val="28"/>
              <w:spacing w:before="80" w:line="251" w:lineRule="auto"/>
              <w:ind w:left="248" w:right="126" w:hanging="100"/>
              <w:rPr>
                <w:sz w:val="22"/>
                <w:szCs w:val="22"/>
              </w:rPr>
            </w:pPr>
            <w:r>
              <w:rPr>
                <w:spacing w:val="-3"/>
                <w:sz w:val="22"/>
                <w:szCs w:val="22"/>
              </w:rPr>
              <w:t>富县供销下岗职工</w:t>
            </w:r>
            <w:r>
              <w:rPr>
                <w:spacing w:val="-2"/>
                <w:sz w:val="22"/>
                <w:szCs w:val="22"/>
              </w:rPr>
              <w:t>专营市场综合楼</w:t>
            </w:r>
          </w:p>
        </w:tc>
        <w:tc>
          <w:tcPr>
            <w:tcW w:w="501" w:type="dxa"/>
            <w:vAlign w:val="top"/>
          </w:tcPr>
          <w:p>
            <w:pPr>
              <w:pStyle w:val="28"/>
              <w:spacing w:before="235" w:line="242" w:lineRule="auto"/>
              <w:ind w:left="281"/>
              <w:rPr>
                <w:sz w:val="22"/>
                <w:szCs w:val="22"/>
              </w:rPr>
            </w:pPr>
            <w:r>
              <w:rPr>
                <w:sz w:val="22"/>
                <w:szCs w:val="22"/>
              </w:rPr>
              <w:t>4</w:t>
            </w:r>
          </w:p>
        </w:tc>
        <w:tc>
          <w:tcPr>
            <w:tcW w:w="556" w:type="dxa"/>
            <w:vAlign w:val="top"/>
          </w:tcPr>
          <w:p>
            <w:pPr>
              <w:pStyle w:val="28"/>
              <w:spacing w:before="236"/>
              <w:ind w:left="320"/>
              <w:rPr>
                <w:sz w:val="22"/>
                <w:szCs w:val="22"/>
              </w:rPr>
            </w:pPr>
            <w:r>
              <w:rPr>
                <w:sz w:val="22"/>
                <w:szCs w:val="22"/>
              </w:rPr>
              <w:t>0</w:t>
            </w:r>
          </w:p>
        </w:tc>
        <w:tc>
          <w:tcPr>
            <w:tcW w:w="795" w:type="dxa"/>
            <w:vAlign w:val="top"/>
          </w:tcPr>
          <w:p>
            <w:pPr>
              <w:pStyle w:val="28"/>
              <w:spacing w:before="235"/>
              <w:ind w:left="163"/>
              <w:rPr>
                <w:sz w:val="22"/>
                <w:szCs w:val="22"/>
              </w:rPr>
            </w:pPr>
            <w:r>
              <w:rPr>
                <w:spacing w:val="-4"/>
                <w:sz w:val="22"/>
                <w:szCs w:val="22"/>
              </w:rPr>
              <w:t>1737.33</w:t>
            </w:r>
          </w:p>
        </w:tc>
        <w:tc>
          <w:tcPr>
            <w:tcW w:w="704" w:type="dxa"/>
            <w:vAlign w:val="top"/>
          </w:tcPr>
          <w:p>
            <w:pPr>
              <w:pStyle w:val="28"/>
              <w:spacing w:before="236"/>
              <w:ind w:left="419"/>
              <w:rPr>
                <w:sz w:val="22"/>
                <w:szCs w:val="22"/>
              </w:rPr>
            </w:pPr>
            <w:r>
              <w:rPr>
                <w:sz w:val="22"/>
                <w:szCs w:val="22"/>
              </w:rPr>
              <w:t>0</w:t>
            </w:r>
          </w:p>
        </w:tc>
        <w:tc>
          <w:tcPr>
            <w:tcW w:w="704" w:type="dxa"/>
            <w:vAlign w:val="top"/>
          </w:tcPr>
          <w:p>
            <w:pPr>
              <w:pStyle w:val="28"/>
              <w:spacing w:before="236"/>
              <w:ind w:left="377"/>
              <w:rPr>
                <w:sz w:val="22"/>
                <w:szCs w:val="22"/>
              </w:rPr>
            </w:pPr>
            <w:r>
              <w:rPr>
                <w:spacing w:val="-13"/>
                <w:sz w:val="22"/>
                <w:szCs w:val="22"/>
              </w:rPr>
              <w:t>15</w:t>
            </w:r>
          </w:p>
        </w:tc>
        <w:tc>
          <w:tcPr>
            <w:tcW w:w="1725" w:type="dxa"/>
            <w:vAlign w:val="top"/>
          </w:tcPr>
          <w:p>
            <w:pPr>
              <w:pStyle w:val="28"/>
              <w:spacing w:before="80"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548" w:type="dxa"/>
            <w:vAlign w:val="top"/>
          </w:tcPr>
          <w:p>
            <w:pPr>
              <w:pStyle w:val="28"/>
              <w:spacing w:before="230"/>
              <w:ind w:left="260"/>
              <w:rPr>
                <w:sz w:val="22"/>
                <w:szCs w:val="22"/>
              </w:rPr>
            </w:pPr>
            <w:r>
              <w:rPr>
                <w:spacing w:val="-6"/>
                <w:sz w:val="22"/>
                <w:szCs w:val="22"/>
              </w:rPr>
              <w:t>29</w:t>
            </w:r>
          </w:p>
        </w:tc>
        <w:tc>
          <w:tcPr>
            <w:tcW w:w="1619" w:type="dxa"/>
            <w:vAlign w:val="top"/>
          </w:tcPr>
          <w:p>
            <w:pPr>
              <w:pStyle w:val="28"/>
              <w:spacing w:before="231" w:line="219" w:lineRule="auto"/>
              <w:ind w:left="315"/>
              <w:rPr>
                <w:sz w:val="22"/>
                <w:szCs w:val="22"/>
              </w:rPr>
            </w:pPr>
            <w:r>
              <w:rPr>
                <w:spacing w:val="-3"/>
                <w:sz w:val="22"/>
                <w:szCs w:val="22"/>
              </w:rPr>
              <w:t>富县农机推广楼</w:t>
            </w:r>
          </w:p>
        </w:tc>
        <w:tc>
          <w:tcPr>
            <w:tcW w:w="873" w:type="dxa"/>
            <w:vAlign w:val="top"/>
          </w:tcPr>
          <w:p>
            <w:pPr>
              <w:pStyle w:val="28"/>
              <w:spacing w:before="230"/>
              <w:ind w:left="422"/>
              <w:rPr>
                <w:sz w:val="22"/>
                <w:szCs w:val="22"/>
              </w:rPr>
            </w:pPr>
            <w:r>
              <w:rPr>
                <w:spacing w:val="-5"/>
                <w:sz w:val="22"/>
                <w:szCs w:val="22"/>
              </w:rPr>
              <w:t>747</w:t>
            </w:r>
          </w:p>
        </w:tc>
        <w:tc>
          <w:tcPr>
            <w:tcW w:w="1531" w:type="dxa"/>
            <w:vAlign w:val="top"/>
          </w:tcPr>
          <w:p>
            <w:pPr>
              <w:pStyle w:val="28"/>
              <w:spacing w:before="231" w:line="219" w:lineRule="auto"/>
              <w:ind w:left="258"/>
              <w:rPr>
                <w:sz w:val="22"/>
                <w:szCs w:val="22"/>
              </w:rPr>
            </w:pPr>
            <w:r>
              <w:rPr>
                <w:spacing w:val="-3"/>
                <w:sz w:val="22"/>
                <w:szCs w:val="22"/>
              </w:rPr>
              <w:t>富县农机推广楼</w:t>
            </w:r>
          </w:p>
        </w:tc>
        <w:tc>
          <w:tcPr>
            <w:tcW w:w="501" w:type="dxa"/>
            <w:vAlign w:val="top"/>
          </w:tcPr>
          <w:p>
            <w:pPr>
              <w:pStyle w:val="28"/>
              <w:spacing w:before="230"/>
              <w:ind w:left="286"/>
              <w:rPr>
                <w:sz w:val="22"/>
                <w:szCs w:val="22"/>
              </w:rPr>
            </w:pPr>
            <w:r>
              <w:rPr>
                <w:sz w:val="22"/>
                <w:szCs w:val="22"/>
              </w:rPr>
              <w:t>3</w:t>
            </w:r>
          </w:p>
        </w:tc>
        <w:tc>
          <w:tcPr>
            <w:tcW w:w="556" w:type="dxa"/>
            <w:vAlign w:val="top"/>
          </w:tcPr>
          <w:p>
            <w:pPr>
              <w:pStyle w:val="28"/>
              <w:spacing w:before="230"/>
              <w:ind w:left="320"/>
              <w:rPr>
                <w:sz w:val="22"/>
                <w:szCs w:val="22"/>
              </w:rPr>
            </w:pPr>
            <w:r>
              <w:rPr>
                <w:sz w:val="22"/>
                <w:szCs w:val="22"/>
              </w:rPr>
              <w:t>0</w:t>
            </w:r>
          </w:p>
        </w:tc>
        <w:tc>
          <w:tcPr>
            <w:tcW w:w="795" w:type="dxa"/>
            <w:vAlign w:val="top"/>
          </w:tcPr>
          <w:p>
            <w:pPr>
              <w:pStyle w:val="28"/>
              <w:spacing w:before="230"/>
              <w:ind w:left="373"/>
              <w:rPr>
                <w:sz w:val="22"/>
                <w:szCs w:val="22"/>
              </w:rPr>
            </w:pPr>
            <w:r>
              <w:rPr>
                <w:spacing w:val="-5"/>
                <w:sz w:val="22"/>
                <w:szCs w:val="22"/>
              </w:rPr>
              <w:t>747</w:t>
            </w:r>
          </w:p>
        </w:tc>
        <w:tc>
          <w:tcPr>
            <w:tcW w:w="704" w:type="dxa"/>
            <w:vAlign w:val="top"/>
          </w:tcPr>
          <w:p>
            <w:pPr>
              <w:pStyle w:val="28"/>
              <w:spacing w:before="230"/>
              <w:ind w:left="419"/>
              <w:rPr>
                <w:sz w:val="22"/>
                <w:szCs w:val="22"/>
              </w:rPr>
            </w:pPr>
            <w:r>
              <w:rPr>
                <w:sz w:val="22"/>
                <w:szCs w:val="22"/>
              </w:rPr>
              <w:t>0</w:t>
            </w:r>
          </w:p>
        </w:tc>
        <w:tc>
          <w:tcPr>
            <w:tcW w:w="704" w:type="dxa"/>
            <w:vAlign w:val="top"/>
          </w:tcPr>
          <w:p>
            <w:pPr>
              <w:pStyle w:val="28"/>
              <w:spacing w:before="230"/>
              <w:ind w:left="377"/>
              <w:rPr>
                <w:sz w:val="22"/>
                <w:szCs w:val="22"/>
              </w:rPr>
            </w:pPr>
            <w:r>
              <w:rPr>
                <w:spacing w:val="-13"/>
                <w:sz w:val="22"/>
                <w:szCs w:val="22"/>
              </w:rPr>
              <w:t>10</w:t>
            </w:r>
          </w:p>
        </w:tc>
        <w:tc>
          <w:tcPr>
            <w:tcW w:w="1725" w:type="dxa"/>
            <w:vAlign w:val="top"/>
          </w:tcPr>
          <w:p>
            <w:pPr>
              <w:pStyle w:val="28"/>
              <w:spacing w:before="73" w:line="252"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548" w:type="dxa"/>
            <w:vAlign w:val="top"/>
          </w:tcPr>
          <w:p>
            <w:pPr>
              <w:pStyle w:val="28"/>
              <w:spacing w:before="233"/>
              <w:ind w:left="262"/>
              <w:rPr>
                <w:sz w:val="22"/>
                <w:szCs w:val="22"/>
              </w:rPr>
            </w:pPr>
            <w:r>
              <w:rPr>
                <w:spacing w:val="-7"/>
                <w:sz w:val="22"/>
                <w:szCs w:val="22"/>
              </w:rPr>
              <w:t>30</w:t>
            </w:r>
          </w:p>
        </w:tc>
        <w:tc>
          <w:tcPr>
            <w:tcW w:w="1619" w:type="dxa"/>
            <w:vAlign w:val="top"/>
          </w:tcPr>
          <w:p>
            <w:pPr>
              <w:pStyle w:val="28"/>
              <w:spacing w:before="75" w:line="251" w:lineRule="auto"/>
              <w:ind w:left="743" w:right="186" w:hanging="538"/>
              <w:rPr>
                <w:sz w:val="22"/>
                <w:szCs w:val="22"/>
              </w:rPr>
            </w:pPr>
            <w:r>
              <w:rPr>
                <w:spacing w:val="-3"/>
                <w:sz w:val="22"/>
                <w:szCs w:val="22"/>
              </w:rPr>
              <w:t>富城镇计生综合楼服务楼</w:t>
            </w:r>
          </w:p>
        </w:tc>
        <w:tc>
          <w:tcPr>
            <w:tcW w:w="873" w:type="dxa"/>
            <w:vAlign w:val="top"/>
          </w:tcPr>
          <w:p>
            <w:pPr>
              <w:pStyle w:val="28"/>
              <w:spacing w:before="232"/>
              <w:ind w:left="268"/>
              <w:rPr>
                <w:sz w:val="22"/>
                <w:szCs w:val="22"/>
              </w:rPr>
            </w:pPr>
            <w:r>
              <w:rPr>
                <w:spacing w:val="-4"/>
                <w:sz w:val="22"/>
                <w:szCs w:val="22"/>
              </w:rPr>
              <w:t>1488.9</w:t>
            </w:r>
          </w:p>
        </w:tc>
        <w:tc>
          <w:tcPr>
            <w:tcW w:w="1531" w:type="dxa"/>
            <w:vAlign w:val="top"/>
          </w:tcPr>
          <w:p>
            <w:pPr>
              <w:pStyle w:val="28"/>
              <w:spacing w:before="75" w:line="251" w:lineRule="auto"/>
              <w:ind w:left="686" w:right="126" w:hanging="538"/>
              <w:rPr>
                <w:sz w:val="22"/>
                <w:szCs w:val="22"/>
              </w:rPr>
            </w:pPr>
            <w:r>
              <w:rPr>
                <w:spacing w:val="-3"/>
                <w:sz w:val="22"/>
                <w:szCs w:val="22"/>
              </w:rPr>
              <w:t>富城镇计生综合楼服务楼</w:t>
            </w:r>
          </w:p>
        </w:tc>
        <w:tc>
          <w:tcPr>
            <w:tcW w:w="501" w:type="dxa"/>
            <w:vAlign w:val="top"/>
          </w:tcPr>
          <w:p>
            <w:pPr>
              <w:pStyle w:val="28"/>
              <w:spacing w:before="233"/>
              <w:ind w:left="286"/>
              <w:rPr>
                <w:sz w:val="22"/>
                <w:szCs w:val="22"/>
              </w:rPr>
            </w:pPr>
            <w:r>
              <w:rPr>
                <w:sz w:val="22"/>
                <w:szCs w:val="22"/>
              </w:rPr>
              <w:t>5</w:t>
            </w:r>
          </w:p>
        </w:tc>
        <w:tc>
          <w:tcPr>
            <w:tcW w:w="556" w:type="dxa"/>
            <w:vAlign w:val="top"/>
          </w:tcPr>
          <w:p>
            <w:pPr>
              <w:pStyle w:val="28"/>
              <w:spacing w:before="233"/>
              <w:ind w:left="320"/>
              <w:rPr>
                <w:sz w:val="22"/>
                <w:szCs w:val="22"/>
              </w:rPr>
            </w:pPr>
            <w:r>
              <w:rPr>
                <w:sz w:val="22"/>
                <w:szCs w:val="22"/>
              </w:rPr>
              <w:t>0</w:t>
            </w:r>
          </w:p>
        </w:tc>
        <w:tc>
          <w:tcPr>
            <w:tcW w:w="795" w:type="dxa"/>
            <w:vAlign w:val="top"/>
          </w:tcPr>
          <w:p>
            <w:pPr>
              <w:pStyle w:val="28"/>
              <w:spacing w:before="232"/>
              <w:ind w:left="219"/>
              <w:rPr>
                <w:sz w:val="22"/>
                <w:szCs w:val="22"/>
              </w:rPr>
            </w:pPr>
            <w:r>
              <w:rPr>
                <w:spacing w:val="-4"/>
                <w:sz w:val="22"/>
                <w:szCs w:val="22"/>
              </w:rPr>
              <w:t>1488.9</w:t>
            </w:r>
          </w:p>
        </w:tc>
        <w:tc>
          <w:tcPr>
            <w:tcW w:w="704" w:type="dxa"/>
            <w:vAlign w:val="top"/>
          </w:tcPr>
          <w:p>
            <w:pPr>
              <w:pStyle w:val="28"/>
              <w:spacing w:before="233"/>
              <w:ind w:left="419"/>
              <w:rPr>
                <w:sz w:val="22"/>
                <w:szCs w:val="22"/>
              </w:rPr>
            </w:pPr>
            <w:r>
              <w:rPr>
                <w:sz w:val="22"/>
                <w:szCs w:val="22"/>
              </w:rPr>
              <w:t>0</w:t>
            </w:r>
          </w:p>
        </w:tc>
        <w:tc>
          <w:tcPr>
            <w:tcW w:w="704" w:type="dxa"/>
            <w:vAlign w:val="top"/>
          </w:tcPr>
          <w:p>
            <w:pPr>
              <w:pStyle w:val="28"/>
              <w:spacing w:before="232"/>
              <w:ind w:left="269"/>
              <w:rPr>
                <w:sz w:val="22"/>
                <w:szCs w:val="22"/>
              </w:rPr>
            </w:pPr>
            <w:r>
              <w:rPr>
                <w:spacing w:val="-6"/>
                <w:sz w:val="22"/>
                <w:szCs w:val="22"/>
              </w:rPr>
              <w:t>16.5</w:t>
            </w:r>
          </w:p>
        </w:tc>
        <w:tc>
          <w:tcPr>
            <w:tcW w:w="1725" w:type="dxa"/>
            <w:vAlign w:val="top"/>
          </w:tcPr>
          <w:p>
            <w:pPr>
              <w:pStyle w:val="28"/>
              <w:spacing w:before="75"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548" w:type="dxa"/>
            <w:vMerge w:val="restart"/>
            <w:tcBorders>
              <w:bottom w:val="nil"/>
            </w:tcBorders>
            <w:vAlign w:val="top"/>
          </w:tcPr>
          <w:p>
            <w:pPr>
              <w:spacing w:line="257"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pStyle w:val="28"/>
              <w:spacing w:before="72"/>
              <w:ind w:left="262"/>
              <w:rPr>
                <w:sz w:val="22"/>
                <w:szCs w:val="22"/>
              </w:rPr>
            </w:pPr>
            <w:r>
              <w:rPr>
                <w:spacing w:val="-7"/>
                <w:sz w:val="22"/>
                <w:szCs w:val="22"/>
              </w:rPr>
              <w:t>31</w:t>
            </w:r>
          </w:p>
        </w:tc>
        <w:tc>
          <w:tcPr>
            <w:tcW w:w="1619" w:type="dxa"/>
            <w:vMerge w:val="restart"/>
            <w:tcBorders>
              <w:bottom w:val="nil"/>
            </w:tcBorders>
            <w:vAlign w:val="top"/>
          </w:tcPr>
          <w:p>
            <w:pPr>
              <w:spacing w:line="272" w:lineRule="auto"/>
              <w:rPr>
                <w:rFonts w:ascii="Arial"/>
                <w:sz w:val="21"/>
              </w:rPr>
            </w:pPr>
          </w:p>
          <w:p>
            <w:pPr>
              <w:spacing w:line="272" w:lineRule="auto"/>
              <w:rPr>
                <w:rFonts w:ascii="Arial"/>
                <w:sz w:val="21"/>
              </w:rPr>
            </w:pPr>
          </w:p>
          <w:p>
            <w:pPr>
              <w:spacing w:line="272"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spacing w:line="273" w:lineRule="auto"/>
              <w:rPr>
                <w:rFonts w:ascii="Arial"/>
                <w:sz w:val="21"/>
              </w:rPr>
            </w:pPr>
          </w:p>
          <w:p>
            <w:pPr>
              <w:pStyle w:val="28"/>
              <w:spacing w:before="72" w:line="264" w:lineRule="auto"/>
              <w:ind w:left="194" w:right="186" w:firstLine="6"/>
              <w:rPr>
                <w:sz w:val="22"/>
                <w:szCs w:val="22"/>
              </w:rPr>
            </w:pPr>
            <w:r>
              <w:rPr>
                <w:spacing w:val="-2"/>
                <w:sz w:val="22"/>
                <w:szCs w:val="22"/>
              </w:rPr>
              <w:t>吉子现镇精准扶贫</w:t>
            </w:r>
            <w:r>
              <w:rPr>
                <w:spacing w:val="-1"/>
                <w:sz w:val="22"/>
                <w:szCs w:val="22"/>
              </w:rPr>
              <w:t>移民搬迁安置小区</w:t>
            </w:r>
          </w:p>
        </w:tc>
        <w:tc>
          <w:tcPr>
            <w:tcW w:w="873" w:type="dxa"/>
            <w:vMerge w:val="restart"/>
            <w:tcBorders>
              <w:bottom w:val="nil"/>
            </w:tcBorders>
            <w:vAlign w:val="top"/>
          </w:tcPr>
          <w:p>
            <w:pPr>
              <w:spacing w:line="257"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spacing w:line="258" w:lineRule="auto"/>
              <w:rPr>
                <w:rFonts w:ascii="Arial"/>
                <w:sz w:val="21"/>
              </w:rPr>
            </w:pPr>
          </w:p>
          <w:p>
            <w:pPr>
              <w:pStyle w:val="28"/>
              <w:spacing w:before="71"/>
              <w:ind w:left="157"/>
              <w:rPr>
                <w:sz w:val="22"/>
                <w:szCs w:val="22"/>
              </w:rPr>
            </w:pPr>
            <w:r>
              <w:rPr>
                <w:spacing w:val="-4"/>
                <w:sz w:val="22"/>
                <w:szCs w:val="22"/>
              </w:rPr>
              <w:t>10713.47</w:t>
            </w:r>
          </w:p>
        </w:tc>
        <w:tc>
          <w:tcPr>
            <w:tcW w:w="1531" w:type="dxa"/>
            <w:vAlign w:val="top"/>
          </w:tcPr>
          <w:p>
            <w:pPr>
              <w:pStyle w:val="28"/>
              <w:spacing w:before="232" w:line="220" w:lineRule="auto"/>
              <w:ind w:left="731"/>
              <w:rPr>
                <w:sz w:val="22"/>
                <w:szCs w:val="22"/>
              </w:rPr>
            </w:pPr>
            <w:r>
              <w:rPr>
                <w:spacing w:val="-13"/>
                <w:sz w:val="22"/>
                <w:szCs w:val="22"/>
              </w:rPr>
              <w:t>1</w:t>
            </w:r>
            <w:r>
              <w:rPr>
                <w:spacing w:val="-40"/>
                <w:sz w:val="22"/>
                <w:szCs w:val="22"/>
              </w:rPr>
              <w:t xml:space="preserve"> </w:t>
            </w:r>
            <w:r>
              <w:rPr>
                <w:spacing w:val="-13"/>
                <w:sz w:val="22"/>
                <w:szCs w:val="22"/>
              </w:rPr>
              <w:t>号楼</w:t>
            </w:r>
          </w:p>
        </w:tc>
        <w:tc>
          <w:tcPr>
            <w:tcW w:w="501" w:type="dxa"/>
            <w:vAlign w:val="top"/>
          </w:tcPr>
          <w:p>
            <w:pPr>
              <w:pStyle w:val="28"/>
              <w:spacing w:before="232"/>
              <w:ind w:left="283"/>
              <w:rPr>
                <w:sz w:val="22"/>
                <w:szCs w:val="22"/>
              </w:rPr>
            </w:pPr>
            <w:r>
              <w:rPr>
                <w:sz w:val="22"/>
                <w:szCs w:val="22"/>
              </w:rPr>
              <w:t>6</w:t>
            </w:r>
          </w:p>
        </w:tc>
        <w:tc>
          <w:tcPr>
            <w:tcW w:w="556" w:type="dxa"/>
            <w:vAlign w:val="top"/>
          </w:tcPr>
          <w:p>
            <w:pPr>
              <w:pStyle w:val="28"/>
              <w:spacing w:before="232"/>
              <w:ind w:left="320"/>
              <w:rPr>
                <w:sz w:val="22"/>
                <w:szCs w:val="22"/>
              </w:rPr>
            </w:pPr>
            <w:r>
              <w:rPr>
                <w:sz w:val="22"/>
                <w:szCs w:val="22"/>
              </w:rPr>
              <w:t>0</w:t>
            </w:r>
          </w:p>
        </w:tc>
        <w:tc>
          <w:tcPr>
            <w:tcW w:w="795" w:type="dxa"/>
            <w:vAlign w:val="top"/>
          </w:tcPr>
          <w:p>
            <w:pPr>
              <w:pStyle w:val="28"/>
              <w:spacing w:before="232"/>
              <w:ind w:left="152"/>
              <w:rPr>
                <w:sz w:val="22"/>
                <w:szCs w:val="22"/>
              </w:rPr>
            </w:pPr>
            <w:r>
              <w:rPr>
                <w:spacing w:val="-2"/>
                <w:sz w:val="22"/>
                <w:szCs w:val="22"/>
              </w:rPr>
              <w:t>3401.88</w:t>
            </w:r>
          </w:p>
        </w:tc>
        <w:tc>
          <w:tcPr>
            <w:tcW w:w="704" w:type="dxa"/>
            <w:vAlign w:val="top"/>
          </w:tcPr>
          <w:p>
            <w:pPr>
              <w:pStyle w:val="28"/>
              <w:spacing w:before="232"/>
              <w:ind w:left="419"/>
              <w:rPr>
                <w:sz w:val="22"/>
                <w:szCs w:val="22"/>
              </w:rPr>
            </w:pPr>
            <w:r>
              <w:rPr>
                <w:sz w:val="22"/>
                <w:szCs w:val="22"/>
              </w:rPr>
              <w:t>0</w:t>
            </w:r>
          </w:p>
        </w:tc>
        <w:tc>
          <w:tcPr>
            <w:tcW w:w="704" w:type="dxa"/>
            <w:vAlign w:val="top"/>
          </w:tcPr>
          <w:p>
            <w:pPr>
              <w:pStyle w:val="28"/>
              <w:spacing w:before="232"/>
              <w:ind w:left="377"/>
              <w:rPr>
                <w:sz w:val="22"/>
                <w:szCs w:val="22"/>
              </w:rPr>
            </w:pPr>
            <w:r>
              <w:rPr>
                <w:spacing w:val="-13"/>
                <w:sz w:val="22"/>
                <w:szCs w:val="22"/>
              </w:rPr>
              <w:t>18</w:t>
            </w:r>
          </w:p>
        </w:tc>
        <w:tc>
          <w:tcPr>
            <w:tcW w:w="1725" w:type="dxa"/>
            <w:vAlign w:val="top"/>
          </w:tcPr>
          <w:p>
            <w:pPr>
              <w:pStyle w:val="28"/>
              <w:spacing w:before="76"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548" w:type="dxa"/>
            <w:vMerge w:val="continue"/>
            <w:tcBorders>
              <w:top w:val="nil"/>
              <w:bottom w:val="nil"/>
            </w:tcBorders>
            <w:vAlign w:val="top"/>
          </w:tcPr>
          <w:p>
            <w:pPr>
              <w:rPr>
                <w:rFonts w:ascii="Arial"/>
                <w:sz w:val="21"/>
              </w:rPr>
            </w:pPr>
          </w:p>
        </w:tc>
        <w:tc>
          <w:tcPr>
            <w:tcW w:w="1619" w:type="dxa"/>
            <w:vMerge w:val="continue"/>
            <w:tcBorders>
              <w:top w:val="nil"/>
              <w:bottom w:val="nil"/>
            </w:tcBorders>
            <w:vAlign w:val="top"/>
          </w:tcPr>
          <w:p>
            <w:pPr>
              <w:rPr>
                <w:rFonts w:ascii="Arial"/>
                <w:sz w:val="21"/>
              </w:rPr>
            </w:pPr>
          </w:p>
        </w:tc>
        <w:tc>
          <w:tcPr>
            <w:tcW w:w="873" w:type="dxa"/>
            <w:vMerge w:val="continue"/>
            <w:tcBorders>
              <w:top w:val="nil"/>
              <w:bottom w:val="nil"/>
            </w:tcBorders>
            <w:vAlign w:val="top"/>
          </w:tcPr>
          <w:p>
            <w:pPr>
              <w:rPr>
                <w:rFonts w:ascii="Arial"/>
                <w:sz w:val="21"/>
              </w:rPr>
            </w:pPr>
          </w:p>
        </w:tc>
        <w:tc>
          <w:tcPr>
            <w:tcW w:w="1531" w:type="dxa"/>
            <w:vAlign w:val="top"/>
          </w:tcPr>
          <w:p>
            <w:pPr>
              <w:pStyle w:val="28"/>
              <w:spacing w:before="233" w:line="220" w:lineRule="auto"/>
              <w:ind w:left="718"/>
              <w:rPr>
                <w:sz w:val="22"/>
                <w:szCs w:val="22"/>
              </w:rPr>
            </w:pPr>
            <w:r>
              <w:rPr>
                <w:spacing w:val="-8"/>
                <w:sz w:val="22"/>
                <w:szCs w:val="22"/>
              </w:rPr>
              <w:t>2</w:t>
            </w:r>
            <w:r>
              <w:rPr>
                <w:spacing w:val="-41"/>
                <w:sz w:val="22"/>
                <w:szCs w:val="22"/>
              </w:rPr>
              <w:t xml:space="preserve"> </w:t>
            </w:r>
            <w:r>
              <w:rPr>
                <w:spacing w:val="-8"/>
                <w:sz w:val="22"/>
                <w:szCs w:val="22"/>
              </w:rPr>
              <w:t>号楼</w:t>
            </w:r>
          </w:p>
        </w:tc>
        <w:tc>
          <w:tcPr>
            <w:tcW w:w="501" w:type="dxa"/>
            <w:vAlign w:val="top"/>
          </w:tcPr>
          <w:p>
            <w:pPr>
              <w:pStyle w:val="28"/>
              <w:spacing w:before="234"/>
              <w:ind w:left="283"/>
              <w:rPr>
                <w:sz w:val="22"/>
                <w:szCs w:val="22"/>
              </w:rPr>
            </w:pPr>
            <w:r>
              <w:rPr>
                <w:sz w:val="22"/>
                <w:szCs w:val="22"/>
              </w:rPr>
              <w:t>6</w:t>
            </w:r>
          </w:p>
        </w:tc>
        <w:tc>
          <w:tcPr>
            <w:tcW w:w="556" w:type="dxa"/>
            <w:vAlign w:val="top"/>
          </w:tcPr>
          <w:p>
            <w:pPr>
              <w:pStyle w:val="28"/>
              <w:spacing w:before="234"/>
              <w:ind w:left="320"/>
              <w:rPr>
                <w:sz w:val="22"/>
                <w:szCs w:val="22"/>
              </w:rPr>
            </w:pPr>
            <w:r>
              <w:rPr>
                <w:sz w:val="22"/>
                <w:szCs w:val="22"/>
              </w:rPr>
              <w:t>0</w:t>
            </w:r>
          </w:p>
        </w:tc>
        <w:tc>
          <w:tcPr>
            <w:tcW w:w="795" w:type="dxa"/>
            <w:vAlign w:val="top"/>
          </w:tcPr>
          <w:p>
            <w:pPr>
              <w:pStyle w:val="28"/>
              <w:spacing w:before="233"/>
              <w:ind w:left="152"/>
              <w:rPr>
                <w:sz w:val="22"/>
                <w:szCs w:val="22"/>
              </w:rPr>
            </w:pPr>
            <w:r>
              <w:rPr>
                <w:spacing w:val="-2"/>
                <w:sz w:val="22"/>
                <w:szCs w:val="22"/>
              </w:rPr>
              <w:t>3227.34</w:t>
            </w:r>
          </w:p>
        </w:tc>
        <w:tc>
          <w:tcPr>
            <w:tcW w:w="704" w:type="dxa"/>
            <w:vAlign w:val="top"/>
          </w:tcPr>
          <w:p>
            <w:pPr>
              <w:pStyle w:val="28"/>
              <w:spacing w:before="234"/>
              <w:ind w:left="419"/>
              <w:rPr>
                <w:sz w:val="22"/>
                <w:szCs w:val="22"/>
              </w:rPr>
            </w:pPr>
            <w:r>
              <w:rPr>
                <w:sz w:val="22"/>
                <w:szCs w:val="22"/>
              </w:rPr>
              <w:t>0</w:t>
            </w:r>
          </w:p>
        </w:tc>
        <w:tc>
          <w:tcPr>
            <w:tcW w:w="704" w:type="dxa"/>
            <w:vAlign w:val="top"/>
          </w:tcPr>
          <w:p>
            <w:pPr>
              <w:pStyle w:val="28"/>
              <w:spacing w:before="234"/>
              <w:ind w:left="377"/>
              <w:rPr>
                <w:sz w:val="22"/>
                <w:szCs w:val="22"/>
              </w:rPr>
            </w:pPr>
            <w:r>
              <w:rPr>
                <w:spacing w:val="-13"/>
                <w:sz w:val="22"/>
                <w:szCs w:val="22"/>
              </w:rPr>
              <w:t>18</w:t>
            </w:r>
          </w:p>
        </w:tc>
        <w:tc>
          <w:tcPr>
            <w:tcW w:w="1725" w:type="dxa"/>
            <w:vAlign w:val="top"/>
          </w:tcPr>
          <w:p>
            <w:pPr>
              <w:pStyle w:val="28"/>
              <w:spacing w:before="76" w:line="251"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8" w:hRule="atLeast"/>
        </w:trPr>
        <w:tc>
          <w:tcPr>
            <w:tcW w:w="548" w:type="dxa"/>
            <w:vMerge w:val="continue"/>
            <w:tcBorders>
              <w:top w:val="nil"/>
              <w:bottom w:val="nil"/>
            </w:tcBorders>
            <w:vAlign w:val="top"/>
          </w:tcPr>
          <w:p>
            <w:pPr>
              <w:rPr>
                <w:rFonts w:ascii="Arial"/>
                <w:sz w:val="21"/>
              </w:rPr>
            </w:pPr>
          </w:p>
        </w:tc>
        <w:tc>
          <w:tcPr>
            <w:tcW w:w="1619" w:type="dxa"/>
            <w:vMerge w:val="continue"/>
            <w:tcBorders>
              <w:top w:val="nil"/>
              <w:bottom w:val="nil"/>
            </w:tcBorders>
            <w:vAlign w:val="top"/>
          </w:tcPr>
          <w:p>
            <w:pPr>
              <w:rPr>
                <w:rFonts w:ascii="Arial"/>
                <w:sz w:val="21"/>
              </w:rPr>
            </w:pPr>
          </w:p>
        </w:tc>
        <w:tc>
          <w:tcPr>
            <w:tcW w:w="873" w:type="dxa"/>
            <w:vMerge w:val="continue"/>
            <w:tcBorders>
              <w:top w:val="nil"/>
              <w:bottom w:val="nil"/>
            </w:tcBorders>
            <w:vAlign w:val="top"/>
          </w:tcPr>
          <w:p>
            <w:pPr>
              <w:rPr>
                <w:rFonts w:ascii="Arial"/>
                <w:sz w:val="21"/>
              </w:rPr>
            </w:pPr>
          </w:p>
        </w:tc>
        <w:tc>
          <w:tcPr>
            <w:tcW w:w="1531" w:type="dxa"/>
            <w:vAlign w:val="top"/>
          </w:tcPr>
          <w:p>
            <w:pPr>
              <w:spacing w:line="299" w:lineRule="auto"/>
              <w:rPr>
                <w:rFonts w:ascii="Arial"/>
                <w:sz w:val="21"/>
              </w:rPr>
            </w:pPr>
          </w:p>
          <w:p>
            <w:pPr>
              <w:spacing w:line="300" w:lineRule="auto"/>
              <w:rPr>
                <w:rFonts w:ascii="Arial"/>
                <w:sz w:val="21"/>
              </w:rPr>
            </w:pPr>
          </w:p>
          <w:p>
            <w:pPr>
              <w:pStyle w:val="28"/>
              <w:spacing w:before="71" w:line="220" w:lineRule="auto"/>
              <w:ind w:left="719"/>
              <w:rPr>
                <w:sz w:val="22"/>
                <w:szCs w:val="22"/>
              </w:rPr>
            </w:pPr>
            <w:r>
              <w:rPr>
                <w:spacing w:val="-9"/>
                <w:sz w:val="22"/>
                <w:szCs w:val="22"/>
              </w:rPr>
              <w:t>3</w:t>
            </w:r>
            <w:r>
              <w:rPr>
                <w:spacing w:val="-40"/>
                <w:sz w:val="22"/>
                <w:szCs w:val="22"/>
              </w:rPr>
              <w:t xml:space="preserve"> </w:t>
            </w:r>
            <w:r>
              <w:rPr>
                <w:spacing w:val="-9"/>
                <w:sz w:val="22"/>
                <w:szCs w:val="22"/>
              </w:rPr>
              <w:t>号楼</w:t>
            </w:r>
          </w:p>
        </w:tc>
        <w:tc>
          <w:tcPr>
            <w:tcW w:w="501" w:type="dxa"/>
            <w:vAlign w:val="top"/>
          </w:tcPr>
          <w:p>
            <w:pPr>
              <w:spacing w:line="299" w:lineRule="auto"/>
              <w:rPr>
                <w:rFonts w:ascii="Arial"/>
                <w:sz w:val="21"/>
              </w:rPr>
            </w:pPr>
          </w:p>
          <w:p>
            <w:pPr>
              <w:spacing w:line="300" w:lineRule="auto"/>
              <w:rPr>
                <w:rFonts w:ascii="Arial"/>
                <w:sz w:val="21"/>
              </w:rPr>
            </w:pPr>
          </w:p>
          <w:p>
            <w:pPr>
              <w:pStyle w:val="28"/>
              <w:spacing w:before="71"/>
              <w:ind w:left="286"/>
              <w:rPr>
                <w:sz w:val="22"/>
                <w:szCs w:val="22"/>
              </w:rPr>
            </w:pPr>
            <w:r>
              <w:rPr>
                <w:sz w:val="22"/>
                <w:szCs w:val="22"/>
              </w:rPr>
              <w:t>5</w:t>
            </w:r>
          </w:p>
        </w:tc>
        <w:tc>
          <w:tcPr>
            <w:tcW w:w="556" w:type="dxa"/>
            <w:vAlign w:val="top"/>
          </w:tcPr>
          <w:p>
            <w:pPr>
              <w:spacing w:line="299" w:lineRule="auto"/>
              <w:rPr>
                <w:rFonts w:ascii="Arial"/>
                <w:sz w:val="21"/>
              </w:rPr>
            </w:pPr>
          </w:p>
          <w:p>
            <w:pPr>
              <w:spacing w:line="300" w:lineRule="auto"/>
              <w:rPr>
                <w:rFonts w:ascii="Arial"/>
                <w:sz w:val="21"/>
              </w:rPr>
            </w:pPr>
          </w:p>
          <w:p>
            <w:pPr>
              <w:pStyle w:val="28"/>
              <w:spacing w:before="71"/>
              <w:ind w:left="320"/>
              <w:rPr>
                <w:sz w:val="22"/>
                <w:szCs w:val="22"/>
              </w:rPr>
            </w:pPr>
            <w:r>
              <w:rPr>
                <w:sz w:val="22"/>
                <w:szCs w:val="22"/>
              </w:rPr>
              <w:t>0</w:t>
            </w:r>
          </w:p>
        </w:tc>
        <w:tc>
          <w:tcPr>
            <w:tcW w:w="795" w:type="dxa"/>
            <w:vAlign w:val="top"/>
          </w:tcPr>
          <w:p>
            <w:pPr>
              <w:spacing w:line="299" w:lineRule="auto"/>
              <w:rPr>
                <w:rFonts w:ascii="Arial"/>
                <w:sz w:val="21"/>
              </w:rPr>
            </w:pPr>
          </w:p>
          <w:p>
            <w:pPr>
              <w:spacing w:line="299" w:lineRule="auto"/>
              <w:rPr>
                <w:rFonts w:ascii="Arial"/>
                <w:sz w:val="21"/>
              </w:rPr>
            </w:pPr>
          </w:p>
          <w:p>
            <w:pPr>
              <w:pStyle w:val="28"/>
              <w:spacing w:before="72"/>
              <w:ind w:left="219"/>
              <w:rPr>
                <w:sz w:val="22"/>
                <w:szCs w:val="22"/>
              </w:rPr>
            </w:pPr>
            <w:r>
              <w:rPr>
                <w:spacing w:val="-4"/>
                <w:sz w:val="22"/>
                <w:szCs w:val="22"/>
              </w:rPr>
              <w:t>1661.6</w:t>
            </w:r>
          </w:p>
        </w:tc>
        <w:tc>
          <w:tcPr>
            <w:tcW w:w="704" w:type="dxa"/>
            <w:vAlign w:val="top"/>
          </w:tcPr>
          <w:p>
            <w:pPr>
              <w:spacing w:line="299" w:lineRule="auto"/>
              <w:rPr>
                <w:rFonts w:ascii="Arial"/>
                <w:sz w:val="21"/>
              </w:rPr>
            </w:pPr>
          </w:p>
          <w:p>
            <w:pPr>
              <w:spacing w:line="300" w:lineRule="auto"/>
              <w:rPr>
                <w:rFonts w:ascii="Arial"/>
                <w:sz w:val="21"/>
              </w:rPr>
            </w:pPr>
          </w:p>
          <w:p>
            <w:pPr>
              <w:pStyle w:val="28"/>
              <w:spacing w:before="71"/>
              <w:ind w:left="419"/>
              <w:rPr>
                <w:sz w:val="22"/>
                <w:szCs w:val="22"/>
              </w:rPr>
            </w:pPr>
            <w:r>
              <w:rPr>
                <w:sz w:val="22"/>
                <w:szCs w:val="22"/>
              </w:rPr>
              <w:t>0</w:t>
            </w:r>
          </w:p>
        </w:tc>
        <w:tc>
          <w:tcPr>
            <w:tcW w:w="704" w:type="dxa"/>
            <w:vAlign w:val="top"/>
          </w:tcPr>
          <w:p>
            <w:pPr>
              <w:spacing w:line="299" w:lineRule="auto"/>
              <w:rPr>
                <w:rFonts w:ascii="Arial"/>
                <w:sz w:val="21"/>
              </w:rPr>
            </w:pPr>
          </w:p>
          <w:p>
            <w:pPr>
              <w:spacing w:line="300" w:lineRule="auto"/>
              <w:rPr>
                <w:rFonts w:ascii="Arial"/>
                <w:sz w:val="21"/>
              </w:rPr>
            </w:pPr>
          </w:p>
          <w:p>
            <w:pPr>
              <w:pStyle w:val="28"/>
              <w:spacing w:before="71"/>
              <w:ind w:left="377"/>
              <w:rPr>
                <w:sz w:val="22"/>
                <w:szCs w:val="22"/>
              </w:rPr>
            </w:pPr>
            <w:r>
              <w:rPr>
                <w:spacing w:val="-13"/>
                <w:sz w:val="22"/>
                <w:szCs w:val="22"/>
              </w:rPr>
              <w:t>15</w:t>
            </w:r>
          </w:p>
        </w:tc>
        <w:tc>
          <w:tcPr>
            <w:tcW w:w="1725" w:type="dxa"/>
            <w:vAlign w:val="top"/>
          </w:tcPr>
          <w:p>
            <w:pPr>
              <w:pStyle w:val="28"/>
              <w:spacing w:before="52" w:line="252" w:lineRule="auto"/>
              <w:ind w:left="117" w:right="103" w:firstLine="1"/>
              <w:rPr>
                <w:sz w:val="22"/>
                <w:szCs w:val="22"/>
              </w:rPr>
            </w:pPr>
            <w:r>
              <w:rPr>
                <w:spacing w:val="7"/>
                <w:sz w:val="22"/>
                <w:szCs w:val="22"/>
              </w:rPr>
              <w:t>消防应急照明及疏散</w:t>
            </w:r>
            <w:r>
              <w:rPr>
                <w:spacing w:val="8"/>
                <w:sz w:val="22"/>
                <w:szCs w:val="22"/>
              </w:rPr>
              <w:t>指示系统、灭火器、消防给水及消火栓系统（室内消火栓、消</w:t>
            </w:r>
            <w:r>
              <w:rPr>
                <w:spacing w:val="-3"/>
                <w:sz w:val="22"/>
                <w:szCs w:val="22"/>
              </w:rPr>
              <w:t>防泵房）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58" w:hRule="atLeast"/>
        </w:trPr>
        <w:tc>
          <w:tcPr>
            <w:tcW w:w="548" w:type="dxa"/>
            <w:vMerge w:val="continue"/>
            <w:tcBorders>
              <w:top w:val="nil"/>
            </w:tcBorders>
            <w:vAlign w:val="top"/>
          </w:tcPr>
          <w:p>
            <w:pPr>
              <w:rPr>
                <w:rFonts w:ascii="Arial"/>
                <w:sz w:val="21"/>
              </w:rPr>
            </w:pPr>
          </w:p>
        </w:tc>
        <w:tc>
          <w:tcPr>
            <w:tcW w:w="1619" w:type="dxa"/>
            <w:vMerge w:val="continue"/>
            <w:tcBorders>
              <w:top w:val="nil"/>
            </w:tcBorders>
            <w:vAlign w:val="top"/>
          </w:tcPr>
          <w:p>
            <w:pPr>
              <w:rPr>
                <w:rFonts w:ascii="Arial"/>
                <w:sz w:val="21"/>
              </w:rPr>
            </w:pPr>
          </w:p>
        </w:tc>
        <w:tc>
          <w:tcPr>
            <w:tcW w:w="873" w:type="dxa"/>
            <w:vMerge w:val="continue"/>
            <w:tcBorders>
              <w:top w:val="nil"/>
            </w:tcBorders>
            <w:vAlign w:val="top"/>
          </w:tcPr>
          <w:p>
            <w:pPr>
              <w:rPr>
                <w:rFonts w:ascii="Arial"/>
                <w:sz w:val="21"/>
              </w:rPr>
            </w:pPr>
          </w:p>
        </w:tc>
        <w:tc>
          <w:tcPr>
            <w:tcW w:w="1531" w:type="dxa"/>
            <w:vAlign w:val="top"/>
          </w:tcPr>
          <w:p>
            <w:pPr>
              <w:spacing w:line="299" w:lineRule="auto"/>
              <w:rPr>
                <w:rFonts w:ascii="Arial"/>
                <w:sz w:val="21"/>
              </w:rPr>
            </w:pPr>
          </w:p>
          <w:p>
            <w:pPr>
              <w:spacing w:line="300" w:lineRule="auto"/>
              <w:rPr>
                <w:rFonts w:ascii="Arial"/>
                <w:sz w:val="21"/>
              </w:rPr>
            </w:pPr>
          </w:p>
          <w:p>
            <w:pPr>
              <w:pStyle w:val="28"/>
              <w:spacing w:before="72" w:line="220" w:lineRule="auto"/>
              <w:ind w:left="714"/>
              <w:rPr>
                <w:sz w:val="22"/>
                <w:szCs w:val="22"/>
              </w:rPr>
            </w:pPr>
            <w:r>
              <w:rPr>
                <w:spacing w:val="-7"/>
                <w:sz w:val="22"/>
                <w:szCs w:val="22"/>
              </w:rPr>
              <w:t>4</w:t>
            </w:r>
            <w:r>
              <w:rPr>
                <w:spacing w:val="-41"/>
                <w:sz w:val="22"/>
                <w:szCs w:val="22"/>
              </w:rPr>
              <w:t xml:space="preserve"> </w:t>
            </w:r>
            <w:r>
              <w:rPr>
                <w:spacing w:val="-7"/>
                <w:sz w:val="22"/>
                <w:szCs w:val="22"/>
              </w:rPr>
              <w:t>号楼</w:t>
            </w:r>
          </w:p>
        </w:tc>
        <w:tc>
          <w:tcPr>
            <w:tcW w:w="501" w:type="dxa"/>
            <w:vAlign w:val="top"/>
          </w:tcPr>
          <w:p>
            <w:pPr>
              <w:spacing w:line="299" w:lineRule="auto"/>
              <w:rPr>
                <w:rFonts w:ascii="Arial"/>
                <w:sz w:val="21"/>
              </w:rPr>
            </w:pPr>
          </w:p>
          <w:p>
            <w:pPr>
              <w:spacing w:line="300" w:lineRule="auto"/>
              <w:rPr>
                <w:rFonts w:ascii="Arial"/>
                <w:sz w:val="21"/>
              </w:rPr>
            </w:pPr>
          </w:p>
          <w:p>
            <w:pPr>
              <w:pStyle w:val="28"/>
              <w:spacing w:before="72"/>
              <w:ind w:left="286"/>
              <w:rPr>
                <w:sz w:val="22"/>
                <w:szCs w:val="22"/>
              </w:rPr>
            </w:pPr>
            <w:r>
              <w:rPr>
                <w:sz w:val="22"/>
                <w:szCs w:val="22"/>
              </w:rPr>
              <w:t>5</w:t>
            </w:r>
          </w:p>
        </w:tc>
        <w:tc>
          <w:tcPr>
            <w:tcW w:w="556" w:type="dxa"/>
            <w:vAlign w:val="top"/>
          </w:tcPr>
          <w:p>
            <w:pPr>
              <w:spacing w:line="299" w:lineRule="auto"/>
              <w:rPr>
                <w:rFonts w:ascii="Arial"/>
                <w:sz w:val="21"/>
              </w:rPr>
            </w:pPr>
          </w:p>
          <w:p>
            <w:pPr>
              <w:spacing w:line="300" w:lineRule="auto"/>
              <w:rPr>
                <w:rFonts w:ascii="Arial"/>
                <w:sz w:val="21"/>
              </w:rPr>
            </w:pPr>
          </w:p>
          <w:p>
            <w:pPr>
              <w:pStyle w:val="28"/>
              <w:spacing w:before="72"/>
              <w:ind w:left="320"/>
              <w:rPr>
                <w:sz w:val="22"/>
                <w:szCs w:val="22"/>
              </w:rPr>
            </w:pPr>
            <w:r>
              <w:rPr>
                <w:sz w:val="22"/>
                <w:szCs w:val="22"/>
              </w:rPr>
              <w:t>0</w:t>
            </w:r>
          </w:p>
        </w:tc>
        <w:tc>
          <w:tcPr>
            <w:tcW w:w="795" w:type="dxa"/>
            <w:vAlign w:val="top"/>
          </w:tcPr>
          <w:p>
            <w:pPr>
              <w:spacing w:line="299" w:lineRule="auto"/>
              <w:rPr>
                <w:rFonts w:ascii="Arial"/>
                <w:sz w:val="21"/>
              </w:rPr>
            </w:pPr>
          </w:p>
          <w:p>
            <w:pPr>
              <w:spacing w:line="300" w:lineRule="auto"/>
              <w:rPr>
                <w:rFonts w:ascii="Arial"/>
                <w:sz w:val="21"/>
              </w:rPr>
            </w:pPr>
          </w:p>
          <w:p>
            <w:pPr>
              <w:pStyle w:val="28"/>
              <w:spacing w:before="71"/>
              <w:ind w:left="150"/>
              <w:rPr>
                <w:sz w:val="22"/>
                <w:szCs w:val="22"/>
              </w:rPr>
            </w:pPr>
            <w:r>
              <w:rPr>
                <w:spacing w:val="-2"/>
                <w:sz w:val="22"/>
                <w:szCs w:val="22"/>
              </w:rPr>
              <w:t>2422.65</w:t>
            </w:r>
          </w:p>
        </w:tc>
        <w:tc>
          <w:tcPr>
            <w:tcW w:w="704" w:type="dxa"/>
            <w:vAlign w:val="top"/>
          </w:tcPr>
          <w:p>
            <w:pPr>
              <w:spacing w:line="299" w:lineRule="auto"/>
              <w:rPr>
                <w:rFonts w:ascii="Arial"/>
                <w:sz w:val="21"/>
              </w:rPr>
            </w:pPr>
          </w:p>
          <w:p>
            <w:pPr>
              <w:spacing w:line="300" w:lineRule="auto"/>
              <w:rPr>
                <w:rFonts w:ascii="Arial"/>
                <w:sz w:val="21"/>
              </w:rPr>
            </w:pPr>
          </w:p>
          <w:p>
            <w:pPr>
              <w:pStyle w:val="28"/>
              <w:spacing w:before="72"/>
              <w:ind w:left="419"/>
              <w:rPr>
                <w:sz w:val="22"/>
                <w:szCs w:val="22"/>
              </w:rPr>
            </w:pPr>
            <w:r>
              <w:rPr>
                <w:sz w:val="22"/>
                <w:szCs w:val="22"/>
              </w:rPr>
              <w:t>0</w:t>
            </w:r>
          </w:p>
        </w:tc>
        <w:tc>
          <w:tcPr>
            <w:tcW w:w="704" w:type="dxa"/>
            <w:vAlign w:val="top"/>
          </w:tcPr>
          <w:p>
            <w:pPr>
              <w:spacing w:line="299" w:lineRule="auto"/>
              <w:rPr>
                <w:rFonts w:ascii="Arial"/>
                <w:sz w:val="21"/>
              </w:rPr>
            </w:pPr>
          </w:p>
          <w:p>
            <w:pPr>
              <w:spacing w:line="300" w:lineRule="auto"/>
              <w:rPr>
                <w:rFonts w:ascii="Arial"/>
                <w:sz w:val="21"/>
              </w:rPr>
            </w:pPr>
          </w:p>
          <w:p>
            <w:pPr>
              <w:pStyle w:val="28"/>
              <w:spacing w:before="72"/>
              <w:ind w:left="377"/>
              <w:rPr>
                <w:sz w:val="22"/>
                <w:szCs w:val="22"/>
              </w:rPr>
            </w:pPr>
            <w:r>
              <w:rPr>
                <w:spacing w:val="-13"/>
                <w:sz w:val="22"/>
                <w:szCs w:val="22"/>
              </w:rPr>
              <w:t>15</w:t>
            </w:r>
          </w:p>
        </w:tc>
        <w:tc>
          <w:tcPr>
            <w:tcW w:w="1725" w:type="dxa"/>
            <w:vAlign w:val="top"/>
          </w:tcPr>
          <w:p>
            <w:pPr>
              <w:pStyle w:val="28"/>
              <w:spacing w:before="52" w:line="252" w:lineRule="auto"/>
              <w:ind w:left="117" w:right="103" w:firstLine="1"/>
              <w:rPr>
                <w:sz w:val="22"/>
                <w:szCs w:val="22"/>
              </w:rPr>
            </w:pPr>
            <w:r>
              <w:rPr>
                <w:spacing w:val="7"/>
                <w:sz w:val="22"/>
                <w:szCs w:val="22"/>
              </w:rPr>
              <w:t>消防应急照明及疏散</w:t>
            </w:r>
            <w:r>
              <w:rPr>
                <w:spacing w:val="8"/>
                <w:sz w:val="22"/>
                <w:szCs w:val="22"/>
              </w:rPr>
              <w:t>指示系统、灭火器、消防给水及消火栓系统（室内消火栓、消</w:t>
            </w:r>
            <w:r>
              <w:rPr>
                <w:spacing w:val="-3"/>
                <w:sz w:val="22"/>
                <w:szCs w:val="22"/>
              </w:rPr>
              <w:t>防泵房）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5" w:hRule="atLeast"/>
        </w:trPr>
        <w:tc>
          <w:tcPr>
            <w:tcW w:w="548" w:type="dxa"/>
            <w:vAlign w:val="top"/>
          </w:tcPr>
          <w:p>
            <w:pPr>
              <w:pStyle w:val="28"/>
              <w:spacing w:before="236"/>
              <w:ind w:left="262"/>
              <w:rPr>
                <w:sz w:val="22"/>
                <w:szCs w:val="22"/>
              </w:rPr>
            </w:pPr>
            <w:r>
              <w:rPr>
                <w:spacing w:val="-7"/>
                <w:sz w:val="22"/>
                <w:szCs w:val="22"/>
              </w:rPr>
              <w:t>32</w:t>
            </w:r>
          </w:p>
        </w:tc>
        <w:tc>
          <w:tcPr>
            <w:tcW w:w="1619" w:type="dxa"/>
            <w:vAlign w:val="top"/>
          </w:tcPr>
          <w:p>
            <w:pPr>
              <w:pStyle w:val="28"/>
              <w:spacing w:before="236" w:line="219" w:lineRule="auto"/>
              <w:ind w:left="304"/>
              <w:rPr>
                <w:sz w:val="22"/>
                <w:szCs w:val="22"/>
              </w:rPr>
            </w:pPr>
            <w:r>
              <w:rPr>
                <w:spacing w:val="-2"/>
                <w:sz w:val="22"/>
                <w:szCs w:val="22"/>
              </w:rPr>
              <w:t>城关政府办公楼</w:t>
            </w:r>
          </w:p>
        </w:tc>
        <w:tc>
          <w:tcPr>
            <w:tcW w:w="873" w:type="dxa"/>
            <w:vAlign w:val="top"/>
          </w:tcPr>
          <w:p>
            <w:pPr>
              <w:pStyle w:val="28"/>
              <w:spacing w:before="236"/>
              <w:ind w:left="378"/>
              <w:rPr>
                <w:sz w:val="22"/>
                <w:szCs w:val="22"/>
              </w:rPr>
            </w:pPr>
            <w:r>
              <w:rPr>
                <w:spacing w:val="-6"/>
                <w:sz w:val="22"/>
                <w:szCs w:val="22"/>
              </w:rPr>
              <w:t>1800</w:t>
            </w:r>
          </w:p>
        </w:tc>
        <w:tc>
          <w:tcPr>
            <w:tcW w:w="1531" w:type="dxa"/>
            <w:vAlign w:val="top"/>
          </w:tcPr>
          <w:p>
            <w:pPr>
              <w:pStyle w:val="28"/>
              <w:spacing w:before="236" w:line="219" w:lineRule="auto"/>
              <w:ind w:left="247"/>
              <w:rPr>
                <w:sz w:val="22"/>
                <w:szCs w:val="22"/>
              </w:rPr>
            </w:pPr>
            <w:r>
              <w:rPr>
                <w:spacing w:val="-2"/>
                <w:sz w:val="22"/>
                <w:szCs w:val="22"/>
              </w:rPr>
              <w:t>城关政府办公楼</w:t>
            </w:r>
          </w:p>
        </w:tc>
        <w:tc>
          <w:tcPr>
            <w:tcW w:w="501" w:type="dxa"/>
            <w:vAlign w:val="top"/>
          </w:tcPr>
          <w:p>
            <w:pPr>
              <w:pStyle w:val="28"/>
              <w:spacing w:before="235" w:line="242" w:lineRule="auto"/>
              <w:ind w:left="281"/>
              <w:rPr>
                <w:sz w:val="22"/>
                <w:szCs w:val="22"/>
              </w:rPr>
            </w:pPr>
            <w:r>
              <w:rPr>
                <w:sz w:val="22"/>
                <w:szCs w:val="22"/>
              </w:rPr>
              <w:t>4</w:t>
            </w:r>
          </w:p>
        </w:tc>
        <w:tc>
          <w:tcPr>
            <w:tcW w:w="556" w:type="dxa"/>
            <w:vAlign w:val="top"/>
          </w:tcPr>
          <w:p>
            <w:pPr>
              <w:pStyle w:val="28"/>
              <w:spacing w:before="236"/>
              <w:ind w:left="320"/>
              <w:rPr>
                <w:sz w:val="22"/>
                <w:szCs w:val="22"/>
              </w:rPr>
            </w:pPr>
            <w:r>
              <w:rPr>
                <w:sz w:val="22"/>
                <w:szCs w:val="22"/>
              </w:rPr>
              <w:t>0</w:t>
            </w:r>
          </w:p>
        </w:tc>
        <w:tc>
          <w:tcPr>
            <w:tcW w:w="795" w:type="dxa"/>
            <w:vAlign w:val="top"/>
          </w:tcPr>
          <w:p>
            <w:pPr>
              <w:pStyle w:val="28"/>
              <w:spacing w:before="236"/>
              <w:ind w:left="329"/>
              <w:rPr>
                <w:sz w:val="22"/>
                <w:szCs w:val="22"/>
              </w:rPr>
            </w:pPr>
            <w:r>
              <w:rPr>
                <w:spacing w:val="-6"/>
                <w:sz w:val="22"/>
                <w:szCs w:val="22"/>
              </w:rPr>
              <w:t>1800</w:t>
            </w:r>
          </w:p>
        </w:tc>
        <w:tc>
          <w:tcPr>
            <w:tcW w:w="704" w:type="dxa"/>
            <w:vAlign w:val="top"/>
          </w:tcPr>
          <w:p>
            <w:pPr>
              <w:pStyle w:val="28"/>
              <w:spacing w:before="236"/>
              <w:ind w:left="419"/>
              <w:rPr>
                <w:sz w:val="22"/>
                <w:szCs w:val="22"/>
              </w:rPr>
            </w:pPr>
            <w:r>
              <w:rPr>
                <w:sz w:val="22"/>
                <w:szCs w:val="22"/>
              </w:rPr>
              <w:t>0</w:t>
            </w:r>
          </w:p>
        </w:tc>
        <w:tc>
          <w:tcPr>
            <w:tcW w:w="704" w:type="dxa"/>
            <w:vAlign w:val="top"/>
          </w:tcPr>
          <w:p>
            <w:pPr>
              <w:pStyle w:val="28"/>
              <w:spacing w:before="235" w:line="242" w:lineRule="auto"/>
              <w:ind w:left="377"/>
              <w:rPr>
                <w:sz w:val="22"/>
                <w:szCs w:val="22"/>
              </w:rPr>
            </w:pPr>
            <w:r>
              <w:rPr>
                <w:spacing w:val="-13"/>
                <w:sz w:val="22"/>
                <w:szCs w:val="22"/>
              </w:rPr>
              <w:t>12</w:t>
            </w:r>
          </w:p>
        </w:tc>
        <w:tc>
          <w:tcPr>
            <w:tcW w:w="1725" w:type="dxa"/>
            <w:vAlign w:val="top"/>
          </w:tcPr>
          <w:p>
            <w:pPr>
              <w:pStyle w:val="28"/>
              <w:spacing w:before="79" w:line="250"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0" w:hRule="atLeast"/>
        </w:trPr>
        <w:tc>
          <w:tcPr>
            <w:tcW w:w="548" w:type="dxa"/>
            <w:vAlign w:val="top"/>
          </w:tcPr>
          <w:p>
            <w:pPr>
              <w:spacing w:line="289" w:lineRule="auto"/>
              <w:rPr>
                <w:rFonts w:ascii="Arial"/>
                <w:sz w:val="21"/>
              </w:rPr>
            </w:pPr>
          </w:p>
          <w:p>
            <w:pPr>
              <w:pStyle w:val="28"/>
              <w:spacing w:before="71"/>
              <w:ind w:left="262"/>
              <w:rPr>
                <w:sz w:val="22"/>
                <w:szCs w:val="22"/>
              </w:rPr>
            </w:pPr>
            <w:r>
              <w:rPr>
                <w:spacing w:val="-7"/>
                <w:sz w:val="22"/>
                <w:szCs w:val="22"/>
              </w:rPr>
              <w:t>33</w:t>
            </w:r>
          </w:p>
        </w:tc>
        <w:tc>
          <w:tcPr>
            <w:tcW w:w="1619" w:type="dxa"/>
            <w:vAlign w:val="top"/>
          </w:tcPr>
          <w:p>
            <w:pPr>
              <w:pStyle w:val="28"/>
              <w:spacing w:before="50" w:line="220" w:lineRule="auto"/>
              <w:rPr>
                <w:sz w:val="22"/>
                <w:szCs w:val="22"/>
              </w:rPr>
            </w:pPr>
            <w:r>
              <w:rPr>
                <w:spacing w:val="-2"/>
                <w:sz w:val="22"/>
                <w:szCs w:val="22"/>
              </w:rPr>
              <w:t>食药局办公楼</w:t>
            </w:r>
          </w:p>
          <w:p>
            <w:pPr>
              <w:pStyle w:val="28"/>
              <w:spacing w:before="49" w:line="220" w:lineRule="auto"/>
              <w:ind w:left="118"/>
              <w:rPr>
                <w:sz w:val="22"/>
                <w:szCs w:val="22"/>
              </w:rPr>
            </w:pPr>
            <w:r>
              <w:rPr>
                <w:spacing w:val="-2"/>
                <w:sz w:val="22"/>
                <w:szCs w:val="22"/>
              </w:rPr>
              <w:t>（现富县陕果集团、社会工作部）</w:t>
            </w:r>
          </w:p>
        </w:tc>
        <w:tc>
          <w:tcPr>
            <w:tcW w:w="873" w:type="dxa"/>
            <w:vAlign w:val="top"/>
          </w:tcPr>
          <w:p>
            <w:pPr>
              <w:spacing w:line="289" w:lineRule="auto"/>
              <w:rPr>
                <w:rFonts w:ascii="Arial"/>
                <w:sz w:val="21"/>
              </w:rPr>
            </w:pPr>
          </w:p>
          <w:p>
            <w:pPr>
              <w:pStyle w:val="28"/>
              <w:spacing w:before="71"/>
              <w:ind w:left="421"/>
              <w:rPr>
                <w:sz w:val="22"/>
                <w:szCs w:val="22"/>
              </w:rPr>
            </w:pPr>
            <w:r>
              <w:rPr>
                <w:spacing w:val="-4"/>
                <w:sz w:val="22"/>
                <w:szCs w:val="22"/>
              </w:rPr>
              <w:t>566</w:t>
            </w:r>
          </w:p>
        </w:tc>
        <w:tc>
          <w:tcPr>
            <w:tcW w:w="1531" w:type="dxa"/>
            <w:vAlign w:val="top"/>
          </w:tcPr>
          <w:p>
            <w:pPr>
              <w:spacing w:line="289" w:lineRule="auto"/>
              <w:rPr>
                <w:rFonts w:ascii="Arial"/>
                <w:sz w:val="21"/>
              </w:rPr>
            </w:pPr>
          </w:p>
          <w:p>
            <w:pPr>
              <w:pStyle w:val="28"/>
              <w:spacing w:before="71" w:line="220" w:lineRule="auto"/>
              <w:ind w:left="473"/>
              <w:rPr>
                <w:sz w:val="22"/>
                <w:szCs w:val="22"/>
              </w:rPr>
            </w:pPr>
            <w:r>
              <w:rPr>
                <w:spacing w:val="-3"/>
                <w:sz w:val="22"/>
                <w:szCs w:val="22"/>
              </w:rPr>
              <w:t>原食药局楼</w:t>
            </w:r>
          </w:p>
        </w:tc>
        <w:tc>
          <w:tcPr>
            <w:tcW w:w="501" w:type="dxa"/>
            <w:vAlign w:val="top"/>
          </w:tcPr>
          <w:p>
            <w:pPr>
              <w:spacing w:line="289" w:lineRule="auto"/>
              <w:rPr>
                <w:rFonts w:ascii="Arial"/>
                <w:sz w:val="21"/>
              </w:rPr>
            </w:pPr>
          </w:p>
          <w:p>
            <w:pPr>
              <w:pStyle w:val="28"/>
              <w:spacing w:before="71"/>
              <w:ind w:left="286"/>
              <w:rPr>
                <w:sz w:val="22"/>
                <w:szCs w:val="22"/>
              </w:rPr>
            </w:pPr>
            <w:r>
              <w:rPr>
                <w:sz w:val="22"/>
                <w:szCs w:val="22"/>
              </w:rPr>
              <w:t>5</w:t>
            </w:r>
          </w:p>
        </w:tc>
        <w:tc>
          <w:tcPr>
            <w:tcW w:w="556" w:type="dxa"/>
            <w:vAlign w:val="top"/>
          </w:tcPr>
          <w:p>
            <w:pPr>
              <w:spacing w:line="289" w:lineRule="auto"/>
              <w:rPr>
                <w:rFonts w:ascii="Arial"/>
                <w:sz w:val="21"/>
              </w:rPr>
            </w:pPr>
          </w:p>
          <w:p>
            <w:pPr>
              <w:pStyle w:val="28"/>
              <w:spacing w:before="71"/>
              <w:ind w:left="320"/>
              <w:rPr>
                <w:sz w:val="22"/>
                <w:szCs w:val="22"/>
              </w:rPr>
            </w:pPr>
            <w:r>
              <w:rPr>
                <w:sz w:val="22"/>
                <w:szCs w:val="22"/>
              </w:rPr>
              <w:t>0</w:t>
            </w:r>
          </w:p>
        </w:tc>
        <w:tc>
          <w:tcPr>
            <w:tcW w:w="795" w:type="dxa"/>
            <w:vAlign w:val="top"/>
          </w:tcPr>
          <w:p>
            <w:pPr>
              <w:spacing w:line="289" w:lineRule="auto"/>
              <w:rPr>
                <w:rFonts w:ascii="Arial"/>
                <w:sz w:val="21"/>
              </w:rPr>
            </w:pPr>
          </w:p>
          <w:p>
            <w:pPr>
              <w:pStyle w:val="28"/>
              <w:spacing w:before="71"/>
              <w:ind w:left="372"/>
              <w:rPr>
                <w:sz w:val="22"/>
                <w:szCs w:val="22"/>
              </w:rPr>
            </w:pPr>
            <w:r>
              <w:rPr>
                <w:spacing w:val="-4"/>
                <w:sz w:val="22"/>
                <w:szCs w:val="22"/>
              </w:rPr>
              <w:t>566</w:t>
            </w:r>
          </w:p>
        </w:tc>
        <w:tc>
          <w:tcPr>
            <w:tcW w:w="704" w:type="dxa"/>
            <w:vAlign w:val="top"/>
          </w:tcPr>
          <w:p>
            <w:pPr>
              <w:spacing w:line="289" w:lineRule="auto"/>
              <w:rPr>
                <w:rFonts w:ascii="Arial"/>
                <w:sz w:val="21"/>
              </w:rPr>
            </w:pPr>
          </w:p>
          <w:p>
            <w:pPr>
              <w:pStyle w:val="28"/>
              <w:spacing w:before="71"/>
              <w:ind w:left="419"/>
              <w:rPr>
                <w:sz w:val="22"/>
                <w:szCs w:val="22"/>
              </w:rPr>
            </w:pPr>
            <w:r>
              <w:rPr>
                <w:sz w:val="22"/>
                <w:szCs w:val="22"/>
              </w:rPr>
              <w:t>0</w:t>
            </w:r>
          </w:p>
        </w:tc>
        <w:tc>
          <w:tcPr>
            <w:tcW w:w="704" w:type="dxa"/>
            <w:vAlign w:val="top"/>
          </w:tcPr>
          <w:p>
            <w:pPr>
              <w:spacing w:line="289" w:lineRule="auto"/>
              <w:rPr>
                <w:rFonts w:ascii="Arial"/>
                <w:sz w:val="21"/>
              </w:rPr>
            </w:pPr>
          </w:p>
          <w:p>
            <w:pPr>
              <w:pStyle w:val="28"/>
              <w:spacing w:before="71"/>
              <w:ind w:left="377"/>
              <w:rPr>
                <w:sz w:val="22"/>
                <w:szCs w:val="22"/>
              </w:rPr>
            </w:pPr>
            <w:r>
              <w:rPr>
                <w:spacing w:val="-13"/>
                <w:sz w:val="22"/>
                <w:szCs w:val="22"/>
              </w:rPr>
              <w:t>18</w:t>
            </w:r>
          </w:p>
        </w:tc>
        <w:tc>
          <w:tcPr>
            <w:tcW w:w="1725" w:type="dxa"/>
            <w:vAlign w:val="top"/>
          </w:tcPr>
          <w:p>
            <w:pPr>
              <w:pStyle w:val="28"/>
              <w:spacing w:before="205"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bl>
    <w:p>
      <w:pPr>
        <w:pStyle w:val="7"/>
      </w:pPr>
    </w:p>
    <w:p>
      <w:pPr>
        <w:sectPr>
          <w:footerReference r:id="rId12" w:type="default"/>
          <w:pgSz w:w="11906" w:h="16839"/>
          <w:pgMar w:top="937" w:right="1152" w:bottom="936" w:left="1012" w:header="0" w:footer="987" w:gutter="0"/>
          <w:cols w:space="720" w:num="1"/>
        </w:sectPr>
      </w:pPr>
    </w:p>
    <w:p>
      <w:pPr>
        <w:spacing w:before="21"/>
      </w:pPr>
    </w:p>
    <w:p>
      <w:pPr>
        <w:spacing w:before="21"/>
      </w:pPr>
    </w:p>
    <w:p>
      <w:pPr>
        <w:spacing w:before="21"/>
      </w:pPr>
    </w:p>
    <w:tbl>
      <w:tblPr>
        <w:tblStyle w:val="27"/>
        <w:tblW w:w="99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0"/>
        <w:gridCol w:w="1683"/>
        <w:gridCol w:w="908"/>
        <w:gridCol w:w="1592"/>
        <w:gridCol w:w="521"/>
        <w:gridCol w:w="578"/>
        <w:gridCol w:w="826"/>
        <w:gridCol w:w="732"/>
        <w:gridCol w:w="732"/>
        <w:gridCol w:w="179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7" w:hRule="atLeast"/>
        </w:trPr>
        <w:tc>
          <w:tcPr>
            <w:tcW w:w="570" w:type="dxa"/>
            <w:vMerge w:val="restart"/>
            <w:tcBorders>
              <w:bottom w:val="nil"/>
            </w:tcBorders>
            <w:vAlign w:val="top"/>
          </w:tcPr>
          <w:p>
            <w:pPr>
              <w:spacing w:line="311" w:lineRule="auto"/>
              <w:rPr>
                <w:rFonts w:ascii="Arial"/>
                <w:sz w:val="21"/>
              </w:rPr>
            </w:pPr>
          </w:p>
          <w:p>
            <w:pPr>
              <w:spacing w:line="311" w:lineRule="auto"/>
              <w:rPr>
                <w:rFonts w:ascii="Arial"/>
                <w:sz w:val="21"/>
              </w:rPr>
            </w:pPr>
          </w:p>
          <w:p>
            <w:pPr>
              <w:spacing w:line="312" w:lineRule="auto"/>
              <w:rPr>
                <w:rFonts w:ascii="Arial"/>
                <w:sz w:val="21"/>
              </w:rPr>
            </w:pPr>
          </w:p>
          <w:p>
            <w:pPr>
              <w:pStyle w:val="28"/>
              <w:spacing w:before="71"/>
              <w:ind w:left="262"/>
              <w:rPr>
                <w:sz w:val="22"/>
                <w:szCs w:val="22"/>
              </w:rPr>
            </w:pPr>
            <w:r>
              <w:rPr>
                <w:spacing w:val="-7"/>
                <w:sz w:val="22"/>
                <w:szCs w:val="22"/>
              </w:rPr>
              <w:t>34</w:t>
            </w:r>
          </w:p>
        </w:tc>
        <w:tc>
          <w:tcPr>
            <w:tcW w:w="1683" w:type="dxa"/>
            <w:vMerge w:val="restart"/>
            <w:tcBorders>
              <w:bottom w:val="nil"/>
            </w:tcBorders>
            <w:vAlign w:val="top"/>
          </w:tcPr>
          <w:p>
            <w:pPr>
              <w:spacing w:line="259" w:lineRule="auto"/>
              <w:rPr>
                <w:rFonts w:ascii="Arial"/>
                <w:sz w:val="21"/>
              </w:rPr>
            </w:pPr>
          </w:p>
          <w:p>
            <w:pPr>
              <w:spacing w:line="259" w:lineRule="auto"/>
              <w:rPr>
                <w:rFonts w:ascii="Arial"/>
                <w:sz w:val="21"/>
              </w:rPr>
            </w:pPr>
          </w:p>
          <w:p>
            <w:pPr>
              <w:spacing w:line="260" w:lineRule="auto"/>
              <w:rPr>
                <w:rFonts w:ascii="Arial"/>
                <w:sz w:val="21"/>
              </w:rPr>
            </w:pPr>
          </w:p>
          <w:p>
            <w:pPr>
              <w:pStyle w:val="28"/>
              <w:spacing w:before="72" w:line="220" w:lineRule="auto"/>
              <w:ind w:left="112"/>
              <w:rPr>
                <w:sz w:val="22"/>
                <w:szCs w:val="22"/>
              </w:rPr>
            </w:pPr>
            <w:r>
              <w:rPr>
                <w:spacing w:val="-8"/>
                <w:sz w:val="22"/>
                <w:szCs w:val="22"/>
              </w:rPr>
              <w:t>地税局办公楼（现人</w:t>
            </w:r>
            <w:r>
              <w:rPr>
                <w:spacing w:val="-3"/>
                <w:sz w:val="22"/>
                <w:szCs w:val="22"/>
              </w:rPr>
              <w:t>社局）</w:t>
            </w:r>
          </w:p>
        </w:tc>
        <w:tc>
          <w:tcPr>
            <w:tcW w:w="908" w:type="dxa"/>
            <w:vMerge w:val="restart"/>
            <w:tcBorders>
              <w:bottom w:val="nil"/>
            </w:tcBorders>
            <w:vAlign w:val="top"/>
          </w:tcPr>
          <w:p>
            <w:pPr>
              <w:spacing w:line="311" w:lineRule="auto"/>
              <w:rPr>
                <w:rFonts w:ascii="Arial"/>
                <w:sz w:val="21"/>
              </w:rPr>
            </w:pPr>
          </w:p>
          <w:p>
            <w:pPr>
              <w:spacing w:line="311" w:lineRule="auto"/>
              <w:rPr>
                <w:rFonts w:ascii="Arial"/>
                <w:sz w:val="21"/>
              </w:rPr>
            </w:pPr>
          </w:p>
          <w:p>
            <w:pPr>
              <w:spacing w:line="312" w:lineRule="auto"/>
              <w:rPr>
                <w:rFonts w:ascii="Arial"/>
                <w:sz w:val="21"/>
              </w:rPr>
            </w:pPr>
          </w:p>
          <w:p>
            <w:pPr>
              <w:pStyle w:val="28"/>
              <w:spacing w:before="71"/>
              <w:ind w:left="422"/>
              <w:rPr>
                <w:sz w:val="22"/>
                <w:szCs w:val="22"/>
              </w:rPr>
            </w:pPr>
            <w:r>
              <w:rPr>
                <w:spacing w:val="-5"/>
                <w:sz w:val="22"/>
                <w:szCs w:val="22"/>
              </w:rPr>
              <w:t>748</w:t>
            </w:r>
          </w:p>
        </w:tc>
        <w:tc>
          <w:tcPr>
            <w:tcW w:w="1592" w:type="dxa"/>
            <w:vAlign w:val="top"/>
          </w:tcPr>
          <w:p>
            <w:pPr>
              <w:pStyle w:val="28"/>
              <w:spacing w:before="262" w:line="220" w:lineRule="auto"/>
              <w:ind w:left="252"/>
              <w:rPr>
                <w:sz w:val="22"/>
                <w:szCs w:val="22"/>
              </w:rPr>
            </w:pPr>
            <w:r>
              <w:rPr>
                <w:spacing w:val="-2"/>
                <w:sz w:val="22"/>
                <w:szCs w:val="22"/>
              </w:rPr>
              <w:t>原地税局办公楼</w:t>
            </w:r>
          </w:p>
        </w:tc>
        <w:tc>
          <w:tcPr>
            <w:tcW w:w="521" w:type="dxa"/>
            <w:vAlign w:val="top"/>
          </w:tcPr>
          <w:p>
            <w:pPr>
              <w:pStyle w:val="28"/>
              <w:spacing w:before="261" w:line="242" w:lineRule="auto"/>
              <w:ind w:left="281"/>
              <w:rPr>
                <w:sz w:val="22"/>
                <w:szCs w:val="22"/>
              </w:rPr>
            </w:pPr>
            <w:r>
              <w:rPr>
                <w:sz w:val="22"/>
                <w:szCs w:val="22"/>
              </w:rPr>
              <w:t>4</w:t>
            </w:r>
          </w:p>
        </w:tc>
        <w:tc>
          <w:tcPr>
            <w:tcW w:w="578" w:type="dxa"/>
            <w:vAlign w:val="top"/>
          </w:tcPr>
          <w:p>
            <w:pPr>
              <w:pStyle w:val="28"/>
              <w:spacing w:before="262"/>
              <w:ind w:left="320"/>
              <w:rPr>
                <w:sz w:val="22"/>
                <w:szCs w:val="22"/>
              </w:rPr>
            </w:pPr>
            <w:r>
              <w:rPr>
                <w:sz w:val="22"/>
                <w:szCs w:val="22"/>
              </w:rPr>
              <w:t>0</w:t>
            </w:r>
          </w:p>
        </w:tc>
        <w:tc>
          <w:tcPr>
            <w:tcW w:w="826" w:type="dxa"/>
            <w:vAlign w:val="top"/>
          </w:tcPr>
          <w:p>
            <w:pPr>
              <w:pStyle w:val="28"/>
              <w:spacing w:before="262"/>
              <w:ind w:left="370"/>
              <w:rPr>
                <w:sz w:val="22"/>
                <w:szCs w:val="22"/>
              </w:rPr>
            </w:pPr>
            <w:r>
              <w:rPr>
                <w:spacing w:val="-4"/>
                <w:sz w:val="22"/>
                <w:szCs w:val="22"/>
              </w:rPr>
              <w:t>676</w:t>
            </w:r>
          </w:p>
        </w:tc>
        <w:tc>
          <w:tcPr>
            <w:tcW w:w="732" w:type="dxa"/>
            <w:vAlign w:val="top"/>
          </w:tcPr>
          <w:p>
            <w:pPr>
              <w:pStyle w:val="28"/>
              <w:spacing w:before="262"/>
              <w:ind w:left="419"/>
              <w:rPr>
                <w:sz w:val="22"/>
                <w:szCs w:val="22"/>
              </w:rPr>
            </w:pPr>
            <w:r>
              <w:rPr>
                <w:sz w:val="22"/>
                <w:szCs w:val="22"/>
              </w:rPr>
              <w:t>0</w:t>
            </w:r>
          </w:p>
        </w:tc>
        <w:tc>
          <w:tcPr>
            <w:tcW w:w="732" w:type="dxa"/>
            <w:vAlign w:val="top"/>
          </w:tcPr>
          <w:p>
            <w:pPr>
              <w:pStyle w:val="28"/>
              <w:spacing w:before="262"/>
              <w:ind w:left="377"/>
              <w:rPr>
                <w:sz w:val="22"/>
                <w:szCs w:val="22"/>
              </w:rPr>
            </w:pPr>
            <w:r>
              <w:rPr>
                <w:spacing w:val="-13"/>
                <w:sz w:val="22"/>
                <w:szCs w:val="22"/>
              </w:rPr>
              <w:t>15</w:t>
            </w:r>
          </w:p>
        </w:tc>
        <w:tc>
          <w:tcPr>
            <w:tcW w:w="1794" w:type="dxa"/>
            <w:vAlign w:val="top"/>
          </w:tcPr>
          <w:p>
            <w:pPr>
              <w:pStyle w:val="28"/>
              <w:spacing w:before="105" w:line="264"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570" w:type="dxa"/>
            <w:vMerge w:val="continue"/>
            <w:tcBorders>
              <w:top w:val="nil"/>
              <w:bottom w:val="nil"/>
            </w:tcBorders>
            <w:vAlign w:val="top"/>
          </w:tcPr>
          <w:p>
            <w:pPr>
              <w:rPr>
                <w:rFonts w:ascii="Arial"/>
                <w:sz w:val="21"/>
              </w:rPr>
            </w:pPr>
          </w:p>
        </w:tc>
        <w:tc>
          <w:tcPr>
            <w:tcW w:w="1683" w:type="dxa"/>
            <w:vMerge w:val="continue"/>
            <w:tcBorders>
              <w:top w:val="nil"/>
              <w:bottom w:val="nil"/>
            </w:tcBorders>
            <w:vAlign w:val="top"/>
          </w:tcPr>
          <w:p>
            <w:pPr>
              <w:rPr>
                <w:rFonts w:ascii="Arial"/>
                <w:sz w:val="21"/>
              </w:rPr>
            </w:pPr>
          </w:p>
        </w:tc>
        <w:tc>
          <w:tcPr>
            <w:tcW w:w="908" w:type="dxa"/>
            <w:vMerge w:val="continue"/>
            <w:tcBorders>
              <w:top w:val="nil"/>
              <w:bottom w:val="nil"/>
            </w:tcBorders>
            <w:vAlign w:val="top"/>
          </w:tcPr>
          <w:p>
            <w:pPr>
              <w:rPr>
                <w:rFonts w:ascii="Arial"/>
                <w:sz w:val="21"/>
              </w:rPr>
            </w:pPr>
          </w:p>
        </w:tc>
        <w:tc>
          <w:tcPr>
            <w:tcW w:w="1592" w:type="dxa"/>
            <w:vAlign w:val="top"/>
          </w:tcPr>
          <w:p>
            <w:pPr>
              <w:pStyle w:val="28"/>
              <w:spacing w:before="259" w:line="221" w:lineRule="auto"/>
              <w:ind w:left="469"/>
              <w:rPr>
                <w:sz w:val="22"/>
                <w:szCs w:val="22"/>
              </w:rPr>
            </w:pPr>
            <w:r>
              <w:rPr>
                <w:spacing w:val="-2"/>
                <w:sz w:val="22"/>
                <w:szCs w:val="22"/>
              </w:rPr>
              <w:t>燃气锅炉房</w:t>
            </w:r>
          </w:p>
        </w:tc>
        <w:tc>
          <w:tcPr>
            <w:tcW w:w="521" w:type="dxa"/>
            <w:vAlign w:val="top"/>
          </w:tcPr>
          <w:p>
            <w:pPr>
              <w:pStyle w:val="28"/>
              <w:spacing w:before="259" w:line="242" w:lineRule="auto"/>
              <w:ind w:left="298"/>
              <w:rPr>
                <w:sz w:val="22"/>
                <w:szCs w:val="22"/>
              </w:rPr>
            </w:pPr>
            <w:r>
              <w:rPr>
                <w:sz w:val="22"/>
                <w:szCs w:val="22"/>
              </w:rPr>
              <w:t>1</w:t>
            </w:r>
          </w:p>
        </w:tc>
        <w:tc>
          <w:tcPr>
            <w:tcW w:w="578" w:type="dxa"/>
            <w:vAlign w:val="top"/>
          </w:tcPr>
          <w:p>
            <w:pPr>
              <w:pStyle w:val="28"/>
              <w:spacing w:before="260"/>
              <w:ind w:left="320"/>
              <w:rPr>
                <w:sz w:val="22"/>
                <w:szCs w:val="22"/>
              </w:rPr>
            </w:pPr>
            <w:r>
              <w:rPr>
                <w:sz w:val="22"/>
                <w:szCs w:val="22"/>
              </w:rPr>
              <w:t>0</w:t>
            </w:r>
          </w:p>
        </w:tc>
        <w:tc>
          <w:tcPr>
            <w:tcW w:w="826" w:type="dxa"/>
            <w:vAlign w:val="top"/>
          </w:tcPr>
          <w:p>
            <w:pPr>
              <w:pStyle w:val="28"/>
              <w:spacing w:before="259"/>
              <w:ind w:left="329"/>
              <w:rPr>
                <w:sz w:val="22"/>
                <w:szCs w:val="22"/>
              </w:rPr>
            </w:pPr>
            <w:r>
              <w:rPr>
                <w:spacing w:val="-6"/>
                <w:sz w:val="22"/>
                <w:szCs w:val="22"/>
              </w:rPr>
              <w:t>14.4</w:t>
            </w:r>
          </w:p>
        </w:tc>
        <w:tc>
          <w:tcPr>
            <w:tcW w:w="732" w:type="dxa"/>
            <w:vAlign w:val="top"/>
          </w:tcPr>
          <w:p>
            <w:pPr>
              <w:pStyle w:val="28"/>
              <w:spacing w:before="260"/>
              <w:ind w:left="419"/>
              <w:rPr>
                <w:sz w:val="22"/>
                <w:szCs w:val="22"/>
              </w:rPr>
            </w:pPr>
            <w:r>
              <w:rPr>
                <w:sz w:val="22"/>
                <w:szCs w:val="22"/>
              </w:rPr>
              <w:t>0</w:t>
            </w:r>
          </w:p>
        </w:tc>
        <w:tc>
          <w:tcPr>
            <w:tcW w:w="732" w:type="dxa"/>
            <w:vAlign w:val="top"/>
          </w:tcPr>
          <w:p>
            <w:pPr>
              <w:pStyle w:val="28"/>
              <w:spacing w:before="260"/>
              <w:ind w:left="420"/>
              <w:rPr>
                <w:sz w:val="22"/>
                <w:szCs w:val="22"/>
              </w:rPr>
            </w:pPr>
            <w:r>
              <w:rPr>
                <w:sz w:val="22"/>
                <w:szCs w:val="22"/>
              </w:rPr>
              <w:t>5</w:t>
            </w:r>
          </w:p>
        </w:tc>
        <w:tc>
          <w:tcPr>
            <w:tcW w:w="1794" w:type="dxa"/>
            <w:vAlign w:val="top"/>
          </w:tcPr>
          <w:p>
            <w:pPr>
              <w:pStyle w:val="28"/>
              <w:spacing w:before="104" w:line="263"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570" w:type="dxa"/>
            <w:vMerge w:val="continue"/>
            <w:tcBorders>
              <w:top w:val="nil"/>
            </w:tcBorders>
            <w:vAlign w:val="top"/>
          </w:tcPr>
          <w:p>
            <w:pPr>
              <w:rPr>
                <w:rFonts w:ascii="Arial"/>
                <w:sz w:val="21"/>
              </w:rPr>
            </w:pPr>
          </w:p>
        </w:tc>
        <w:tc>
          <w:tcPr>
            <w:tcW w:w="1683" w:type="dxa"/>
            <w:vMerge w:val="continue"/>
            <w:tcBorders>
              <w:top w:val="nil"/>
            </w:tcBorders>
            <w:vAlign w:val="top"/>
          </w:tcPr>
          <w:p>
            <w:pPr>
              <w:rPr>
                <w:rFonts w:ascii="Arial"/>
                <w:sz w:val="21"/>
              </w:rPr>
            </w:pPr>
          </w:p>
        </w:tc>
        <w:tc>
          <w:tcPr>
            <w:tcW w:w="908" w:type="dxa"/>
            <w:vMerge w:val="continue"/>
            <w:tcBorders>
              <w:top w:val="nil"/>
            </w:tcBorders>
            <w:vAlign w:val="top"/>
          </w:tcPr>
          <w:p>
            <w:pPr>
              <w:rPr>
                <w:rFonts w:ascii="Arial"/>
                <w:sz w:val="21"/>
              </w:rPr>
            </w:pPr>
          </w:p>
        </w:tc>
        <w:tc>
          <w:tcPr>
            <w:tcW w:w="1592" w:type="dxa"/>
            <w:vAlign w:val="top"/>
          </w:tcPr>
          <w:p>
            <w:pPr>
              <w:pStyle w:val="28"/>
              <w:spacing w:before="260" w:line="220" w:lineRule="auto"/>
              <w:ind w:left="590"/>
              <w:rPr>
                <w:sz w:val="22"/>
                <w:szCs w:val="22"/>
              </w:rPr>
            </w:pPr>
            <w:r>
              <w:rPr>
                <w:spacing w:val="-6"/>
                <w:sz w:val="22"/>
                <w:szCs w:val="22"/>
              </w:rPr>
              <w:t>院内厨房</w:t>
            </w:r>
          </w:p>
        </w:tc>
        <w:tc>
          <w:tcPr>
            <w:tcW w:w="521" w:type="dxa"/>
            <w:vAlign w:val="top"/>
          </w:tcPr>
          <w:p>
            <w:pPr>
              <w:pStyle w:val="28"/>
              <w:spacing w:before="260" w:line="242" w:lineRule="auto"/>
              <w:ind w:left="298"/>
              <w:rPr>
                <w:sz w:val="22"/>
                <w:szCs w:val="22"/>
              </w:rPr>
            </w:pPr>
            <w:r>
              <w:rPr>
                <w:sz w:val="22"/>
                <w:szCs w:val="22"/>
              </w:rPr>
              <w:t>1</w:t>
            </w:r>
          </w:p>
        </w:tc>
        <w:tc>
          <w:tcPr>
            <w:tcW w:w="578" w:type="dxa"/>
            <w:vAlign w:val="top"/>
          </w:tcPr>
          <w:p>
            <w:pPr>
              <w:pStyle w:val="28"/>
              <w:spacing w:before="260"/>
              <w:ind w:left="320"/>
              <w:rPr>
                <w:sz w:val="22"/>
                <w:szCs w:val="22"/>
              </w:rPr>
            </w:pPr>
            <w:r>
              <w:rPr>
                <w:sz w:val="22"/>
                <w:szCs w:val="22"/>
              </w:rPr>
              <w:t>0</w:t>
            </w:r>
          </w:p>
        </w:tc>
        <w:tc>
          <w:tcPr>
            <w:tcW w:w="826" w:type="dxa"/>
            <w:vAlign w:val="top"/>
          </w:tcPr>
          <w:p>
            <w:pPr>
              <w:pStyle w:val="28"/>
              <w:spacing w:before="259"/>
              <w:ind w:left="317"/>
              <w:rPr>
                <w:sz w:val="22"/>
                <w:szCs w:val="22"/>
              </w:rPr>
            </w:pPr>
            <w:r>
              <w:rPr>
                <w:spacing w:val="-3"/>
                <w:sz w:val="22"/>
                <w:szCs w:val="22"/>
              </w:rPr>
              <w:t>57.6</w:t>
            </w:r>
          </w:p>
        </w:tc>
        <w:tc>
          <w:tcPr>
            <w:tcW w:w="732" w:type="dxa"/>
            <w:vAlign w:val="top"/>
          </w:tcPr>
          <w:p>
            <w:pPr>
              <w:pStyle w:val="28"/>
              <w:spacing w:before="260"/>
              <w:ind w:left="419"/>
              <w:rPr>
                <w:sz w:val="22"/>
                <w:szCs w:val="22"/>
              </w:rPr>
            </w:pPr>
            <w:r>
              <w:rPr>
                <w:sz w:val="22"/>
                <w:szCs w:val="22"/>
              </w:rPr>
              <w:t>0</w:t>
            </w:r>
          </w:p>
        </w:tc>
        <w:tc>
          <w:tcPr>
            <w:tcW w:w="732" w:type="dxa"/>
            <w:vAlign w:val="top"/>
          </w:tcPr>
          <w:p>
            <w:pPr>
              <w:pStyle w:val="28"/>
              <w:spacing w:before="259"/>
              <w:ind w:left="312"/>
              <w:rPr>
                <w:sz w:val="22"/>
                <w:szCs w:val="22"/>
              </w:rPr>
            </w:pPr>
            <w:r>
              <w:rPr>
                <w:spacing w:val="-4"/>
                <w:sz w:val="22"/>
                <w:szCs w:val="22"/>
              </w:rPr>
              <w:t>3.6</w:t>
            </w:r>
          </w:p>
        </w:tc>
        <w:tc>
          <w:tcPr>
            <w:tcW w:w="1794" w:type="dxa"/>
            <w:vAlign w:val="top"/>
          </w:tcPr>
          <w:p>
            <w:pPr>
              <w:pStyle w:val="28"/>
              <w:spacing w:before="104" w:line="263"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570" w:type="dxa"/>
            <w:vMerge w:val="restart"/>
            <w:tcBorders>
              <w:bottom w:val="nil"/>
            </w:tcBorders>
            <w:vAlign w:val="top"/>
          </w:tcPr>
          <w:p>
            <w:pPr>
              <w:spacing w:line="251" w:lineRule="auto"/>
              <w:rPr>
                <w:rFonts w:ascii="Arial"/>
                <w:sz w:val="21"/>
              </w:rPr>
            </w:pPr>
          </w:p>
          <w:p>
            <w:pPr>
              <w:spacing w:line="252" w:lineRule="auto"/>
              <w:rPr>
                <w:rFonts w:ascii="Arial"/>
                <w:sz w:val="21"/>
              </w:rPr>
            </w:pPr>
          </w:p>
          <w:p>
            <w:pPr>
              <w:pStyle w:val="28"/>
              <w:spacing w:before="71"/>
              <w:ind w:left="262"/>
              <w:rPr>
                <w:sz w:val="22"/>
                <w:szCs w:val="22"/>
              </w:rPr>
            </w:pPr>
            <w:r>
              <w:rPr>
                <w:spacing w:val="-7"/>
                <w:sz w:val="22"/>
                <w:szCs w:val="22"/>
              </w:rPr>
              <w:t>35</w:t>
            </w:r>
          </w:p>
        </w:tc>
        <w:tc>
          <w:tcPr>
            <w:tcW w:w="1683" w:type="dxa"/>
            <w:vMerge w:val="restart"/>
            <w:tcBorders>
              <w:bottom w:val="nil"/>
            </w:tcBorders>
            <w:vAlign w:val="top"/>
          </w:tcPr>
          <w:p>
            <w:pPr>
              <w:spacing w:line="251" w:lineRule="auto"/>
              <w:rPr>
                <w:rFonts w:ascii="Arial"/>
                <w:sz w:val="21"/>
              </w:rPr>
            </w:pPr>
          </w:p>
          <w:p>
            <w:pPr>
              <w:spacing w:line="252" w:lineRule="auto"/>
              <w:rPr>
                <w:rFonts w:ascii="Arial"/>
                <w:sz w:val="21"/>
              </w:rPr>
            </w:pPr>
          </w:p>
          <w:p>
            <w:pPr>
              <w:pStyle w:val="28"/>
              <w:spacing w:before="71" w:line="220" w:lineRule="auto"/>
              <w:rPr>
                <w:sz w:val="22"/>
                <w:szCs w:val="22"/>
              </w:rPr>
            </w:pPr>
            <w:r>
              <w:rPr>
                <w:spacing w:val="-3"/>
                <w:sz w:val="22"/>
                <w:szCs w:val="22"/>
              </w:rPr>
              <w:t>富县医疗保障局</w:t>
            </w:r>
          </w:p>
        </w:tc>
        <w:tc>
          <w:tcPr>
            <w:tcW w:w="908" w:type="dxa"/>
            <w:vMerge w:val="restart"/>
            <w:tcBorders>
              <w:bottom w:val="nil"/>
            </w:tcBorders>
            <w:vAlign w:val="top"/>
          </w:tcPr>
          <w:p>
            <w:pPr>
              <w:spacing w:line="251" w:lineRule="auto"/>
              <w:rPr>
                <w:rFonts w:ascii="Arial"/>
                <w:sz w:val="21"/>
              </w:rPr>
            </w:pPr>
          </w:p>
          <w:p>
            <w:pPr>
              <w:spacing w:line="251" w:lineRule="auto"/>
              <w:rPr>
                <w:rFonts w:ascii="Arial"/>
                <w:sz w:val="21"/>
              </w:rPr>
            </w:pPr>
          </w:p>
          <w:p>
            <w:pPr>
              <w:pStyle w:val="28"/>
              <w:spacing w:before="72" w:line="242" w:lineRule="auto"/>
              <w:ind w:left="378"/>
              <w:rPr>
                <w:sz w:val="22"/>
                <w:szCs w:val="22"/>
              </w:rPr>
            </w:pPr>
            <w:r>
              <w:rPr>
                <w:spacing w:val="-6"/>
                <w:sz w:val="22"/>
                <w:szCs w:val="22"/>
              </w:rPr>
              <w:t>1214</w:t>
            </w:r>
          </w:p>
        </w:tc>
        <w:tc>
          <w:tcPr>
            <w:tcW w:w="1592" w:type="dxa"/>
            <w:vAlign w:val="top"/>
          </w:tcPr>
          <w:p>
            <w:pPr>
              <w:pStyle w:val="28"/>
              <w:spacing w:before="205" w:line="219" w:lineRule="auto"/>
              <w:ind w:left="473"/>
              <w:rPr>
                <w:sz w:val="22"/>
                <w:szCs w:val="22"/>
              </w:rPr>
            </w:pPr>
            <w:r>
              <w:rPr>
                <w:spacing w:val="-3"/>
                <w:sz w:val="22"/>
                <w:szCs w:val="22"/>
              </w:rPr>
              <w:t>原物价局楼</w:t>
            </w:r>
          </w:p>
        </w:tc>
        <w:tc>
          <w:tcPr>
            <w:tcW w:w="521" w:type="dxa"/>
            <w:vAlign w:val="top"/>
          </w:tcPr>
          <w:p>
            <w:pPr>
              <w:pStyle w:val="28"/>
              <w:spacing w:before="205" w:line="242" w:lineRule="auto"/>
              <w:ind w:left="281"/>
              <w:rPr>
                <w:sz w:val="22"/>
                <w:szCs w:val="22"/>
              </w:rPr>
            </w:pPr>
            <w:r>
              <w:rPr>
                <w:sz w:val="22"/>
                <w:szCs w:val="22"/>
              </w:rPr>
              <w:t>4</w:t>
            </w:r>
          </w:p>
        </w:tc>
        <w:tc>
          <w:tcPr>
            <w:tcW w:w="578" w:type="dxa"/>
            <w:vAlign w:val="top"/>
          </w:tcPr>
          <w:p>
            <w:pPr>
              <w:pStyle w:val="28"/>
              <w:spacing w:before="205"/>
              <w:ind w:left="320"/>
              <w:rPr>
                <w:sz w:val="22"/>
                <w:szCs w:val="22"/>
              </w:rPr>
            </w:pPr>
            <w:r>
              <w:rPr>
                <w:sz w:val="22"/>
                <w:szCs w:val="22"/>
              </w:rPr>
              <w:t>0</w:t>
            </w:r>
          </w:p>
        </w:tc>
        <w:tc>
          <w:tcPr>
            <w:tcW w:w="826" w:type="dxa"/>
            <w:vAlign w:val="top"/>
          </w:tcPr>
          <w:p>
            <w:pPr>
              <w:pStyle w:val="28"/>
              <w:spacing w:before="205"/>
              <w:ind w:left="369"/>
              <w:rPr>
                <w:sz w:val="22"/>
                <w:szCs w:val="22"/>
              </w:rPr>
            </w:pPr>
            <w:r>
              <w:rPr>
                <w:spacing w:val="-3"/>
                <w:sz w:val="22"/>
                <w:szCs w:val="22"/>
              </w:rPr>
              <w:t>954</w:t>
            </w:r>
          </w:p>
        </w:tc>
        <w:tc>
          <w:tcPr>
            <w:tcW w:w="732" w:type="dxa"/>
            <w:vAlign w:val="top"/>
          </w:tcPr>
          <w:p>
            <w:pPr>
              <w:pStyle w:val="28"/>
              <w:spacing w:before="205"/>
              <w:ind w:left="419"/>
              <w:rPr>
                <w:sz w:val="22"/>
                <w:szCs w:val="22"/>
              </w:rPr>
            </w:pPr>
            <w:r>
              <w:rPr>
                <w:sz w:val="22"/>
                <w:szCs w:val="22"/>
              </w:rPr>
              <w:t>0</w:t>
            </w:r>
          </w:p>
        </w:tc>
        <w:tc>
          <w:tcPr>
            <w:tcW w:w="732" w:type="dxa"/>
            <w:vAlign w:val="top"/>
          </w:tcPr>
          <w:p>
            <w:pPr>
              <w:pStyle w:val="28"/>
              <w:spacing w:before="205"/>
              <w:ind w:left="269"/>
              <w:rPr>
                <w:sz w:val="22"/>
                <w:szCs w:val="22"/>
              </w:rPr>
            </w:pPr>
            <w:r>
              <w:rPr>
                <w:spacing w:val="-6"/>
                <w:sz w:val="22"/>
                <w:szCs w:val="22"/>
              </w:rPr>
              <w:t>14.4</w:t>
            </w:r>
          </w:p>
        </w:tc>
        <w:tc>
          <w:tcPr>
            <w:tcW w:w="1794" w:type="dxa"/>
            <w:vAlign w:val="top"/>
          </w:tcPr>
          <w:p>
            <w:pPr>
              <w:pStyle w:val="28"/>
              <w:spacing w:before="49"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570" w:type="dxa"/>
            <w:vMerge w:val="continue"/>
            <w:tcBorders>
              <w:top w:val="nil"/>
            </w:tcBorders>
            <w:vAlign w:val="top"/>
          </w:tcPr>
          <w:p>
            <w:pPr>
              <w:rPr>
                <w:rFonts w:ascii="Arial"/>
                <w:sz w:val="21"/>
              </w:rPr>
            </w:pPr>
          </w:p>
        </w:tc>
        <w:tc>
          <w:tcPr>
            <w:tcW w:w="1683" w:type="dxa"/>
            <w:vMerge w:val="continue"/>
            <w:tcBorders>
              <w:top w:val="nil"/>
            </w:tcBorders>
            <w:vAlign w:val="top"/>
          </w:tcPr>
          <w:p>
            <w:pPr>
              <w:rPr>
                <w:rFonts w:ascii="Arial"/>
                <w:sz w:val="21"/>
              </w:rPr>
            </w:pPr>
          </w:p>
        </w:tc>
        <w:tc>
          <w:tcPr>
            <w:tcW w:w="908" w:type="dxa"/>
            <w:vMerge w:val="continue"/>
            <w:tcBorders>
              <w:top w:val="nil"/>
            </w:tcBorders>
            <w:vAlign w:val="top"/>
          </w:tcPr>
          <w:p>
            <w:pPr>
              <w:rPr>
                <w:rFonts w:ascii="Arial"/>
                <w:sz w:val="21"/>
              </w:rPr>
            </w:pPr>
          </w:p>
        </w:tc>
        <w:tc>
          <w:tcPr>
            <w:tcW w:w="1592" w:type="dxa"/>
            <w:vAlign w:val="top"/>
          </w:tcPr>
          <w:p>
            <w:pPr>
              <w:pStyle w:val="28"/>
              <w:spacing w:before="260" w:line="219" w:lineRule="auto"/>
              <w:ind w:left="473"/>
              <w:rPr>
                <w:sz w:val="22"/>
                <w:szCs w:val="22"/>
              </w:rPr>
            </w:pPr>
            <w:r>
              <w:rPr>
                <w:spacing w:val="-3"/>
                <w:sz w:val="22"/>
                <w:szCs w:val="22"/>
              </w:rPr>
              <w:t>原物价局楼</w:t>
            </w:r>
          </w:p>
        </w:tc>
        <w:tc>
          <w:tcPr>
            <w:tcW w:w="521" w:type="dxa"/>
            <w:vAlign w:val="top"/>
          </w:tcPr>
          <w:p>
            <w:pPr>
              <w:pStyle w:val="28"/>
              <w:spacing w:before="260" w:line="242" w:lineRule="auto"/>
              <w:ind w:left="284"/>
              <w:rPr>
                <w:sz w:val="22"/>
                <w:szCs w:val="22"/>
              </w:rPr>
            </w:pPr>
            <w:r>
              <w:rPr>
                <w:sz w:val="22"/>
                <w:szCs w:val="22"/>
              </w:rPr>
              <w:t>2</w:t>
            </w:r>
          </w:p>
        </w:tc>
        <w:tc>
          <w:tcPr>
            <w:tcW w:w="578" w:type="dxa"/>
            <w:vAlign w:val="top"/>
          </w:tcPr>
          <w:p>
            <w:pPr>
              <w:pStyle w:val="28"/>
              <w:spacing w:before="260"/>
              <w:ind w:left="320"/>
              <w:rPr>
                <w:sz w:val="22"/>
                <w:szCs w:val="22"/>
              </w:rPr>
            </w:pPr>
            <w:r>
              <w:rPr>
                <w:sz w:val="22"/>
                <w:szCs w:val="22"/>
              </w:rPr>
              <w:t>0</w:t>
            </w:r>
          </w:p>
        </w:tc>
        <w:tc>
          <w:tcPr>
            <w:tcW w:w="826" w:type="dxa"/>
            <w:vAlign w:val="top"/>
          </w:tcPr>
          <w:p>
            <w:pPr>
              <w:pStyle w:val="28"/>
              <w:spacing w:before="260"/>
              <w:ind w:left="371"/>
              <w:rPr>
                <w:sz w:val="22"/>
                <w:szCs w:val="22"/>
              </w:rPr>
            </w:pPr>
            <w:r>
              <w:rPr>
                <w:spacing w:val="-4"/>
                <w:sz w:val="22"/>
                <w:szCs w:val="22"/>
              </w:rPr>
              <w:t>260</w:t>
            </w:r>
          </w:p>
        </w:tc>
        <w:tc>
          <w:tcPr>
            <w:tcW w:w="732" w:type="dxa"/>
            <w:vAlign w:val="top"/>
          </w:tcPr>
          <w:p>
            <w:pPr>
              <w:pStyle w:val="28"/>
              <w:spacing w:before="260"/>
              <w:ind w:left="419"/>
              <w:rPr>
                <w:sz w:val="22"/>
                <w:szCs w:val="22"/>
              </w:rPr>
            </w:pPr>
            <w:r>
              <w:rPr>
                <w:sz w:val="22"/>
                <w:szCs w:val="22"/>
              </w:rPr>
              <w:t>0</w:t>
            </w:r>
          </w:p>
        </w:tc>
        <w:tc>
          <w:tcPr>
            <w:tcW w:w="732" w:type="dxa"/>
            <w:vAlign w:val="top"/>
          </w:tcPr>
          <w:p>
            <w:pPr>
              <w:pStyle w:val="28"/>
              <w:spacing w:before="259"/>
              <w:ind w:left="309"/>
              <w:rPr>
                <w:sz w:val="22"/>
                <w:szCs w:val="22"/>
              </w:rPr>
            </w:pPr>
            <w:r>
              <w:rPr>
                <w:spacing w:val="-3"/>
                <w:sz w:val="22"/>
                <w:szCs w:val="22"/>
              </w:rPr>
              <w:t>8.4</w:t>
            </w:r>
          </w:p>
        </w:tc>
        <w:tc>
          <w:tcPr>
            <w:tcW w:w="1794" w:type="dxa"/>
            <w:vAlign w:val="top"/>
          </w:tcPr>
          <w:p>
            <w:pPr>
              <w:pStyle w:val="28"/>
              <w:spacing w:before="104" w:line="263"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36" w:hRule="atLeast"/>
        </w:trPr>
        <w:tc>
          <w:tcPr>
            <w:tcW w:w="570" w:type="dxa"/>
            <w:vAlign w:val="top"/>
          </w:tcPr>
          <w:p>
            <w:pPr>
              <w:spacing w:line="443" w:lineRule="auto"/>
              <w:rPr>
                <w:rFonts w:ascii="Arial"/>
                <w:sz w:val="21"/>
              </w:rPr>
            </w:pPr>
          </w:p>
          <w:p>
            <w:pPr>
              <w:pStyle w:val="28"/>
              <w:spacing w:before="72"/>
              <w:ind w:left="262"/>
              <w:rPr>
                <w:sz w:val="22"/>
                <w:szCs w:val="22"/>
              </w:rPr>
            </w:pPr>
            <w:r>
              <w:rPr>
                <w:spacing w:val="-7"/>
                <w:sz w:val="22"/>
                <w:szCs w:val="22"/>
              </w:rPr>
              <w:t>36</w:t>
            </w:r>
          </w:p>
        </w:tc>
        <w:tc>
          <w:tcPr>
            <w:tcW w:w="1683" w:type="dxa"/>
            <w:vAlign w:val="top"/>
          </w:tcPr>
          <w:p>
            <w:pPr>
              <w:pStyle w:val="28"/>
              <w:spacing w:before="205" w:line="220" w:lineRule="auto"/>
              <w:rPr>
                <w:sz w:val="22"/>
                <w:szCs w:val="22"/>
              </w:rPr>
            </w:pPr>
            <w:r>
              <w:rPr>
                <w:spacing w:val="-2"/>
                <w:sz w:val="22"/>
                <w:szCs w:val="22"/>
              </w:rPr>
              <w:t>原卫生局办公楼</w:t>
            </w:r>
          </w:p>
          <w:p>
            <w:pPr>
              <w:pStyle w:val="28"/>
              <w:spacing w:before="49" w:line="264" w:lineRule="auto"/>
              <w:ind w:left="522" w:right="186" w:hanging="322"/>
              <w:rPr>
                <w:sz w:val="22"/>
                <w:szCs w:val="22"/>
              </w:rPr>
            </w:pPr>
            <w:r>
              <w:rPr>
                <w:spacing w:val="-2"/>
                <w:sz w:val="22"/>
                <w:szCs w:val="22"/>
              </w:rPr>
              <w:t>（现富县民营经济服务中心）</w:t>
            </w:r>
          </w:p>
        </w:tc>
        <w:tc>
          <w:tcPr>
            <w:tcW w:w="908" w:type="dxa"/>
            <w:vAlign w:val="top"/>
          </w:tcPr>
          <w:p>
            <w:pPr>
              <w:spacing w:line="443" w:lineRule="auto"/>
              <w:rPr>
                <w:rFonts w:ascii="Arial"/>
                <w:sz w:val="21"/>
              </w:rPr>
            </w:pPr>
          </w:p>
          <w:p>
            <w:pPr>
              <w:pStyle w:val="28"/>
              <w:spacing w:before="72"/>
              <w:ind w:left="422"/>
              <w:rPr>
                <w:sz w:val="22"/>
                <w:szCs w:val="22"/>
              </w:rPr>
            </w:pPr>
            <w:r>
              <w:rPr>
                <w:spacing w:val="-5"/>
                <w:sz w:val="22"/>
                <w:szCs w:val="22"/>
              </w:rPr>
              <w:t>748</w:t>
            </w:r>
          </w:p>
        </w:tc>
        <w:tc>
          <w:tcPr>
            <w:tcW w:w="1592" w:type="dxa"/>
            <w:vAlign w:val="top"/>
          </w:tcPr>
          <w:p>
            <w:pPr>
              <w:spacing w:line="443" w:lineRule="auto"/>
              <w:rPr>
                <w:rFonts w:ascii="Arial"/>
                <w:sz w:val="21"/>
              </w:rPr>
            </w:pPr>
          </w:p>
          <w:p>
            <w:pPr>
              <w:pStyle w:val="28"/>
              <w:spacing w:before="72" w:line="220" w:lineRule="auto"/>
              <w:ind w:left="252"/>
              <w:rPr>
                <w:sz w:val="22"/>
                <w:szCs w:val="22"/>
              </w:rPr>
            </w:pPr>
            <w:r>
              <w:rPr>
                <w:spacing w:val="-2"/>
                <w:sz w:val="22"/>
                <w:szCs w:val="22"/>
              </w:rPr>
              <w:t>原卫生局办公楼</w:t>
            </w:r>
          </w:p>
        </w:tc>
        <w:tc>
          <w:tcPr>
            <w:tcW w:w="521" w:type="dxa"/>
            <w:vAlign w:val="top"/>
          </w:tcPr>
          <w:p>
            <w:pPr>
              <w:spacing w:line="443" w:lineRule="auto"/>
              <w:rPr>
                <w:rFonts w:ascii="Arial"/>
                <w:sz w:val="21"/>
              </w:rPr>
            </w:pPr>
          </w:p>
          <w:p>
            <w:pPr>
              <w:pStyle w:val="28"/>
              <w:spacing w:before="71" w:line="242" w:lineRule="auto"/>
              <w:ind w:left="281"/>
              <w:rPr>
                <w:sz w:val="22"/>
                <w:szCs w:val="22"/>
              </w:rPr>
            </w:pPr>
            <w:r>
              <w:rPr>
                <w:sz w:val="22"/>
                <w:szCs w:val="22"/>
              </w:rPr>
              <w:t>4</w:t>
            </w:r>
          </w:p>
        </w:tc>
        <w:tc>
          <w:tcPr>
            <w:tcW w:w="578" w:type="dxa"/>
            <w:vAlign w:val="top"/>
          </w:tcPr>
          <w:p>
            <w:pPr>
              <w:spacing w:line="443" w:lineRule="auto"/>
              <w:rPr>
                <w:rFonts w:ascii="Arial"/>
                <w:sz w:val="21"/>
              </w:rPr>
            </w:pPr>
          </w:p>
          <w:p>
            <w:pPr>
              <w:pStyle w:val="28"/>
              <w:spacing w:before="72"/>
              <w:ind w:left="320"/>
              <w:rPr>
                <w:sz w:val="22"/>
                <w:szCs w:val="22"/>
              </w:rPr>
            </w:pPr>
            <w:r>
              <w:rPr>
                <w:sz w:val="22"/>
                <w:szCs w:val="22"/>
              </w:rPr>
              <w:t>0</w:t>
            </w:r>
          </w:p>
        </w:tc>
        <w:tc>
          <w:tcPr>
            <w:tcW w:w="826" w:type="dxa"/>
            <w:vAlign w:val="top"/>
          </w:tcPr>
          <w:p>
            <w:pPr>
              <w:spacing w:line="443" w:lineRule="auto"/>
              <w:rPr>
                <w:rFonts w:ascii="Arial"/>
                <w:sz w:val="21"/>
              </w:rPr>
            </w:pPr>
          </w:p>
          <w:p>
            <w:pPr>
              <w:pStyle w:val="28"/>
              <w:spacing w:before="72"/>
              <w:ind w:left="373"/>
              <w:rPr>
                <w:sz w:val="22"/>
                <w:szCs w:val="22"/>
              </w:rPr>
            </w:pPr>
            <w:r>
              <w:rPr>
                <w:spacing w:val="-5"/>
                <w:sz w:val="22"/>
                <w:szCs w:val="22"/>
              </w:rPr>
              <w:t>748</w:t>
            </w:r>
          </w:p>
        </w:tc>
        <w:tc>
          <w:tcPr>
            <w:tcW w:w="732" w:type="dxa"/>
            <w:vAlign w:val="top"/>
          </w:tcPr>
          <w:p>
            <w:pPr>
              <w:spacing w:line="443" w:lineRule="auto"/>
              <w:rPr>
                <w:rFonts w:ascii="Arial"/>
                <w:sz w:val="21"/>
              </w:rPr>
            </w:pPr>
          </w:p>
          <w:p>
            <w:pPr>
              <w:pStyle w:val="28"/>
              <w:spacing w:before="72"/>
              <w:ind w:left="419"/>
              <w:rPr>
                <w:sz w:val="22"/>
                <w:szCs w:val="22"/>
              </w:rPr>
            </w:pPr>
            <w:r>
              <w:rPr>
                <w:sz w:val="22"/>
                <w:szCs w:val="22"/>
              </w:rPr>
              <w:t>0</w:t>
            </w:r>
          </w:p>
        </w:tc>
        <w:tc>
          <w:tcPr>
            <w:tcW w:w="732" w:type="dxa"/>
            <w:vAlign w:val="top"/>
          </w:tcPr>
          <w:p>
            <w:pPr>
              <w:spacing w:line="442" w:lineRule="auto"/>
              <w:rPr>
                <w:rFonts w:ascii="Arial"/>
                <w:sz w:val="21"/>
              </w:rPr>
            </w:pPr>
          </w:p>
          <w:p>
            <w:pPr>
              <w:pStyle w:val="28"/>
              <w:spacing w:before="72"/>
              <w:ind w:left="269"/>
              <w:rPr>
                <w:sz w:val="22"/>
                <w:szCs w:val="22"/>
              </w:rPr>
            </w:pPr>
            <w:r>
              <w:rPr>
                <w:spacing w:val="-6"/>
                <w:sz w:val="22"/>
                <w:szCs w:val="22"/>
              </w:rPr>
              <w:t>14.4</w:t>
            </w:r>
          </w:p>
        </w:tc>
        <w:tc>
          <w:tcPr>
            <w:tcW w:w="1794" w:type="dxa"/>
            <w:vAlign w:val="top"/>
          </w:tcPr>
          <w:p>
            <w:pPr>
              <w:pStyle w:val="28"/>
              <w:spacing w:before="50" w:line="250" w:lineRule="auto"/>
              <w:ind w:left="116" w:right="103" w:firstLine="2"/>
              <w:rPr>
                <w:sz w:val="22"/>
                <w:szCs w:val="22"/>
              </w:rPr>
            </w:pPr>
            <w:r>
              <w:rPr>
                <w:spacing w:val="7"/>
                <w:sz w:val="22"/>
                <w:szCs w:val="22"/>
              </w:rPr>
              <w:t>消防应急照明及疏散</w:t>
            </w:r>
            <w:r>
              <w:rPr>
                <w:spacing w:val="8"/>
                <w:sz w:val="22"/>
                <w:szCs w:val="22"/>
              </w:rPr>
              <w:t>指示系统、（室内消火栓、消防泵房）、</w:t>
            </w:r>
            <w:r>
              <w:rPr>
                <w:spacing w:val="-3"/>
                <w:sz w:val="22"/>
                <w:szCs w:val="22"/>
              </w:rPr>
              <w:t>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570"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6" w:lineRule="auto"/>
              <w:rPr>
                <w:rFonts w:ascii="Arial"/>
                <w:sz w:val="21"/>
              </w:rPr>
            </w:pPr>
          </w:p>
          <w:p>
            <w:pPr>
              <w:pStyle w:val="28"/>
              <w:spacing w:before="71"/>
              <w:ind w:left="262"/>
              <w:rPr>
                <w:sz w:val="22"/>
                <w:szCs w:val="22"/>
              </w:rPr>
            </w:pPr>
            <w:r>
              <w:rPr>
                <w:spacing w:val="-7"/>
                <w:sz w:val="22"/>
                <w:szCs w:val="22"/>
              </w:rPr>
              <w:t>37</w:t>
            </w:r>
          </w:p>
        </w:tc>
        <w:tc>
          <w:tcPr>
            <w:tcW w:w="1683" w:type="dxa"/>
            <w:vMerge w:val="restart"/>
            <w:tcBorders>
              <w:bottom w:val="nil"/>
            </w:tcBorders>
            <w:vAlign w:val="top"/>
          </w:tcPr>
          <w:p>
            <w:pPr>
              <w:spacing w:line="305" w:lineRule="auto"/>
              <w:rPr>
                <w:rFonts w:ascii="Arial"/>
                <w:sz w:val="21"/>
              </w:rPr>
            </w:pPr>
          </w:p>
          <w:p>
            <w:pPr>
              <w:spacing w:line="305" w:lineRule="auto"/>
              <w:rPr>
                <w:rFonts w:ascii="Arial"/>
                <w:sz w:val="21"/>
              </w:rPr>
            </w:pPr>
          </w:p>
          <w:p>
            <w:pPr>
              <w:pStyle w:val="28"/>
              <w:spacing w:before="71" w:line="264" w:lineRule="auto"/>
              <w:ind w:left="747" w:right="186" w:hanging="540"/>
              <w:rPr>
                <w:sz w:val="22"/>
                <w:szCs w:val="22"/>
              </w:rPr>
            </w:pPr>
            <w:r>
              <w:rPr>
                <w:spacing w:val="-3"/>
                <w:sz w:val="22"/>
                <w:szCs w:val="22"/>
              </w:rPr>
              <w:t>畜牧兽医服务中心</w:t>
            </w:r>
            <w:r>
              <w:rPr>
                <w:spacing w:val="-4"/>
                <w:sz w:val="22"/>
                <w:szCs w:val="22"/>
              </w:rPr>
              <w:t>办公楼</w:t>
            </w:r>
          </w:p>
        </w:tc>
        <w:tc>
          <w:tcPr>
            <w:tcW w:w="908" w:type="dxa"/>
            <w:vMerge w:val="restart"/>
            <w:tcBorders>
              <w:bottom w:val="nil"/>
            </w:tcBorders>
            <w:vAlign w:val="top"/>
          </w:tcPr>
          <w:p>
            <w:pPr>
              <w:spacing w:line="255" w:lineRule="auto"/>
              <w:rPr>
                <w:rFonts w:ascii="Arial"/>
                <w:sz w:val="21"/>
              </w:rPr>
            </w:pPr>
          </w:p>
          <w:p>
            <w:pPr>
              <w:spacing w:line="255" w:lineRule="auto"/>
              <w:rPr>
                <w:rFonts w:ascii="Arial"/>
                <w:sz w:val="21"/>
              </w:rPr>
            </w:pPr>
          </w:p>
          <w:p>
            <w:pPr>
              <w:spacing w:line="255" w:lineRule="auto"/>
              <w:rPr>
                <w:rFonts w:ascii="Arial"/>
                <w:sz w:val="21"/>
              </w:rPr>
            </w:pPr>
          </w:p>
          <w:p>
            <w:pPr>
              <w:pStyle w:val="28"/>
              <w:spacing w:before="72"/>
              <w:ind w:left="195"/>
              <w:rPr>
                <w:sz w:val="22"/>
                <w:szCs w:val="22"/>
              </w:rPr>
            </w:pPr>
            <w:r>
              <w:rPr>
                <w:spacing w:val="-1"/>
                <w:sz w:val="22"/>
                <w:szCs w:val="22"/>
              </w:rPr>
              <w:t>4136.49</w:t>
            </w:r>
          </w:p>
        </w:tc>
        <w:tc>
          <w:tcPr>
            <w:tcW w:w="1592" w:type="dxa"/>
            <w:vAlign w:val="top"/>
          </w:tcPr>
          <w:p>
            <w:pPr>
              <w:pStyle w:val="28"/>
              <w:spacing w:before="206" w:line="220" w:lineRule="auto"/>
              <w:ind w:left="261"/>
              <w:rPr>
                <w:sz w:val="22"/>
                <w:szCs w:val="22"/>
              </w:rPr>
            </w:pPr>
            <w:r>
              <w:rPr>
                <w:spacing w:val="-4"/>
                <w:sz w:val="22"/>
                <w:szCs w:val="22"/>
              </w:rPr>
              <w:t>畜牧中心办公楼</w:t>
            </w:r>
          </w:p>
        </w:tc>
        <w:tc>
          <w:tcPr>
            <w:tcW w:w="521" w:type="dxa"/>
            <w:vAlign w:val="top"/>
          </w:tcPr>
          <w:p>
            <w:pPr>
              <w:pStyle w:val="28"/>
              <w:spacing w:before="205" w:line="242" w:lineRule="auto"/>
              <w:ind w:left="281"/>
              <w:rPr>
                <w:sz w:val="22"/>
                <w:szCs w:val="22"/>
              </w:rPr>
            </w:pPr>
            <w:r>
              <w:rPr>
                <w:sz w:val="22"/>
                <w:szCs w:val="22"/>
              </w:rPr>
              <w:t>4</w:t>
            </w:r>
          </w:p>
        </w:tc>
        <w:tc>
          <w:tcPr>
            <w:tcW w:w="578" w:type="dxa"/>
            <w:vAlign w:val="top"/>
          </w:tcPr>
          <w:p>
            <w:pPr>
              <w:pStyle w:val="28"/>
              <w:spacing w:before="206"/>
              <w:ind w:left="320"/>
              <w:rPr>
                <w:sz w:val="22"/>
                <w:szCs w:val="22"/>
              </w:rPr>
            </w:pPr>
            <w:r>
              <w:rPr>
                <w:sz w:val="22"/>
                <w:szCs w:val="22"/>
              </w:rPr>
              <w:t>0</w:t>
            </w:r>
          </w:p>
        </w:tc>
        <w:tc>
          <w:tcPr>
            <w:tcW w:w="826" w:type="dxa"/>
            <w:vAlign w:val="top"/>
          </w:tcPr>
          <w:p>
            <w:pPr>
              <w:pStyle w:val="28"/>
              <w:spacing w:before="205"/>
              <w:ind w:left="163"/>
              <w:rPr>
                <w:sz w:val="22"/>
                <w:szCs w:val="22"/>
              </w:rPr>
            </w:pPr>
            <w:r>
              <w:rPr>
                <w:spacing w:val="-4"/>
                <w:sz w:val="22"/>
                <w:szCs w:val="22"/>
              </w:rPr>
              <w:t>1072.93</w:t>
            </w:r>
          </w:p>
        </w:tc>
        <w:tc>
          <w:tcPr>
            <w:tcW w:w="732" w:type="dxa"/>
            <w:vAlign w:val="top"/>
          </w:tcPr>
          <w:p>
            <w:pPr>
              <w:pStyle w:val="28"/>
              <w:spacing w:before="206"/>
              <w:ind w:left="419"/>
              <w:rPr>
                <w:sz w:val="22"/>
                <w:szCs w:val="22"/>
              </w:rPr>
            </w:pPr>
            <w:r>
              <w:rPr>
                <w:sz w:val="22"/>
                <w:szCs w:val="22"/>
              </w:rPr>
              <w:t>0</w:t>
            </w:r>
          </w:p>
        </w:tc>
        <w:tc>
          <w:tcPr>
            <w:tcW w:w="732" w:type="dxa"/>
            <w:vAlign w:val="top"/>
          </w:tcPr>
          <w:p>
            <w:pPr>
              <w:pStyle w:val="28"/>
              <w:spacing w:before="205" w:line="242" w:lineRule="auto"/>
              <w:ind w:left="377"/>
              <w:rPr>
                <w:sz w:val="22"/>
                <w:szCs w:val="22"/>
              </w:rPr>
            </w:pPr>
            <w:r>
              <w:rPr>
                <w:spacing w:val="-13"/>
                <w:sz w:val="22"/>
                <w:szCs w:val="22"/>
              </w:rPr>
              <w:t>12</w:t>
            </w:r>
          </w:p>
        </w:tc>
        <w:tc>
          <w:tcPr>
            <w:tcW w:w="1794" w:type="dxa"/>
            <w:vAlign w:val="top"/>
          </w:tcPr>
          <w:p>
            <w:pPr>
              <w:pStyle w:val="28"/>
              <w:spacing w:before="49"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570" w:type="dxa"/>
            <w:vMerge w:val="continue"/>
            <w:tcBorders>
              <w:top w:val="nil"/>
              <w:bottom w:val="nil"/>
            </w:tcBorders>
            <w:vAlign w:val="top"/>
          </w:tcPr>
          <w:p>
            <w:pPr>
              <w:rPr>
                <w:rFonts w:ascii="Arial"/>
                <w:sz w:val="21"/>
              </w:rPr>
            </w:pPr>
          </w:p>
        </w:tc>
        <w:tc>
          <w:tcPr>
            <w:tcW w:w="1683" w:type="dxa"/>
            <w:vMerge w:val="continue"/>
            <w:tcBorders>
              <w:top w:val="nil"/>
              <w:bottom w:val="nil"/>
            </w:tcBorders>
            <w:vAlign w:val="top"/>
          </w:tcPr>
          <w:p>
            <w:pPr>
              <w:rPr>
                <w:rFonts w:ascii="Arial"/>
                <w:sz w:val="21"/>
              </w:rPr>
            </w:pPr>
          </w:p>
        </w:tc>
        <w:tc>
          <w:tcPr>
            <w:tcW w:w="908" w:type="dxa"/>
            <w:vMerge w:val="continue"/>
            <w:tcBorders>
              <w:top w:val="nil"/>
              <w:bottom w:val="nil"/>
            </w:tcBorders>
            <w:vAlign w:val="top"/>
          </w:tcPr>
          <w:p>
            <w:pPr>
              <w:rPr>
                <w:rFonts w:ascii="Arial"/>
                <w:sz w:val="21"/>
              </w:rPr>
            </w:pPr>
          </w:p>
        </w:tc>
        <w:tc>
          <w:tcPr>
            <w:tcW w:w="1592" w:type="dxa"/>
            <w:vAlign w:val="top"/>
          </w:tcPr>
          <w:p>
            <w:pPr>
              <w:pStyle w:val="28"/>
              <w:spacing w:before="208" w:line="220" w:lineRule="auto"/>
              <w:ind w:left="537"/>
              <w:rPr>
                <w:sz w:val="22"/>
                <w:szCs w:val="22"/>
              </w:rPr>
            </w:pPr>
            <w:r>
              <w:rPr>
                <w:spacing w:val="-5"/>
                <w:sz w:val="22"/>
                <w:szCs w:val="22"/>
              </w:rPr>
              <w:t>畜牧工作站</w:t>
            </w:r>
          </w:p>
        </w:tc>
        <w:tc>
          <w:tcPr>
            <w:tcW w:w="521" w:type="dxa"/>
            <w:vAlign w:val="top"/>
          </w:tcPr>
          <w:p>
            <w:pPr>
              <w:pStyle w:val="28"/>
              <w:spacing w:before="208"/>
              <w:ind w:left="286"/>
              <w:rPr>
                <w:sz w:val="22"/>
                <w:szCs w:val="22"/>
              </w:rPr>
            </w:pPr>
            <w:r>
              <w:rPr>
                <w:sz w:val="22"/>
                <w:szCs w:val="22"/>
              </w:rPr>
              <w:t>5</w:t>
            </w:r>
          </w:p>
        </w:tc>
        <w:tc>
          <w:tcPr>
            <w:tcW w:w="578" w:type="dxa"/>
            <w:vAlign w:val="top"/>
          </w:tcPr>
          <w:p>
            <w:pPr>
              <w:pStyle w:val="28"/>
              <w:spacing w:before="208"/>
              <w:ind w:left="320"/>
              <w:rPr>
                <w:sz w:val="22"/>
                <w:szCs w:val="22"/>
              </w:rPr>
            </w:pPr>
            <w:r>
              <w:rPr>
                <w:sz w:val="22"/>
                <w:szCs w:val="22"/>
              </w:rPr>
              <w:t>0</w:t>
            </w:r>
          </w:p>
        </w:tc>
        <w:tc>
          <w:tcPr>
            <w:tcW w:w="826" w:type="dxa"/>
            <w:vAlign w:val="top"/>
          </w:tcPr>
          <w:p>
            <w:pPr>
              <w:pStyle w:val="28"/>
              <w:spacing w:before="207"/>
              <w:ind w:left="150"/>
              <w:rPr>
                <w:sz w:val="22"/>
                <w:szCs w:val="22"/>
              </w:rPr>
            </w:pPr>
            <w:r>
              <w:rPr>
                <w:spacing w:val="-2"/>
                <w:sz w:val="22"/>
                <w:szCs w:val="22"/>
              </w:rPr>
              <w:t>2404.72</w:t>
            </w:r>
          </w:p>
        </w:tc>
        <w:tc>
          <w:tcPr>
            <w:tcW w:w="732" w:type="dxa"/>
            <w:vAlign w:val="top"/>
          </w:tcPr>
          <w:p>
            <w:pPr>
              <w:pStyle w:val="28"/>
              <w:spacing w:before="208"/>
              <w:ind w:left="419"/>
              <w:rPr>
                <w:sz w:val="22"/>
                <w:szCs w:val="22"/>
              </w:rPr>
            </w:pPr>
            <w:r>
              <w:rPr>
                <w:sz w:val="22"/>
                <w:szCs w:val="22"/>
              </w:rPr>
              <w:t>0</w:t>
            </w:r>
          </w:p>
        </w:tc>
        <w:tc>
          <w:tcPr>
            <w:tcW w:w="732" w:type="dxa"/>
            <w:vAlign w:val="top"/>
          </w:tcPr>
          <w:p>
            <w:pPr>
              <w:pStyle w:val="28"/>
              <w:spacing w:before="208"/>
              <w:ind w:left="377"/>
              <w:rPr>
                <w:sz w:val="22"/>
                <w:szCs w:val="22"/>
              </w:rPr>
            </w:pPr>
            <w:r>
              <w:rPr>
                <w:spacing w:val="-13"/>
                <w:sz w:val="22"/>
                <w:szCs w:val="22"/>
              </w:rPr>
              <w:t>15</w:t>
            </w:r>
          </w:p>
        </w:tc>
        <w:tc>
          <w:tcPr>
            <w:tcW w:w="1794" w:type="dxa"/>
            <w:vAlign w:val="top"/>
          </w:tcPr>
          <w:p>
            <w:pPr>
              <w:pStyle w:val="28"/>
              <w:spacing w:before="51" w:line="238"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570" w:type="dxa"/>
            <w:vMerge w:val="continue"/>
            <w:tcBorders>
              <w:top w:val="nil"/>
            </w:tcBorders>
            <w:vAlign w:val="top"/>
          </w:tcPr>
          <w:p>
            <w:pPr>
              <w:rPr>
                <w:rFonts w:ascii="Arial"/>
                <w:sz w:val="21"/>
              </w:rPr>
            </w:pPr>
          </w:p>
        </w:tc>
        <w:tc>
          <w:tcPr>
            <w:tcW w:w="1683" w:type="dxa"/>
            <w:vMerge w:val="continue"/>
            <w:tcBorders>
              <w:top w:val="nil"/>
            </w:tcBorders>
            <w:vAlign w:val="top"/>
          </w:tcPr>
          <w:p>
            <w:pPr>
              <w:rPr>
                <w:rFonts w:ascii="Arial"/>
                <w:sz w:val="21"/>
              </w:rPr>
            </w:pPr>
          </w:p>
        </w:tc>
        <w:tc>
          <w:tcPr>
            <w:tcW w:w="908" w:type="dxa"/>
            <w:vMerge w:val="continue"/>
            <w:tcBorders>
              <w:top w:val="nil"/>
            </w:tcBorders>
            <w:vAlign w:val="top"/>
          </w:tcPr>
          <w:p>
            <w:pPr>
              <w:rPr>
                <w:rFonts w:ascii="Arial"/>
                <w:sz w:val="21"/>
              </w:rPr>
            </w:pPr>
          </w:p>
        </w:tc>
        <w:tc>
          <w:tcPr>
            <w:tcW w:w="1592" w:type="dxa"/>
            <w:vAlign w:val="top"/>
          </w:tcPr>
          <w:p>
            <w:pPr>
              <w:pStyle w:val="28"/>
              <w:spacing w:before="207" w:line="220" w:lineRule="auto"/>
              <w:ind w:left="468"/>
              <w:rPr>
                <w:sz w:val="22"/>
                <w:szCs w:val="22"/>
              </w:rPr>
            </w:pPr>
            <w:r>
              <w:rPr>
                <w:spacing w:val="-2"/>
                <w:sz w:val="22"/>
                <w:szCs w:val="22"/>
              </w:rPr>
              <w:t>城关兽医站</w:t>
            </w:r>
          </w:p>
        </w:tc>
        <w:tc>
          <w:tcPr>
            <w:tcW w:w="521" w:type="dxa"/>
            <w:vAlign w:val="top"/>
          </w:tcPr>
          <w:p>
            <w:pPr>
              <w:pStyle w:val="28"/>
              <w:spacing w:before="207" w:line="242" w:lineRule="auto"/>
              <w:ind w:left="284"/>
              <w:rPr>
                <w:sz w:val="22"/>
                <w:szCs w:val="22"/>
              </w:rPr>
            </w:pPr>
            <w:r>
              <w:rPr>
                <w:sz w:val="22"/>
                <w:szCs w:val="22"/>
              </w:rPr>
              <w:t>2</w:t>
            </w:r>
          </w:p>
        </w:tc>
        <w:tc>
          <w:tcPr>
            <w:tcW w:w="578" w:type="dxa"/>
            <w:vAlign w:val="top"/>
          </w:tcPr>
          <w:p>
            <w:pPr>
              <w:pStyle w:val="28"/>
              <w:spacing w:before="208"/>
              <w:ind w:left="320"/>
              <w:rPr>
                <w:sz w:val="22"/>
                <w:szCs w:val="22"/>
              </w:rPr>
            </w:pPr>
            <w:r>
              <w:rPr>
                <w:sz w:val="22"/>
                <w:szCs w:val="22"/>
              </w:rPr>
              <w:t>0</w:t>
            </w:r>
          </w:p>
        </w:tc>
        <w:tc>
          <w:tcPr>
            <w:tcW w:w="826" w:type="dxa"/>
            <w:vAlign w:val="top"/>
          </w:tcPr>
          <w:p>
            <w:pPr>
              <w:pStyle w:val="28"/>
              <w:spacing w:before="207"/>
              <w:ind w:left="204"/>
              <w:rPr>
                <w:sz w:val="22"/>
                <w:szCs w:val="22"/>
              </w:rPr>
            </w:pPr>
            <w:r>
              <w:rPr>
                <w:spacing w:val="-2"/>
                <w:sz w:val="22"/>
                <w:szCs w:val="22"/>
              </w:rPr>
              <w:t>658.84</w:t>
            </w:r>
          </w:p>
        </w:tc>
        <w:tc>
          <w:tcPr>
            <w:tcW w:w="732" w:type="dxa"/>
            <w:vAlign w:val="top"/>
          </w:tcPr>
          <w:p>
            <w:pPr>
              <w:pStyle w:val="28"/>
              <w:spacing w:before="208"/>
              <w:ind w:left="419"/>
              <w:rPr>
                <w:sz w:val="22"/>
                <w:szCs w:val="22"/>
              </w:rPr>
            </w:pPr>
            <w:r>
              <w:rPr>
                <w:sz w:val="22"/>
                <w:szCs w:val="22"/>
              </w:rPr>
              <w:t>0</w:t>
            </w:r>
          </w:p>
        </w:tc>
        <w:tc>
          <w:tcPr>
            <w:tcW w:w="732" w:type="dxa"/>
            <w:vAlign w:val="top"/>
          </w:tcPr>
          <w:p>
            <w:pPr>
              <w:pStyle w:val="28"/>
              <w:spacing w:before="208"/>
              <w:ind w:left="418"/>
              <w:rPr>
                <w:sz w:val="22"/>
                <w:szCs w:val="22"/>
              </w:rPr>
            </w:pPr>
            <w:r>
              <w:rPr>
                <w:sz w:val="22"/>
                <w:szCs w:val="22"/>
              </w:rPr>
              <w:t>6</w:t>
            </w:r>
          </w:p>
        </w:tc>
        <w:tc>
          <w:tcPr>
            <w:tcW w:w="1794" w:type="dxa"/>
            <w:vAlign w:val="top"/>
          </w:tcPr>
          <w:p>
            <w:pPr>
              <w:pStyle w:val="28"/>
              <w:spacing w:before="51" w:line="238"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6" w:hRule="atLeast"/>
        </w:trPr>
        <w:tc>
          <w:tcPr>
            <w:tcW w:w="570" w:type="dxa"/>
            <w:vAlign w:val="top"/>
          </w:tcPr>
          <w:p>
            <w:pPr>
              <w:pStyle w:val="28"/>
              <w:spacing w:before="207"/>
              <w:ind w:left="262"/>
              <w:rPr>
                <w:sz w:val="22"/>
                <w:szCs w:val="22"/>
              </w:rPr>
            </w:pPr>
            <w:r>
              <w:rPr>
                <w:spacing w:val="-7"/>
                <w:sz w:val="22"/>
                <w:szCs w:val="22"/>
              </w:rPr>
              <w:t>38</w:t>
            </w:r>
          </w:p>
        </w:tc>
        <w:tc>
          <w:tcPr>
            <w:tcW w:w="1683" w:type="dxa"/>
            <w:vAlign w:val="top"/>
          </w:tcPr>
          <w:p>
            <w:pPr>
              <w:pStyle w:val="28"/>
              <w:spacing w:before="51" w:line="238" w:lineRule="auto"/>
              <w:ind w:left="633" w:right="186" w:hanging="428"/>
              <w:rPr>
                <w:sz w:val="22"/>
                <w:szCs w:val="22"/>
              </w:rPr>
            </w:pPr>
            <w:r>
              <w:rPr>
                <w:spacing w:val="-3"/>
                <w:sz w:val="22"/>
                <w:szCs w:val="22"/>
              </w:rPr>
              <w:t>富县环境卫生管理站办公楼</w:t>
            </w:r>
          </w:p>
        </w:tc>
        <w:tc>
          <w:tcPr>
            <w:tcW w:w="908" w:type="dxa"/>
            <w:vAlign w:val="top"/>
          </w:tcPr>
          <w:p>
            <w:pPr>
              <w:pStyle w:val="28"/>
              <w:spacing w:before="207"/>
              <w:ind w:left="378"/>
              <w:rPr>
                <w:sz w:val="22"/>
                <w:szCs w:val="22"/>
              </w:rPr>
            </w:pPr>
            <w:r>
              <w:rPr>
                <w:spacing w:val="-6"/>
                <w:sz w:val="22"/>
                <w:szCs w:val="22"/>
              </w:rPr>
              <w:t>1450</w:t>
            </w:r>
          </w:p>
        </w:tc>
        <w:tc>
          <w:tcPr>
            <w:tcW w:w="1592" w:type="dxa"/>
            <w:vAlign w:val="top"/>
          </w:tcPr>
          <w:p>
            <w:pPr>
              <w:pStyle w:val="28"/>
              <w:spacing w:before="51" w:line="238" w:lineRule="auto"/>
              <w:ind w:left="576" w:right="126" w:hanging="428"/>
              <w:rPr>
                <w:sz w:val="22"/>
                <w:szCs w:val="22"/>
              </w:rPr>
            </w:pPr>
            <w:r>
              <w:rPr>
                <w:spacing w:val="-3"/>
                <w:sz w:val="22"/>
                <w:szCs w:val="22"/>
              </w:rPr>
              <w:t>富县环境卫生管理站办公楼</w:t>
            </w:r>
          </w:p>
        </w:tc>
        <w:tc>
          <w:tcPr>
            <w:tcW w:w="521" w:type="dxa"/>
            <w:vAlign w:val="top"/>
          </w:tcPr>
          <w:p>
            <w:pPr>
              <w:pStyle w:val="28"/>
              <w:spacing w:before="207" w:line="242" w:lineRule="auto"/>
              <w:ind w:left="281"/>
              <w:rPr>
                <w:sz w:val="22"/>
                <w:szCs w:val="22"/>
              </w:rPr>
            </w:pPr>
            <w:r>
              <w:rPr>
                <w:sz w:val="22"/>
                <w:szCs w:val="22"/>
              </w:rPr>
              <w:t>4</w:t>
            </w:r>
          </w:p>
        </w:tc>
        <w:tc>
          <w:tcPr>
            <w:tcW w:w="578" w:type="dxa"/>
            <w:vAlign w:val="top"/>
          </w:tcPr>
          <w:p>
            <w:pPr>
              <w:pStyle w:val="28"/>
              <w:spacing w:before="207" w:line="242" w:lineRule="auto"/>
              <w:ind w:left="334"/>
              <w:rPr>
                <w:sz w:val="22"/>
                <w:szCs w:val="22"/>
              </w:rPr>
            </w:pPr>
            <w:r>
              <w:rPr>
                <w:sz w:val="22"/>
                <w:szCs w:val="22"/>
              </w:rPr>
              <w:t>1</w:t>
            </w:r>
          </w:p>
        </w:tc>
        <w:tc>
          <w:tcPr>
            <w:tcW w:w="826" w:type="dxa"/>
            <w:vAlign w:val="top"/>
          </w:tcPr>
          <w:p>
            <w:pPr>
              <w:pStyle w:val="28"/>
              <w:spacing w:before="207"/>
              <w:ind w:left="329"/>
              <w:rPr>
                <w:sz w:val="22"/>
                <w:szCs w:val="22"/>
              </w:rPr>
            </w:pPr>
            <w:r>
              <w:rPr>
                <w:spacing w:val="-6"/>
                <w:sz w:val="22"/>
                <w:szCs w:val="22"/>
              </w:rPr>
              <w:t>1160</w:t>
            </w:r>
          </w:p>
        </w:tc>
        <w:tc>
          <w:tcPr>
            <w:tcW w:w="732" w:type="dxa"/>
            <w:vAlign w:val="top"/>
          </w:tcPr>
          <w:p>
            <w:pPr>
              <w:pStyle w:val="28"/>
              <w:spacing w:before="207"/>
              <w:ind w:left="309"/>
              <w:rPr>
                <w:sz w:val="22"/>
                <w:szCs w:val="22"/>
              </w:rPr>
            </w:pPr>
            <w:r>
              <w:rPr>
                <w:spacing w:val="-4"/>
                <w:sz w:val="22"/>
                <w:szCs w:val="22"/>
              </w:rPr>
              <w:t>290</w:t>
            </w:r>
          </w:p>
        </w:tc>
        <w:tc>
          <w:tcPr>
            <w:tcW w:w="732" w:type="dxa"/>
            <w:vAlign w:val="top"/>
          </w:tcPr>
          <w:p>
            <w:pPr>
              <w:pStyle w:val="28"/>
              <w:spacing w:before="207"/>
              <w:ind w:left="377"/>
              <w:rPr>
                <w:sz w:val="22"/>
                <w:szCs w:val="22"/>
              </w:rPr>
            </w:pPr>
            <w:r>
              <w:rPr>
                <w:spacing w:val="-13"/>
                <w:sz w:val="22"/>
                <w:szCs w:val="22"/>
              </w:rPr>
              <w:t>15</w:t>
            </w:r>
          </w:p>
        </w:tc>
        <w:tc>
          <w:tcPr>
            <w:tcW w:w="1794" w:type="dxa"/>
            <w:vAlign w:val="top"/>
          </w:tcPr>
          <w:p>
            <w:pPr>
              <w:pStyle w:val="28"/>
              <w:spacing w:before="51" w:line="238" w:lineRule="auto"/>
              <w:ind w:left="117" w:right="103" w:firstLine="1"/>
              <w:rPr>
                <w:sz w:val="22"/>
                <w:szCs w:val="22"/>
              </w:rPr>
            </w:pPr>
            <w:r>
              <w:rPr>
                <w:spacing w:val="7"/>
                <w:sz w:val="22"/>
                <w:szCs w:val="22"/>
              </w:rPr>
              <w:t>消防应急照明及疏散</w:t>
            </w:r>
            <w:r>
              <w:rPr>
                <w:spacing w:val="-2"/>
                <w:sz w:val="22"/>
                <w:szCs w:val="22"/>
              </w:rPr>
              <w:t>指示系统、灭火器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570" w:type="dxa"/>
            <w:vAlign w:val="top"/>
          </w:tcPr>
          <w:p>
            <w:pPr>
              <w:pStyle w:val="28"/>
              <w:spacing w:before="207"/>
              <w:ind w:left="262"/>
              <w:rPr>
                <w:sz w:val="22"/>
                <w:szCs w:val="22"/>
              </w:rPr>
            </w:pPr>
            <w:r>
              <w:rPr>
                <w:spacing w:val="-7"/>
                <w:sz w:val="22"/>
                <w:szCs w:val="22"/>
              </w:rPr>
              <w:t>39</w:t>
            </w:r>
          </w:p>
        </w:tc>
        <w:tc>
          <w:tcPr>
            <w:tcW w:w="1683" w:type="dxa"/>
            <w:vAlign w:val="top"/>
          </w:tcPr>
          <w:p>
            <w:pPr>
              <w:pStyle w:val="28"/>
              <w:spacing w:before="51" w:line="239" w:lineRule="auto"/>
              <w:ind w:left="304" w:right="186" w:hanging="99"/>
              <w:rPr>
                <w:sz w:val="22"/>
                <w:szCs w:val="22"/>
              </w:rPr>
            </w:pPr>
            <w:r>
              <w:rPr>
                <w:spacing w:val="-3"/>
                <w:sz w:val="22"/>
                <w:szCs w:val="22"/>
              </w:rPr>
              <w:t>富县农业综合开发</w:t>
            </w:r>
            <w:r>
              <w:rPr>
                <w:spacing w:val="-2"/>
                <w:sz w:val="22"/>
                <w:szCs w:val="22"/>
              </w:rPr>
              <w:t>领导小组办公室</w:t>
            </w:r>
          </w:p>
        </w:tc>
        <w:tc>
          <w:tcPr>
            <w:tcW w:w="908" w:type="dxa"/>
            <w:vAlign w:val="top"/>
          </w:tcPr>
          <w:p>
            <w:pPr>
              <w:pStyle w:val="28"/>
              <w:spacing w:before="206"/>
              <w:ind w:left="309"/>
              <w:rPr>
                <w:sz w:val="22"/>
                <w:szCs w:val="22"/>
              </w:rPr>
            </w:pPr>
            <w:r>
              <w:rPr>
                <w:spacing w:val="-2"/>
                <w:sz w:val="22"/>
                <w:szCs w:val="22"/>
              </w:rPr>
              <w:t>285.9</w:t>
            </w:r>
          </w:p>
        </w:tc>
        <w:tc>
          <w:tcPr>
            <w:tcW w:w="1592" w:type="dxa"/>
            <w:vAlign w:val="top"/>
          </w:tcPr>
          <w:p>
            <w:pPr>
              <w:pStyle w:val="28"/>
              <w:spacing w:before="206" w:line="221" w:lineRule="auto"/>
              <w:ind w:left="909"/>
              <w:rPr>
                <w:sz w:val="22"/>
                <w:szCs w:val="22"/>
              </w:rPr>
            </w:pPr>
            <w:r>
              <w:rPr>
                <w:sz w:val="22"/>
                <w:szCs w:val="22"/>
              </w:rPr>
              <w:t>无</w:t>
            </w:r>
          </w:p>
        </w:tc>
        <w:tc>
          <w:tcPr>
            <w:tcW w:w="521" w:type="dxa"/>
            <w:vAlign w:val="top"/>
          </w:tcPr>
          <w:p>
            <w:pPr>
              <w:pStyle w:val="28"/>
              <w:spacing w:before="207"/>
              <w:ind w:left="286"/>
              <w:rPr>
                <w:sz w:val="22"/>
                <w:szCs w:val="22"/>
              </w:rPr>
            </w:pPr>
            <w:r>
              <w:rPr>
                <w:sz w:val="22"/>
                <w:szCs w:val="22"/>
              </w:rPr>
              <w:t>3</w:t>
            </w:r>
          </w:p>
        </w:tc>
        <w:tc>
          <w:tcPr>
            <w:tcW w:w="578" w:type="dxa"/>
            <w:vAlign w:val="top"/>
          </w:tcPr>
          <w:p>
            <w:pPr>
              <w:pStyle w:val="28"/>
              <w:spacing w:before="207"/>
              <w:ind w:left="320"/>
              <w:rPr>
                <w:sz w:val="22"/>
                <w:szCs w:val="22"/>
              </w:rPr>
            </w:pPr>
            <w:r>
              <w:rPr>
                <w:sz w:val="22"/>
                <w:szCs w:val="22"/>
              </w:rPr>
              <w:t>0</w:t>
            </w:r>
          </w:p>
        </w:tc>
        <w:tc>
          <w:tcPr>
            <w:tcW w:w="826" w:type="dxa"/>
            <w:vAlign w:val="top"/>
          </w:tcPr>
          <w:p>
            <w:pPr>
              <w:pStyle w:val="28"/>
              <w:spacing w:before="206"/>
              <w:ind w:left="260"/>
              <w:rPr>
                <w:sz w:val="22"/>
                <w:szCs w:val="22"/>
              </w:rPr>
            </w:pPr>
            <w:r>
              <w:rPr>
                <w:spacing w:val="-2"/>
                <w:sz w:val="22"/>
                <w:szCs w:val="22"/>
              </w:rPr>
              <w:t>285.9</w:t>
            </w:r>
          </w:p>
        </w:tc>
        <w:tc>
          <w:tcPr>
            <w:tcW w:w="732" w:type="dxa"/>
            <w:vAlign w:val="top"/>
          </w:tcPr>
          <w:p>
            <w:pPr>
              <w:pStyle w:val="28"/>
              <w:spacing w:before="207"/>
              <w:ind w:left="419"/>
              <w:rPr>
                <w:sz w:val="22"/>
                <w:szCs w:val="22"/>
              </w:rPr>
            </w:pPr>
            <w:r>
              <w:rPr>
                <w:sz w:val="22"/>
                <w:szCs w:val="22"/>
              </w:rPr>
              <w:t>0</w:t>
            </w:r>
          </w:p>
        </w:tc>
        <w:tc>
          <w:tcPr>
            <w:tcW w:w="732" w:type="dxa"/>
            <w:vAlign w:val="top"/>
          </w:tcPr>
          <w:p>
            <w:pPr>
              <w:pStyle w:val="28"/>
              <w:spacing w:before="207"/>
              <w:ind w:left="417"/>
              <w:rPr>
                <w:sz w:val="22"/>
                <w:szCs w:val="22"/>
              </w:rPr>
            </w:pPr>
            <w:r>
              <w:rPr>
                <w:sz w:val="22"/>
                <w:szCs w:val="22"/>
              </w:rPr>
              <w:t>9</w:t>
            </w:r>
          </w:p>
        </w:tc>
        <w:tc>
          <w:tcPr>
            <w:tcW w:w="1794" w:type="dxa"/>
            <w:vAlign w:val="top"/>
          </w:tcPr>
          <w:p>
            <w:pPr>
              <w:pStyle w:val="28"/>
              <w:spacing w:before="51" w:line="239" w:lineRule="auto"/>
              <w:ind w:left="117" w:right="103" w:firstLine="1"/>
              <w:rPr>
                <w:sz w:val="22"/>
                <w:szCs w:val="22"/>
              </w:rPr>
            </w:pPr>
            <w:r>
              <w:rPr>
                <w:spacing w:val="7"/>
                <w:sz w:val="22"/>
                <w:szCs w:val="22"/>
              </w:rPr>
              <w:t>消防应急照明及疏散</w:t>
            </w:r>
            <w:r>
              <w:rPr>
                <w:spacing w:val="-2"/>
                <w:sz w:val="22"/>
                <w:szCs w:val="22"/>
              </w:rPr>
              <w:t>指示系统、灭火器</w:t>
            </w:r>
          </w:p>
        </w:tc>
      </w:tr>
    </w:tbl>
    <w:p>
      <w:pPr>
        <w:pStyle w:val="7"/>
      </w:pPr>
    </w:p>
    <w:p>
      <w:pPr>
        <w:sectPr>
          <w:footerReference r:id="rId13" w:type="default"/>
          <w:pgSz w:w="11906" w:h="16839"/>
          <w:pgMar w:top="937" w:right="1152" w:bottom="936" w:left="1012" w:header="0" w:footer="987" w:gutter="0"/>
          <w:cols w:space="720" w:num="1"/>
        </w:sectPr>
      </w:pPr>
    </w:p>
    <w:p>
      <w:pPr>
        <w:spacing w:before="21"/>
      </w:pPr>
    </w:p>
    <w:p>
      <w:pPr>
        <w:spacing w:before="21"/>
      </w:pPr>
    </w:p>
    <w:p>
      <w:pPr>
        <w:spacing w:before="21"/>
      </w:pPr>
    </w:p>
    <w:tbl>
      <w:tblPr>
        <w:tblStyle w:val="27"/>
        <w:tblW w:w="91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7"/>
        <w:gridCol w:w="1527"/>
        <w:gridCol w:w="824"/>
        <w:gridCol w:w="1444"/>
        <w:gridCol w:w="472"/>
        <w:gridCol w:w="525"/>
        <w:gridCol w:w="750"/>
        <w:gridCol w:w="664"/>
        <w:gridCol w:w="664"/>
        <w:gridCol w:w="177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0" w:hRule="atLeast"/>
        </w:trPr>
        <w:tc>
          <w:tcPr>
            <w:tcW w:w="517" w:type="dxa"/>
            <w:vAlign w:val="top"/>
          </w:tcPr>
          <w:p>
            <w:pPr>
              <w:spacing w:line="445" w:lineRule="auto"/>
              <w:rPr>
                <w:rFonts w:ascii="Arial"/>
                <w:sz w:val="21"/>
              </w:rPr>
            </w:pPr>
          </w:p>
          <w:p>
            <w:pPr>
              <w:pStyle w:val="28"/>
              <w:spacing w:before="71"/>
              <w:ind w:left="256"/>
              <w:rPr>
                <w:sz w:val="22"/>
                <w:szCs w:val="22"/>
              </w:rPr>
            </w:pPr>
            <w:r>
              <w:rPr>
                <w:spacing w:val="-4"/>
                <w:sz w:val="22"/>
                <w:szCs w:val="22"/>
              </w:rPr>
              <w:t>40</w:t>
            </w:r>
          </w:p>
        </w:tc>
        <w:tc>
          <w:tcPr>
            <w:tcW w:w="1527" w:type="dxa"/>
            <w:vAlign w:val="top"/>
          </w:tcPr>
          <w:p>
            <w:pPr>
              <w:spacing w:line="444" w:lineRule="auto"/>
              <w:rPr>
                <w:rFonts w:ascii="Arial"/>
                <w:sz w:val="21"/>
              </w:rPr>
            </w:pPr>
          </w:p>
          <w:p>
            <w:pPr>
              <w:pStyle w:val="28"/>
              <w:spacing w:before="72" w:line="220" w:lineRule="auto"/>
              <w:rPr>
                <w:sz w:val="22"/>
                <w:szCs w:val="22"/>
              </w:rPr>
            </w:pPr>
            <w:r>
              <w:rPr>
                <w:spacing w:val="-2"/>
                <w:sz w:val="22"/>
                <w:szCs w:val="22"/>
              </w:rPr>
              <w:t>消防队综合楼</w:t>
            </w:r>
          </w:p>
        </w:tc>
        <w:tc>
          <w:tcPr>
            <w:tcW w:w="824" w:type="dxa"/>
            <w:vAlign w:val="top"/>
          </w:tcPr>
          <w:p>
            <w:pPr>
              <w:spacing w:line="445" w:lineRule="auto"/>
              <w:rPr>
                <w:rFonts w:ascii="Arial"/>
                <w:sz w:val="21"/>
              </w:rPr>
            </w:pPr>
          </w:p>
          <w:p>
            <w:pPr>
              <w:pStyle w:val="28"/>
              <w:spacing w:before="71"/>
              <w:ind w:left="378"/>
              <w:rPr>
                <w:sz w:val="22"/>
                <w:szCs w:val="22"/>
              </w:rPr>
            </w:pPr>
            <w:r>
              <w:rPr>
                <w:spacing w:val="-6"/>
                <w:sz w:val="22"/>
                <w:szCs w:val="22"/>
              </w:rPr>
              <w:t>1800</w:t>
            </w:r>
          </w:p>
        </w:tc>
        <w:tc>
          <w:tcPr>
            <w:tcW w:w="1444" w:type="dxa"/>
            <w:vAlign w:val="top"/>
          </w:tcPr>
          <w:p>
            <w:pPr>
              <w:spacing w:line="444" w:lineRule="auto"/>
              <w:rPr>
                <w:rFonts w:ascii="Arial"/>
                <w:sz w:val="21"/>
              </w:rPr>
            </w:pPr>
          </w:p>
          <w:p>
            <w:pPr>
              <w:pStyle w:val="28"/>
              <w:spacing w:before="72" w:line="220" w:lineRule="auto"/>
              <w:ind w:left="362"/>
              <w:rPr>
                <w:sz w:val="22"/>
                <w:szCs w:val="22"/>
              </w:rPr>
            </w:pPr>
            <w:r>
              <w:rPr>
                <w:spacing w:val="-2"/>
                <w:sz w:val="22"/>
                <w:szCs w:val="22"/>
              </w:rPr>
              <w:t>消防队综合楼</w:t>
            </w:r>
          </w:p>
        </w:tc>
        <w:tc>
          <w:tcPr>
            <w:tcW w:w="472" w:type="dxa"/>
            <w:vAlign w:val="top"/>
          </w:tcPr>
          <w:p>
            <w:pPr>
              <w:spacing w:line="445" w:lineRule="auto"/>
              <w:rPr>
                <w:rFonts w:ascii="Arial"/>
                <w:sz w:val="21"/>
              </w:rPr>
            </w:pPr>
          </w:p>
          <w:p>
            <w:pPr>
              <w:pStyle w:val="28"/>
              <w:spacing w:before="71"/>
              <w:ind w:left="286"/>
              <w:rPr>
                <w:sz w:val="22"/>
                <w:szCs w:val="22"/>
              </w:rPr>
            </w:pPr>
            <w:r>
              <w:rPr>
                <w:sz w:val="22"/>
                <w:szCs w:val="22"/>
              </w:rPr>
              <w:t>3</w:t>
            </w:r>
          </w:p>
        </w:tc>
        <w:tc>
          <w:tcPr>
            <w:tcW w:w="525" w:type="dxa"/>
            <w:vAlign w:val="top"/>
          </w:tcPr>
          <w:p>
            <w:pPr>
              <w:spacing w:line="445" w:lineRule="auto"/>
              <w:rPr>
                <w:rFonts w:ascii="Arial"/>
                <w:sz w:val="21"/>
              </w:rPr>
            </w:pPr>
          </w:p>
          <w:p>
            <w:pPr>
              <w:pStyle w:val="28"/>
              <w:spacing w:before="71"/>
              <w:ind w:left="320"/>
              <w:rPr>
                <w:sz w:val="22"/>
                <w:szCs w:val="22"/>
              </w:rPr>
            </w:pPr>
            <w:r>
              <w:rPr>
                <w:sz w:val="22"/>
                <w:szCs w:val="22"/>
              </w:rPr>
              <w:t>0</w:t>
            </w:r>
          </w:p>
        </w:tc>
        <w:tc>
          <w:tcPr>
            <w:tcW w:w="750" w:type="dxa"/>
            <w:vAlign w:val="top"/>
          </w:tcPr>
          <w:p>
            <w:pPr>
              <w:spacing w:line="445" w:lineRule="auto"/>
              <w:rPr>
                <w:rFonts w:ascii="Arial"/>
                <w:sz w:val="21"/>
              </w:rPr>
            </w:pPr>
          </w:p>
          <w:p>
            <w:pPr>
              <w:pStyle w:val="28"/>
              <w:spacing w:before="71"/>
              <w:ind w:left="329"/>
              <w:rPr>
                <w:sz w:val="22"/>
                <w:szCs w:val="22"/>
              </w:rPr>
            </w:pPr>
            <w:r>
              <w:rPr>
                <w:spacing w:val="-6"/>
                <w:sz w:val="22"/>
                <w:szCs w:val="22"/>
              </w:rPr>
              <w:t>1800</w:t>
            </w:r>
          </w:p>
        </w:tc>
        <w:tc>
          <w:tcPr>
            <w:tcW w:w="664" w:type="dxa"/>
            <w:vAlign w:val="top"/>
          </w:tcPr>
          <w:p>
            <w:pPr>
              <w:spacing w:line="445" w:lineRule="auto"/>
              <w:rPr>
                <w:rFonts w:ascii="Arial"/>
                <w:sz w:val="21"/>
              </w:rPr>
            </w:pPr>
          </w:p>
          <w:p>
            <w:pPr>
              <w:pStyle w:val="28"/>
              <w:spacing w:before="71"/>
              <w:ind w:left="419"/>
              <w:rPr>
                <w:sz w:val="22"/>
                <w:szCs w:val="22"/>
              </w:rPr>
            </w:pPr>
            <w:r>
              <w:rPr>
                <w:sz w:val="22"/>
                <w:szCs w:val="22"/>
              </w:rPr>
              <w:t>0</w:t>
            </w:r>
          </w:p>
        </w:tc>
        <w:tc>
          <w:tcPr>
            <w:tcW w:w="664" w:type="dxa"/>
            <w:vAlign w:val="top"/>
          </w:tcPr>
          <w:p>
            <w:pPr>
              <w:spacing w:line="445" w:lineRule="auto"/>
              <w:rPr>
                <w:rFonts w:ascii="Arial"/>
                <w:sz w:val="21"/>
              </w:rPr>
            </w:pPr>
          </w:p>
          <w:p>
            <w:pPr>
              <w:pStyle w:val="28"/>
              <w:spacing w:before="71"/>
              <w:ind w:left="417"/>
              <w:rPr>
                <w:sz w:val="22"/>
                <w:szCs w:val="22"/>
              </w:rPr>
            </w:pPr>
            <w:r>
              <w:rPr>
                <w:sz w:val="22"/>
                <w:szCs w:val="22"/>
              </w:rPr>
              <w:t>9</w:t>
            </w:r>
          </w:p>
        </w:tc>
        <w:tc>
          <w:tcPr>
            <w:tcW w:w="1770" w:type="dxa"/>
            <w:vAlign w:val="top"/>
          </w:tcPr>
          <w:p>
            <w:pPr>
              <w:pStyle w:val="28"/>
              <w:spacing w:before="50" w:line="251" w:lineRule="auto"/>
              <w:ind w:left="116" w:right="103" w:firstLine="2"/>
              <w:rPr>
                <w:sz w:val="22"/>
                <w:szCs w:val="22"/>
              </w:rPr>
            </w:pPr>
            <w:r>
              <w:rPr>
                <w:spacing w:val="7"/>
                <w:sz w:val="22"/>
                <w:szCs w:val="22"/>
              </w:rPr>
              <w:t>消防应急照明及疏散</w:t>
            </w:r>
            <w:r>
              <w:rPr>
                <w:spacing w:val="8"/>
                <w:sz w:val="22"/>
                <w:szCs w:val="22"/>
              </w:rPr>
              <w:t>指示系统、（室内消火栓、消防泵房）、</w:t>
            </w:r>
            <w:r>
              <w:rPr>
                <w:spacing w:val="-3"/>
                <w:sz w:val="22"/>
                <w:szCs w:val="22"/>
              </w:rPr>
              <w:t>灭火器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3" w:hRule="atLeast"/>
        </w:trPr>
        <w:tc>
          <w:tcPr>
            <w:tcW w:w="517" w:type="dxa"/>
            <w:vAlign w:val="top"/>
          </w:tcPr>
          <w:p>
            <w:pPr>
              <w:pStyle w:val="28"/>
              <w:spacing w:before="202" w:line="242" w:lineRule="auto"/>
              <w:ind w:left="256"/>
              <w:rPr>
                <w:sz w:val="22"/>
                <w:szCs w:val="22"/>
              </w:rPr>
            </w:pPr>
            <w:r>
              <w:rPr>
                <w:spacing w:val="-4"/>
                <w:sz w:val="22"/>
                <w:szCs w:val="22"/>
              </w:rPr>
              <w:t>41</w:t>
            </w:r>
          </w:p>
        </w:tc>
        <w:tc>
          <w:tcPr>
            <w:tcW w:w="1527" w:type="dxa"/>
            <w:vAlign w:val="top"/>
          </w:tcPr>
          <w:p>
            <w:pPr>
              <w:pStyle w:val="28"/>
              <w:spacing w:before="202" w:line="220" w:lineRule="auto"/>
              <w:rPr>
                <w:sz w:val="22"/>
                <w:szCs w:val="22"/>
              </w:rPr>
            </w:pPr>
            <w:r>
              <w:rPr>
                <w:spacing w:val="-4"/>
                <w:sz w:val="22"/>
                <w:szCs w:val="22"/>
              </w:rPr>
              <w:t>富县车管所</w:t>
            </w:r>
          </w:p>
        </w:tc>
        <w:tc>
          <w:tcPr>
            <w:tcW w:w="824" w:type="dxa"/>
            <w:vAlign w:val="top"/>
          </w:tcPr>
          <w:p>
            <w:pPr>
              <w:pStyle w:val="28"/>
              <w:spacing w:before="202"/>
              <w:ind w:left="378"/>
              <w:rPr>
                <w:sz w:val="22"/>
                <w:szCs w:val="22"/>
              </w:rPr>
            </w:pPr>
            <w:r>
              <w:rPr>
                <w:spacing w:val="-6"/>
                <w:sz w:val="22"/>
                <w:szCs w:val="22"/>
              </w:rPr>
              <w:t>1300</w:t>
            </w:r>
          </w:p>
        </w:tc>
        <w:tc>
          <w:tcPr>
            <w:tcW w:w="1444" w:type="dxa"/>
            <w:vAlign w:val="top"/>
          </w:tcPr>
          <w:p>
            <w:pPr>
              <w:pStyle w:val="28"/>
              <w:spacing w:before="202" w:line="220" w:lineRule="auto"/>
              <w:ind w:left="688"/>
              <w:rPr>
                <w:sz w:val="22"/>
                <w:szCs w:val="22"/>
              </w:rPr>
            </w:pPr>
            <w:r>
              <w:rPr>
                <w:spacing w:val="-3"/>
                <w:sz w:val="22"/>
                <w:szCs w:val="22"/>
              </w:rPr>
              <w:t>车管所</w:t>
            </w:r>
          </w:p>
        </w:tc>
        <w:tc>
          <w:tcPr>
            <w:tcW w:w="472" w:type="dxa"/>
            <w:vAlign w:val="top"/>
          </w:tcPr>
          <w:p>
            <w:pPr>
              <w:pStyle w:val="28"/>
              <w:spacing w:before="202" w:line="242" w:lineRule="auto"/>
              <w:ind w:left="281"/>
              <w:rPr>
                <w:sz w:val="22"/>
                <w:szCs w:val="22"/>
              </w:rPr>
            </w:pPr>
            <w:r>
              <w:rPr>
                <w:sz w:val="22"/>
                <w:szCs w:val="22"/>
              </w:rPr>
              <w:t>4</w:t>
            </w:r>
          </w:p>
        </w:tc>
        <w:tc>
          <w:tcPr>
            <w:tcW w:w="525" w:type="dxa"/>
            <w:vAlign w:val="top"/>
          </w:tcPr>
          <w:p>
            <w:pPr>
              <w:pStyle w:val="28"/>
              <w:spacing w:before="202"/>
              <w:ind w:left="320"/>
              <w:rPr>
                <w:sz w:val="22"/>
                <w:szCs w:val="22"/>
              </w:rPr>
            </w:pPr>
            <w:r>
              <w:rPr>
                <w:sz w:val="22"/>
                <w:szCs w:val="22"/>
              </w:rPr>
              <w:t>0</w:t>
            </w:r>
          </w:p>
        </w:tc>
        <w:tc>
          <w:tcPr>
            <w:tcW w:w="750" w:type="dxa"/>
            <w:vAlign w:val="top"/>
          </w:tcPr>
          <w:p>
            <w:pPr>
              <w:pStyle w:val="28"/>
              <w:spacing w:before="202"/>
              <w:ind w:left="329"/>
              <w:rPr>
                <w:sz w:val="22"/>
                <w:szCs w:val="22"/>
              </w:rPr>
            </w:pPr>
            <w:r>
              <w:rPr>
                <w:spacing w:val="-6"/>
                <w:sz w:val="22"/>
                <w:szCs w:val="22"/>
              </w:rPr>
              <w:t>1300</w:t>
            </w:r>
          </w:p>
        </w:tc>
        <w:tc>
          <w:tcPr>
            <w:tcW w:w="664" w:type="dxa"/>
            <w:vAlign w:val="top"/>
          </w:tcPr>
          <w:p>
            <w:pPr>
              <w:pStyle w:val="28"/>
              <w:spacing w:before="202"/>
              <w:ind w:left="419"/>
              <w:rPr>
                <w:sz w:val="22"/>
                <w:szCs w:val="22"/>
              </w:rPr>
            </w:pPr>
            <w:r>
              <w:rPr>
                <w:sz w:val="22"/>
                <w:szCs w:val="22"/>
              </w:rPr>
              <w:t>0</w:t>
            </w:r>
          </w:p>
        </w:tc>
        <w:tc>
          <w:tcPr>
            <w:tcW w:w="664" w:type="dxa"/>
            <w:vAlign w:val="top"/>
          </w:tcPr>
          <w:p>
            <w:pPr>
              <w:pStyle w:val="28"/>
              <w:spacing w:before="202" w:line="242" w:lineRule="auto"/>
              <w:ind w:left="377"/>
              <w:rPr>
                <w:sz w:val="22"/>
                <w:szCs w:val="22"/>
              </w:rPr>
            </w:pPr>
            <w:r>
              <w:rPr>
                <w:spacing w:val="-13"/>
                <w:sz w:val="22"/>
                <w:szCs w:val="22"/>
              </w:rPr>
              <w:t>12</w:t>
            </w:r>
          </w:p>
        </w:tc>
        <w:tc>
          <w:tcPr>
            <w:tcW w:w="1770" w:type="dxa"/>
            <w:vAlign w:val="top"/>
          </w:tcPr>
          <w:p>
            <w:pPr>
              <w:pStyle w:val="28"/>
              <w:spacing w:before="45"/>
              <w:ind w:left="117" w:right="103" w:firstLine="1"/>
              <w:rPr>
                <w:sz w:val="22"/>
                <w:szCs w:val="22"/>
              </w:rPr>
            </w:pPr>
            <w:r>
              <w:rPr>
                <w:spacing w:val="7"/>
                <w:sz w:val="22"/>
                <w:szCs w:val="22"/>
              </w:rPr>
              <w:t>消防应急照明及疏散</w:t>
            </w:r>
            <w:r>
              <w:rPr>
                <w:spacing w:val="-2"/>
                <w:sz w:val="22"/>
                <w:szCs w:val="22"/>
              </w:rPr>
              <w:t>指示系统、灭火器</w:t>
            </w:r>
          </w:p>
        </w:tc>
      </w:tr>
    </w:tbl>
    <w:p>
      <w:pPr>
        <w:spacing w:before="29" w:line="218" w:lineRule="auto"/>
        <w:ind w:left="1168"/>
        <w:rPr>
          <w:rFonts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val="0"/>
          <w:color w:val="000000"/>
          <w:sz w:val="24"/>
          <w:szCs w:val="24"/>
          <w:lang w:val="en-US" w:eastAsia="zh-CN"/>
        </w:rPr>
        <w:t xml:space="preserve">  </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r>
        <w:rPr>
          <w:rFonts w:hint="eastAsia" w:asciiTheme="minorEastAsia" w:hAnsiTheme="minorEastAsia" w:eastAsiaTheme="minorEastAsia" w:cstheme="minorEastAsia"/>
          <w:b/>
          <w:bCs/>
          <w:color w:val="auto"/>
          <w:spacing w:val="-2"/>
          <w:sz w:val="24"/>
          <w:szCs w:val="24"/>
        </w:rPr>
        <w:t>注：本采购文件的</w:t>
      </w:r>
      <w:r>
        <w:rPr>
          <w:rFonts w:hint="eastAsia" w:asciiTheme="minorEastAsia" w:hAnsiTheme="minorEastAsia" w:eastAsiaTheme="minorEastAsia" w:cstheme="minorEastAsia"/>
          <w:b/>
          <w:bCs/>
          <w:color w:val="auto"/>
          <w:spacing w:val="-3"/>
          <w:sz w:val="24"/>
          <w:szCs w:val="24"/>
          <w:lang w:val="en-US" w:eastAsia="zh-CN"/>
        </w:rPr>
        <w:t>磋商</w:t>
      </w:r>
      <w:r>
        <w:rPr>
          <w:rFonts w:hint="eastAsia" w:asciiTheme="minorEastAsia" w:hAnsiTheme="minorEastAsia" w:eastAsiaTheme="minorEastAsia" w:cstheme="minorEastAsia"/>
          <w:b/>
          <w:bCs/>
          <w:color w:val="auto"/>
          <w:spacing w:val="-2"/>
          <w:sz w:val="24"/>
          <w:szCs w:val="24"/>
        </w:rPr>
        <w:t>内容及参数要求由采购人提供，</w:t>
      </w:r>
      <w:r>
        <w:rPr>
          <w:rFonts w:hint="eastAsia" w:asciiTheme="minorEastAsia" w:hAnsiTheme="minorEastAsia" w:eastAsiaTheme="minorEastAsia" w:cstheme="minorEastAsia"/>
          <w:b/>
          <w:bCs/>
          <w:color w:val="auto"/>
          <w:spacing w:val="-3"/>
          <w:sz w:val="24"/>
          <w:szCs w:val="24"/>
        </w:rPr>
        <w:t>如有不详，咨询采购人。</w:t>
      </w:r>
    </w:p>
    <w:p>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                                                                                                                                                                                                                  </w:t>
      </w:r>
    </w:p>
    <w:p>
      <w:pPr>
        <w:keepNext w:val="0"/>
        <w:keepLines w:val="0"/>
        <w:pageBreakBefore/>
        <w:widowControl w:val="0"/>
        <w:kinsoku/>
        <w:wordWrap/>
        <w:overflowPunct/>
        <w:topLinePunct w:val="0"/>
        <w:autoSpaceDE/>
        <w:autoSpaceDN/>
        <w:bidi w:val="0"/>
        <w:adjustRightInd/>
        <w:snapToGrid/>
        <w:spacing w:line="360" w:lineRule="auto"/>
        <w:ind w:firstLine="1928" w:firstLineChars="600"/>
        <w:jc w:val="both"/>
        <w:textAlignment w:val="auto"/>
        <w:rPr>
          <w:rFonts w:hint="eastAsia" w:ascii="宋体" w:hAnsi="宋体" w:eastAsia="宋体" w:cs="宋体"/>
          <w:color w:val="000000"/>
          <w:highlight w:val="yellow"/>
        </w:rPr>
      </w:pPr>
      <w:r>
        <w:rPr>
          <w:rFonts w:hint="eastAsia" w:ascii="宋体" w:hAnsi="宋体" w:eastAsia="宋体" w:cs="宋体"/>
          <w:b/>
          <w:color w:val="000000"/>
          <w:sz w:val="32"/>
          <w:szCs w:val="32"/>
        </w:rPr>
        <w:t>第四部分  商务及合同主要条款</w:t>
      </w:r>
    </w:p>
    <w:p>
      <w:pPr>
        <w:snapToGrid w:val="0"/>
        <w:spacing w:line="480" w:lineRule="exact"/>
        <w:ind w:firstLine="460" w:firstLineChars="192"/>
        <w:rPr>
          <w:rFonts w:hint="default" w:ascii="宋体" w:hAnsi="宋体" w:eastAsia="宋体" w:cs="宋体"/>
          <w:color w:val="000000"/>
          <w:sz w:val="24"/>
          <w:szCs w:val="24"/>
          <w:highlight w:val="none"/>
          <w:lang w:val="en-US" w:eastAsia="zh-CN"/>
        </w:rPr>
      </w:pPr>
      <w:bookmarkStart w:id="7" w:name="_Toc457826145"/>
      <w:r>
        <w:rPr>
          <w:rFonts w:hint="eastAsia" w:ascii="宋体" w:hAnsi="宋体" w:eastAsia="宋体" w:cs="宋体"/>
          <w:bCs/>
          <w:color w:val="000000"/>
          <w:sz w:val="24"/>
          <w:szCs w:val="24"/>
        </w:rPr>
        <w:t>甲方：</w:t>
      </w:r>
      <w:r>
        <w:rPr>
          <w:rFonts w:hint="eastAsia" w:ascii="宋体" w:hAnsi="宋体" w:cs="宋体"/>
          <w:bCs/>
          <w:color w:val="000000"/>
          <w:sz w:val="24"/>
          <w:szCs w:val="24"/>
          <w:lang w:val="en-US" w:eastAsia="zh-CN"/>
        </w:rPr>
        <w:t>富县住房和城乡建设局</w:t>
      </w:r>
    </w:p>
    <w:p>
      <w:pPr>
        <w:snapToGrid w:val="0"/>
        <w:spacing w:line="480" w:lineRule="exact"/>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乙方：</w:t>
      </w:r>
    </w:p>
    <w:p>
      <w:pPr>
        <w:snapToGrid w:val="0"/>
        <w:spacing w:line="480" w:lineRule="exact"/>
        <w:ind w:firstLine="460" w:firstLineChars="192"/>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确认方：</w:t>
      </w:r>
      <w:r>
        <w:rPr>
          <w:rFonts w:hint="eastAsia" w:ascii="宋体" w:hAnsi="宋体" w:eastAsia="宋体" w:cs="宋体"/>
          <w:bCs/>
          <w:color w:val="000000"/>
          <w:sz w:val="24"/>
          <w:szCs w:val="24"/>
          <w:lang w:val="en-US" w:eastAsia="zh-CN"/>
        </w:rPr>
        <w:t>富县政府采购管理中心</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cs="宋体"/>
          <w:bCs/>
          <w:color w:val="000000"/>
          <w:sz w:val="24"/>
          <w:szCs w:val="24"/>
          <w:lang w:val="en-US" w:eastAsia="zh-CN"/>
        </w:rPr>
        <w:t>富县住房和城乡建设局</w:t>
      </w:r>
      <w:r>
        <w:rPr>
          <w:rFonts w:hint="eastAsia" w:ascii="宋体" w:hAnsi="宋体" w:eastAsia="宋体" w:cs="宋体"/>
          <w:bCs/>
          <w:color w:val="000000"/>
          <w:sz w:val="24"/>
          <w:szCs w:val="24"/>
        </w:rPr>
        <w:t>（以下简称甲方，按照政府采购程序，采用竞争性</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的方式，选定</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公司（以下简称乙方）为成交供应商。依据国家《</w:t>
      </w:r>
      <w:r>
        <w:rPr>
          <w:rFonts w:hint="eastAsia" w:ascii="宋体" w:hAnsi="宋体" w:eastAsia="宋体" w:cs="宋体"/>
          <w:bCs/>
          <w:color w:val="000000"/>
          <w:sz w:val="24"/>
          <w:szCs w:val="24"/>
          <w:lang w:val="en-US" w:eastAsia="zh-CN"/>
        </w:rPr>
        <w:t>民法典</w:t>
      </w:r>
      <w:r>
        <w:rPr>
          <w:rFonts w:hint="eastAsia" w:ascii="宋体" w:hAnsi="宋体" w:eastAsia="宋体" w:cs="宋体"/>
          <w:bCs/>
          <w:color w:val="000000"/>
          <w:sz w:val="24"/>
          <w:szCs w:val="24"/>
        </w:rPr>
        <w:t>》、《政府采购法》</w:t>
      </w: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及</w:t>
      </w:r>
      <w:r>
        <w:rPr>
          <w:rFonts w:hint="eastAsia" w:ascii="宋体" w:hAnsi="宋体" w:eastAsia="宋体" w:cs="宋体"/>
          <w:bCs/>
          <w:color w:val="000000"/>
          <w:sz w:val="24"/>
          <w:szCs w:val="24"/>
          <w:lang w:eastAsia="zh-CN"/>
        </w:rPr>
        <w:t>磋商</w:t>
      </w:r>
      <w:r>
        <w:rPr>
          <w:rFonts w:hint="eastAsia" w:ascii="宋体" w:hAnsi="宋体" w:eastAsia="宋体" w:cs="宋体"/>
          <w:bCs/>
          <w:color w:val="000000"/>
          <w:sz w:val="24"/>
          <w:szCs w:val="24"/>
        </w:rPr>
        <w:t>文件和乙方的响应文件，经甲、乙双方协商，达成如下合同条款。</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rPr>
        <w:t>一、项目概况</w:t>
      </w:r>
    </w:p>
    <w:p>
      <w:pPr>
        <w:keepNext w:val="0"/>
        <w:keepLines w:val="0"/>
        <w:pageBreakBefore w:val="0"/>
        <w:kinsoku/>
        <w:overflowPunct/>
        <w:topLinePunct w:val="0"/>
        <w:autoSpaceDE/>
        <w:autoSpaceDN/>
        <w:bidi w:val="0"/>
        <w:adjustRightInd/>
        <w:snapToGrid/>
        <w:spacing w:line="360" w:lineRule="auto"/>
        <w:ind w:firstLine="480" w:firstLineChars="200"/>
        <w:jc w:val="left"/>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bCs/>
          <w:color w:val="000000"/>
          <w:sz w:val="24"/>
          <w:szCs w:val="24"/>
          <w:highlight w:val="none"/>
        </w:rPr>
        <w:t>1.项目名称：</w:t>
      </w:r>
      <w:r>
        <w:rPr>
          <w:rFonts w:hint="eastAsia" w:cs="宋体"/>
          <w:i w:val="0"/>
          <w:iCs w:val="0"/>
          <w:caps w:val="0"/>
          <w:color w:val="000000"/>
          <w:spacing w:val="0"/>
          <w:sz w:val="24"/>
          <w:szCs w:val="24"/>
          <w:shd w:val="clear" w:color="auto" w:fill="FFFFFF"/>
          <w:lang w:val="en-US" w:eastAsia="zh-CN"/>
        </w:rPr>
        <w:t>已交楼未进行消防验收项目（检测标段）</w:t>
      </w:r>
    </w:p>
    <w:p>
      <w:pPr>
        <w:snapToGrid w:val="0"/>
        <w:spacing w:line="480" w:lineRule="exact"/>
        <w:ind w:firstLine="460" w:firstLineChars="192"/>
        <w:rPr>
          <w:rFonts w:hint="eastAsia" w:ascii="宋体" w:hAnsi="宋体" w:eastAsia="宋体" w:cs="宋体"/>
          <w:bCs/>
          <w:color w:val="000000"/>
          <w:sz w:val="24"/>
          <w:szCs w:val="24"/>
          <w:highlight w:val="none"/>
          <w:u w:val="none"/>
          <w:lang w:val="en-US"/>
        </w:rPr>
      </w:pPr>
      <w:r>
        <w:rPr>
          <w:rFonts w:hint="eastAsia" w:ascii="宋体" w:hAnsi="宋体" w:eastAsia="宋体" w:cs="宋体"/>
          <w:bCs/>
          <w:color w:val="000000"/>
          <w:sz w:val="24"/>
          <w:szCs w:val="24"/>
          <w:highlight w:val="none"/>
          <w:u w:val="none"/>
        </w:rPr>
        <w:t>2.项目地点：</w:t>
      </w:r>
      <w:r>
        <w:rPr>
          <w:rFonts w:hint="eastAsia" w:ascii="宋体" w:hAnsi="宋体" w:cs="宋体"/>
          <w:bCs/>
          <w:color w:val="000000"/>
          <w:sz w:val="24"/>
          <w:szCs w:val="24"/>
          <w:lang w:val="en-US" w:eastAsia="zh-CN"/>
        </w:rPr>
        <w:t>富县住房和城乡建设局</w:t>
      </w:r>
      <w:r>
        <w:rPr>
          <w:rFonts w:hint="eastAsia" w:ascii="宋体" w:hAnsi="宋体" w:eastAsia="宋体" w:cs="宋体"/>
          <w:bCs/>
          <w:color w:val="000000"/>
          <w:sz w:val="24"/>
          <w:szCs w:val="24"/>
          <w:highlight w:val="none"/>
          <w:u w:val="none"/>
          <w:lang w:val="en-US" w:eastAsia="zh-CN"/>
        </w:rPr>
        <w:t>指定地点</w:t>
      </w:r>
    </w:p>
    <w:p>
      <w:pPr>
        <w:snapToGrid w:val="0"/>
        <w:spacing w:line="480" w:lineRule="exact"/>
        <w:ind w:firstLine="460" w:firstLineChars="192"/>
        <w:rPr>
          <w:rFonts w:hint="default" w:ascii="宋体" w:hAnsi="宋体" w:eastAsia="宋体" w:cs="宋体"/>
          <w:bCs/>
          <w:color w:val="000000"/>
          <w:sz w:val="24"/>
          <w:szCs w:val="24"/>
          <w:highlight w:val="none"/>
          <w:lang w:val="en-US" w:eastAsia="zh-CN"/>
        </w:rPr>
      </w:pPr>
      <w:bookmarkStart w:id="8" w:name="_Toc457826141"/>
      <w:bookmarkStart w:id="9" w:name="_Toc406150412"/>
      <w:r>
        <w:rPr>
          <w:rFonts w:hint="eastAsia" w:ascii="宋体" w:hAnsi="宋体" w:eastAsia="宋体" w:cs="宋体"/>
          <w:bCs/>
          <w:color w:val="000000"/>
          <w:sz w:val="24"/>
          <w:szCs w:val="24"/>
          <w:highlight w:val="none"/>
        </w:rPr>
        <w:t>二、</w:t>
      </w:r>
      <w:bookmarkEnd w:id="8"/>
      <w:bookmarkEnd w:id="9"/>
      <w:bookmarkStart w:id="10" w:name="_Toc406150414"/>
      <w:bookmarkStart w:id="11" w:name="_Toc457826143"/>
      <w:r>
        <w:rPr>
          <w:rFonts w:hint="eastAsia" w:ascii="宋体" w:hAnsi="宋体" w:cs="宋体"/>
          <w:bCs/>
          <w:color w:val="000000"/>
          <w:sz w:val="24"/>
          <w:szCs w:val="24"/>
          <w:highlight w:val="none"/>
          <w:lang w:val="en-US" w:eastAsia="zh-CN"/>
        </w:rPr>
        <w:t>服务期限：</w:t>
      </w:r>
    </w:p>
    <w:p>
      <w:pPr>
        <w:snapToGrid w:val="0"/>
        <w:spacing w:line="480" w:lineRule="exact"/>
        <w:ind w:firstLine="460" w:firstLineChars="192"/>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1.服务期限：自合同签订之日起</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lang w:val="en-US" w:eastAsia="zh-CN"/>
        </w:rPr>
        <w:t>天。</w:t>
      </w:r>
    </w:p>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rPr>
        <w:t>、合同价款</w:t>
      </w:r>
      <w:bookmarkEnd w:id="10"/>
      <w:bookmarkEnd w:id="11"/>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1.合同价款金额：人民币（大写）</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u w:val="single"/>
          <w:lang w:val="en-US" w:eastAsia="zh-CN"/>
        </w:rPr>
        <w:t xml:space="preserve">  </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w:t>
      </w:r>
      <w:r>
        <w:rPr>
          <w:rFonts w:hint="eastAsia" w:ascii="宋体" w:hAnsi="宋体" w:eastAsia="宋体" w:cs="宋体"/>
          <w:bCs/>
          <w:color w:val="000000"/>
          <w:sz w:val="24"/>
          <w:szCs w:val="24"/>
          <w:u w:val="single"/>
        </w:rPr>
        <w:t xml:space="preserve">      </w:t>
      </w:r>
      <w:r>
        <w:rPr>
          <w:rFonts w:hint="eastAsia" w:ascii="宋体" w:hAnsi="宋体" w:eastAsia="宋体" w:cs="宋体"/>
          <w:bCs/>
          <w:color w:val="000000"/>
          <w:sz w:val="24"/>
          <w:szCs w:val="24"/>
        </w:rPr>
        <w:t>元)</w:t>
      </w:r>
      <w:r>
        <w:rPr>
          <w:rFonts w:hint="eastAsia" w:ascii="宋体" w:hAnsi="宋体" w:eastAsia="宋体" w:cs="宋体"/>
          <w:bCs/>
          <w:color w:val="000000"/>
          <w:sz w:val="24"/>
          <w:szCs w:val="24"/>
          <w:lang w:eastAsia="zh-CN"/>
        </w:rPr>
        <w:t>；</w:t>
      </w:r>
    </w:p>
    <w:p>
      <w:pPr>
        <w:snapToGrid w:val="0"/>
        <w:spacing w:line="480" w:lineRule="exact"/>
        <w:ind w:left="420" w:leftChars="200"/>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2.合同价不受市场价格变化因素的影响。</w:t>
      </w:r>
    </w:p>
    <w:p>
      <w:pPr>
        <w:snapToGrid w:val="0"/>
        <w:spacing w:line="480" w:lineRule="exact"/>
        <w:ind w:left="420" w:leftChars="200"/>
        <w:rPr>
          <w:rFonts w:hint="default" w:ascii="宋体" w:hAnsi="宋体" w:eastAsia="宋体" w:cs="宋体"/>
          <w:bCs/>
          <w:color w:val="000000"/>
          <w:sz w:val="24"/>
          <w:szCs w:val="24"/>
          <w:u w:val="single"/>
          <w:lang w:val="en-US" w:eastAsia="zh-CN"/>
        </w:rPr>
      </w:pPr>
      <w:r>
        <w:rPr>
          <w:rFonts w:hint="eastAsia" w:ascii="宋体" w:hAnsi="宋体" w:eastAsia="宋体" w:cs="宋体"/>
          <w:bCs/>
          <w:color w:val="000000"/>
          <w:sz w:val="24"/>
          <w:szCs w:val="24"/>
        </w:rPr>
        <w:t>3.付款方式：</w:t>
      </w:r>
      <w:r>
        <w:rPr>
          <w:rFonts w:hint="eastAsia" w:ascii="宋体" w:hAnsi="宋体" w:cs="宋体"/>
          <w:bCs/>
          <w:color w:val="000000"/>
          <w:sz w:val="24"/>
          <w:szCs w:val="24"/>
          <w:u w:val="single"/>
          <w:lang w:val="en-US" w:eastAsia="zh-CN"/>
        </w:rPr>
        <w:t xml:space="preserve">             。</w:t>
      </w:r>
    </w:p>
    <w:bookmarkEnd w:id="7"/>
    <w:p>
      <w:pPr>
        <w:snapToGrid w:val="0"/>
        <w:spacing w:line="480" w:lineRule="exact"/>
        <w:ind w:firstLine="460" w:firstLineChars="192"/>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四</w:t>
      </w:r>
      <w:r>
        <w:rPr>
          <w:rFonts w:hint="eastAsia" w:ascii="宋体" w:hAnsi="宋体" w:eastAsia="宋体" w:cs="宋体"/>
          <w:bCs/>
          <w:color w:val="000000"/>
          <w:sz w:val="24"/>
          <w:szCs w:val="24"/>
        </w:rPr>
        <w:t>、服务</w:t>
      </w:r>
      <w:r>
        <w:rPr>
          <w:rFonts w:hint="eastAsia" w:ascii="宋体" w:hAnsi="宋体" w:eastAsia="宋体" w:cs="宋体"/>
          <w:bCs/>
          <w:color w:val="000000"/>
          <w:sz w:val="24"/>
          <w:szCs w:val="24"/>
          <w:lang w:val="en-US" w:eastAsia="zh-CN"/>
        </w:rPr>
        <w:t>范围</w:t>
      </w:r>
      <w:r>
        <w:rPr>
          <w:rFonts w:hint="eastAsia" w:ascii="宋体" w:hAnsi="宋体" w:eastAsia="宋体" w:cs="宋体"/>
          <w:bCs/>
          <w:color w:val="000000"/>
          <w:sz w:val="24"/>
          <w:szCs w:val="24"/>
        </w:rPr>
        <w:t>内容和要求：详见采购内容</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五</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保障</w:t>
      </w:r>
      <w:r>
        <w:rPr>
          <w:rFonts w:hint="eastAsia" w:ascii="宋体" w:hAnsi="宋体" w:eastAsia="宋体" w:cs="宋体"/>
          <w:bCs/>
          <w:color w:val="auto"/>
          <w:sz w:val="24"/>
          <w:szCs w:val="24"/>
        </w:rPr>
        <w:t>措施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供应商应根据</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内容保质保量完成任务，因供应商原因造成的服务质量问题，给采购人造成损失的，供应商承担全部责任，如严重违反质保措施的将取消成本资格。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六</w:t>
      </w:r>
      <w:r>
        <w:rPr>
          <w:rFonts w:hint="eastAsia" w:ascii="宋体" w:hAnsi="宋体" w:eastAsia="宋体" w:cs="宋体"/>
          <w:bCs/>
          <w:color w:val="auto"/>
          <w:sz w:val="24"/>
          <w:szCs w:val="24"/>
        </w:rPr>
        <w:t>、违约责任：</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按照《民法典》中的相关条款执行；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w:t>
      </w:r>
      <w:r>
        <w:rPr>
          <w:rFonts w:hint="eastAsia" w:ascii="宋体" w:hAnsi="宋体" w:eastAsia="宋体" w:cs="宋体"/>
          <w:bCs/>
          <w:color w:val="auto"/>
          <w:sz w:val="24"/>
          <w:szCs w:val="24"/>
          <w:lang w:val="en-US" w:eastAsia="zh-CN"/>
        </w:rPr>
        <w:t>.乙方</w:t>
      </w:r>
      <w:r>
        <w:rPr>
          <w:rFonts w:hint="eastAsia" w:ascii="宋体" w:hAnsi="宋体" w:eastAsia="宋体" w:cs="宋体"/>
          <w:bCs/>
          <w:color w:val="auto"/>
          <w:sz w:val="24"/>
          <w:szCs w:val="24"/>
        </w:rPr>
        <w:t>服务质量</w:t>
      </w:r>
      <w:r>
        <w:rPr>
          <w:rFonts w:hint="eastAsia" w:ascii="宋体" w:hAnsi="宋体" w:eastAsia="宋体" w:cs="宋体"/>
          <w:bCs/>
          <w:color w:val="auto"/>
          <w:sz w:val="24"/>
          <w:szCs w:val="24"/>
          <w:lang w:val="en-US" w:eastAsia="zh-CN"/>
        </w:rPr>
        <w:t>不符合采购规定</w:t>
      </w:r>
      <w:r>
        <w:rPr>
          <w:rFonts w:hint="eastAsia" w:ascii="宋体" w:hAnsi="宋体" w:eastAsia="宋体" w:cs="宋体"/>
          <w:bCs/>
          <w:color w:val="auto"/>
          <w:sz w:val="24"/>
          <w:szCs w:val="24"/>
        </w:rPr>
        <w:t>要求的，</w:t>
      </w:r>
      <w:r>
        <w:rPr>
          <w:rFonts w:hint="eastAsia" w:ascii="宋体" w:hAnsi="宋体" w:eastAsia="宋体" w:cs="宋体"/>
          <w:bCs/>
          <w:color w:val="auto"/>
          <w:sz w:val="24"/>
          <w:szCs w:val="24"/>
          <w:lang w:val="en-US" w:eastAsia="zh-CN"/>
        </w:rPr>
        <w:t>甲方</w:t>
      </w:r>
      <w:r>
        <w:rPr>
          <w:rFonts w:hint="eastAsia" w:ascii="宋体" w:hAnsi="宋体" w:eastAsia="宋体" w:cs="宋体"/>
          <w:bCs/>
          <w:color w:val="auto"/>
          <w:sz w:val="24"/>
          <w:szCs w:val="24"/>
        </w:rPr>
        <w:t>有权</w:t>
      </w:r>
      <w:r>
        <w:rPr>
          <w:rFonts w:hint="eastAsia" w:ascii="宋体" w:hAnsi="宋体" w:eastAsia="宋体" w:cs="宋体"/>
          <w:bCs/>
          <w:color w:val="auto"/>
          <w:sz w:val="24"/>
          <w:szCs w:val="24"/>
          <w:lang w:val="en-US" w:eastAsia="zh-CN"/>
        </w:rPr>
        <w:t>拒收或</w:t>
      </w:r>
      <w:r>
        <w:rPr>
          <w:rFonts w:hint="eastAsia" w:ascii="宋体" w:hAnsi="宋体" w:eastAsia="宋体" w:cs="宋体"/>
          <w:bCs/>
          <w:color w:val="auto"/>
          <w:sz w:val="24"/>
          <w:szCs w:val="24"/>
        </w:rPr>
        <w:t>终止合同</w:t>
      </w:r>
      <w:r>
        <w:rPr>
          <w:rFonts w:hint="eastAsia" w:ascii="宋体" w:hAnsi="宋体" w:eastAsia="宋体" w:cs="宋体"/>
          <w:bCs/>
          <w:color w:val="auto"/>
          <w:sz w:val="24"/>
          <w:szCs w:val="24"/>
          <w:lang w:val="en-US" w:eastAsia="zh-CN"/>
        </w:rPr>
        <w:t>并</w:t>
      </w:r>
      <w:r>
        <w:rPr>
          <w:rFonts w:hint="eastAsia" w:ascii="宋体" w:hAnsi="宋体" w:eastAsia="宋体" w:cs="宋体"/>
          <w:bCs/>
          <w:color w:val="auto"/>
          <w:sz w:val="24"/>
          <w:szCs w:val="24"/>
        </w:rPr>
        <w:t>对</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rPr>
        <w:t>进行违约追究。</w:t>
      </w:r>
    </w:p>
    <w:p>
      <w:pPr>
        <w:keepNext w:val="0"/>
        <w:keepLines w:val="0"/>
        <w:widowControl/>
        <w:suppressLineNumbers w:val="0"/>
        <w:ind w:firstLine="480" w:firstLineChars="200"/>
        <w:jc w:val="left"/>
        <w:rPr>
          <w:rFonts w:hint="default" w:ascii="宋体" w:hAnsi="宋体" w:eastAsia="宋体" w:cs="宋体"/>
          <w:color w:val="000000"/>
          <w:kern w:val="0"/>
          <w:sz w:val="24"/>
          <w:szCs w:val="24"/>
          <w:lang w:val="en-US" w:eastAsia="zh-CN" w:bidi="ar"/>
        </w:rPr>
      </w:pPr>
      <w:r>
        <w:rPr>
          <w:rFonts w:hint="eastAsia" w:ascii="宋体" w:hAnsi="宋体" w:eastAsia="宋体" w:cs="宋体"/>
          <w:bCs/>
          <w:color w:val="auto"/>
          <w:sz w:val="24"/>
          <w:szCs w:val="24"/>
          <w:lang w:val="en-US" w:eastAsia="zh-CN"/>
        </w:rPr>
        <w:t>3.乙方未按期提供服务</w:t>
      </w:r>
      <w:r>
        <w:rPr>
          <w:rFonts w:hint="eastAsia" w:ascii="宋体" w:hAnsi="宋体" w:cs="宋体"/>
          <w:bCs/>
          <w:color w:val="auto"/>
          <w:sz w:val="24"/>
          <w:szCs w:val="24"/>
          <w:lang w:val="en-US" w:eastAsia="zh-CN"/>
        </w:rPr>
        <w:t>或未按期完成服务</w:t>
      </w:r>
      <w:r>
        <w:rPr>
          <w:rFonts w:hint="eastAsia" w:ascii="宋体" w:hAnsi="宋体" w:eastAsia="宋体" w:cs="宋体"/>
          <w:bCs/>
          <w:color w:val="auto"/>
          <w:sz w:val="24"/>
          <w:szCs w:val="24"/>
          <w:lang w:val="en-US" w:eastAsia="zh-CN"/>
        </w:rPr>
        <w:t>的，每延迟一日减少</w:t>
      </w:r>
      <w:r>
        <w:rPr>
          <w:rFonts w:hint="eastAsia" w:ascii="宋体" w:hAnsi="宋体" w:eastAsia="宋体" w:cs="宋体"/>
          <w:color w:val="000000"/>
          <w:kern w:val="0"/>
          <w:sz w:val="24"/>
          <w:szCs w:val="24"/>
          <w:lang w:val="en-US" w:eastAsia="zh-CN" w:bidi="ar"/>
        </w:rPr>
        <w:t>合同总价款 1‰，迟延违约金总额不超过合同总价的 10%；迟延超过三十日的，甲方有权解除合同。</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七</w:t>
      </w:r>
      <w:r>
        <w:rPr>
          <w:rFonts w:hint="eastAsia" w:ascii="宋体" w:hAnsi="宋体" w:eastAsia="宋体" w:cs="宋体"/>
          <w:bCs/>
          <w:color w:val="auto"/>
          <w:sz w:val="24"/>
          <w:szCs w:val="24"/>
        </w:rPr>
        <w:t>、验收：验收须以竞争性</w:t>
      </w:r>
      <w:r>
        <w:rPr>
          <w:rFonts w:hint="eastAsia" w:ascii="宋体" w:hAnsi="宋体" w:eastAsia="宋体" w:cs="宋体"/>
          <w:bCs/>
          <w:color w:val="auto"/>
          <w:sz w:val="24"/>
          <w:szCs w:val="24"/>
          <w:lang w:eastAsia="zh-CN"/>
        </w:rPr>
        <w:t>磋商</w:t>
      </w:r>
      <w:r>
        <w:rPr>
          <w:rFonts w:hint="eastAsia" w:ascii="宋体" w:hAnsi="宋体" w:eastAsia="宋体" w:cs="宋体"/>
          <w:bCs/>
          <w:color w:val="auto"/>
          <w:sz w:val="24"/>
          <w:szCs w:val="24"/>
        </w:rPr>
        <w:t>文件、响应文件、合同、国家相应的标准、规范等为依据。</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、合同争议的解决：合同执行中发生争议的，当事人双方应协商解决，协商达不成一致时，可向延安仲裁委员会申请仲裁或者向采购人所在地的人民法院提请诉讼。</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九</w:t>
      </w:r>
      <w:r>
        <w:rPr>
          <w:rFonts w:hint="eastAsia" w:ascii="宋体" w:hAnsi="宋体" w:eastAsia="宋体" w:cs="宋体"/>
          <w:bCs/>
          <w:color w:val="auto"/>
          <w:sz w:val="24"/>
          <w:szCs w:val="24"/>
        </w:rPr>
        <w:t>、合同一经签订，不得擅自变更、中止或者终止合同。对确需变更、调整或者中止、终止合同的，应按规定履行相应的手续。</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十、本合同从签订之日起生效，合同规定的全部事宜和程序结束后终止。本合同一式三份，甲、乙双方和采购代理机构各一份。</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w:t>
      </w: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、合同期内，未尽事宜，双方可根据服务需要，另立补充协议，补充协议是本合同的重要组成部分，具有同等法律效力。</w:t>
      </w:r>
    </w:p>
    <w:p>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确认。（合同的服务承诺则长期有效）。</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9"/>
        <w:gridCol w:w="3117"/>
        <w:gridCol w:w="3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5" w:hRule="atLeast"/>
        </w:trPr>
        <w:tc>
          <w:tcPr>
            <w:tcW w:w="1679"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甲  方</w:t>
            </w:r>
          </w:p>
        </w:tc>
        <w:tc>
          <w:tcPr>
            <w:tcW w:w="1678"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乙  方</w:t>
            </w:r>
          </w:p>
        </w:tc>
        <w:tc>
          <w:tcPr>
            <w:tcW w:w="1641" w:type="pct"/>
            <w:noWrap w:val="0"/>
            <w:vAlign w:val="top"/>
          </w:tcPr>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确 认 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trPr>
        <w:tc>
          <w:tcPr>
            <w:tcW w:w="1679" w:type="pct"/>
            <w:noWrap w:val="0"/>
            <w:vAlign w:val="center"/>
          </w:tcPr>
          <w:p>
            <w:pPr>
              <w:spacing w:line="420" w:lineRule="exact"/>
              <w:jc w:val="center"/>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78"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c>
          <w:tcPr>
            <w:tcW w:w="1641" w:type="pct"/>
            <w:noWrap w:val="0"/>
            <w:vAlign w:val="center"/>
          </w:tcPr>
          <w:p>
            <w:pPr>
              <w:spacing w:line="420" w:lineRule="exact"/>
              <w:jc w:val="both"/>
              <w:rPr>
                <w:rFonts w:hint="eastAsia" w:ascii="宋体" w:hAnsi="宋体" w:eastAsia="宋体" w:cs="宋体"/>
                <w:bCs/>
                <w:color w:val="auto"/>
                <w:sz w:val="24"/>
              </w:rPr>
            </w:pPr>
          </w:p>
          <w:p>
            <w:pPr>
              <w:spacing w:line="420" w:lineRule="exact"/>
              <w:jc w:val="both"/>
              <w:rPr>
                <w:rFonts w:hint="eastAsia" w:ascii="宋体" w:hAnsi="宋体" w:eastAsia="宋体" w:cs="宋体"/>
                <w:bCs/>
                <w:color w:val="auto"/>
                <w:sz w:val="24"/>
              </w:rPr>
            </w:pPr>
          </w:p>
          <w:p>
            <w:pPr>
              <w:spacing w:line="420" w:lineRule="exact"/>
              <w:jc w:val="center"/>
              <w:rPr>
                <w:rFonts w:hint="eastAsia" w:ascii="宋体" w:hAnsi="宋体" w:eastAsia="宋体" w:cs="宋体"/>
                <w:bCs/>
                <w:color w:val="auto"/>
                <w:sz w:val="24"/>
              </w:rPr>
            </w:pPr>
            <w:r>
              <w:rPr>
                <w:rFonts w:hint="eastAsia" w:ascii="宋体" w:hAnsi="宋体" w:eastAsia="宋体" w:cs="宋体"/>
                <w:bCs/>
                <w:color w:val="auto"/>
                <w:sz w:val="24"/>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pPr>
              <w:spacing w:line="420" w:lineRule="exact"/>
              <w:rPr>
                <w:rFonts w:hint="eastAsia" w:ascii="宋体" w:hAnsi="宋体" w:eastAsia="宋体" w:cs="宋体"/>
                <w:color w:val="auto"/>
              </w:rPr>
            </w:pPr>
            <w:r>
              <w:rPr>
                <w:rFonts w:hint="eastAsia" w:ascii="宋体" w:hAnsi="宋体" w:eastAsia="宋体" w:cs="宋体"/>
                <w:color w:val="auto"/>
              </w:rPr>
              <w:t>地址：</w:t>
            </w:r>
          </w:p>
          <w:p>
            <w:pPr>
              <w:pStyle w:val="17"/>
              <w:rPr>
                <w:rFonts w:hint="eastAsia" w:ascii="宋体" w:hAnsi="宋体" w:eastAsia="宋体" w:cs="宋体"/>
                <w:bCs/>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地址：</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地址：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 xml:space="preserve">法定代表人： </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法定代表人：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被授权代表：</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承办人：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pPr>
              <w:spacing w:line="420" w:lineRule="exact"/>
              <w:rPr>
                <w:rFonts w:hint="eastAsia" w:ascii="宋体" w:hAnsi="宋体" w:eastAsia="宋体" w:cs="宋体"/>
                <w:color w:val="auto"/>
              </w:rPr>
            </w:pPr>
          </w:p>
          <w:p>
            <w:pPr>
              <w:pStyle w:val="17"/>
              <w:rPr>
                <w:rFonts w:hint="eastAsia" w:ascii="宋体" w:hAnsi="宋体" w:eastAsia="宋体" w:cs="宋体"/>
                <w:bCs/>
                <w:color w:val="auto"/>
              </w:rPr>
            </w:pP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帐号：</w:t>
            </w:r>
          </w:p>
        </w:tc>
        <w:tc>
          <w:tcPr>
            <w:tcW w:w="1641" w:type="pct"/>
            <w:noWrap w:val="0"/>
            <w:vAlign w:val="top"/>
          </w:tcPr>
          <w:p>
            <w:pPr>
              <w:spacing w:line="420" w:lineRule="exact"/>
              <w:rPr>
                <w:rFonts w:hint="eastAsia" w:ascii="宋体" w:hAnsi="宋体" w:eastAsia="宋体" w:cs="宋体"/>
                <w:bCs/>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78"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c>
          <w:tcPr>
            <w:tcW w:w="1641" w:type="pct"/>
            <w:noWrap w:val="0"/>
            <w:vAlign w:val="top"/>
          </w:tcPr>
          <w:p>
            <w:pPr>
              <w:spacing w:line="420" w:lineRule="exact"/>
              <w:rPr>
                <w:rFonts w:hint="eastAsia" w:ascii="宋体" w:hAnsi="宋体" w:eastAsia="宋体" w:cs="宋体"/>
                <w:bCs/>
                <w:color w:val="auto"/>
                <w:sz w:val="24"/>
              </w:rPr>
            </w:pPr>
            <w:r>
              <w:rPr>
                <w:rFonts w:hint="eastAsia" w:ascii="宋体" w:hAnsi="宋体" w:eastAsia="宋体" w:cs="宋体"/>
                <w:bCs/>
                <w:color w:val="auto"/>
                <w:sz w:val="24"/>
              </w:rPr>
              <w:t>日期：     年   月   日</w:t>
            </w:r>
          </w:p>
        </w:tc>
      </w:tr>
    </w:tbl>
    <w:p>
      <w:pPr>
        <w:spacing w:line="360" w:lineRule="auto"/>
        <w:jc w:val="center"/>
        <w:rPr>
          <w:rFonts w:hint="eastAsia" w:ascii="宋体" w:hAnsi="宋体" w:eastAsia="宋体" w:cs="宋体"/>
          <w:b/>
          <w:color w:val="auto"/>
          <w:sz w:val="44"/>
          <w:szCs w:val="44"/>
        </w:rPr>
      </w:pPr>
      <w:r>
        <w:rPr>
          <w:rFonts w:hint="eastAsia" w:ascii="宋体" w:hAnsi="宋体" w:eastAsia="宋体" w:cs="宋体"/>
          <w:b/>
          <w:bCs/>
          <w:color w:val="000000"/>
          <w:kern w:val="0"/>
          <w:sz w:val="22"/>
          <w:szCs w:val="22"/>
          <w:lang w:val="en-US" w:eastAsia="zh-CN" w:bidi="ar"/>
        </w:rPr>
        <w:t>注：合同模板仅供参考，甲方在签订合同时有权结合项目具体情况再行细化并修改，具体以最终签订为准。</w:t>
      </w:r>
      <w:r>
        <w:rPr>
          <w:rFonts w:hint="eastAsia" w:ascii="宋体" w:hAnsi="宋体" w:eastAsia="宋体" w:cs="宋体"/>
          <w:b/>
          <w:color w:val="auto"/>
          <w:sz w:val="44"/>
          <w:szCs w:val="44"/>
        </w:rPr>
        <w:br w:type="page"/>
      </w:r>
      <w:r>
        <w:rPr>
          <w:rFonts w:hint="eastAsia" w:ascii="宋体" w:hAnsi="宋体" w:eastAsia="宋体" w:cs="宋体"/>
          <w:b/>
          <w:color w:val="auto"/>
          <w:sz w:val="44"/>
          <w:szCs w:val="44"/>
        </w:rPr>
        <w:t>第 五 部 分  响应文件格式</w:t>
      </w:r>
    </w:p>
    <w:p>
      <w:pPr>
        <w:spacing w:line="570" w:lineRule="exact"/>
        <w:rPr>
          <w:rFonts w:hint="eastAsia" w:ascii="宋体" w:hAnsi="宋体" w:eastAsia="宋体" w:cs="宋体"/>
          <w:b/>
          <w:bCs/>
          <w:color w:val="auto"/>
          <w:sz w:val="28"/>
          <w:szCs w:val="28"/>
        </w:rPr>
      </w:pPr>
      <w:r>
        <w:rPr>
          <w:rFonts w:hint="eastAsia" w:ascii="宋体" w:hAnsi="宋体" w:eastAsia="宋体" w:cs="宋体"/>
          <w:bCs/>
          <w:color w:val="000000"/>
          <w:kern w:val="0"/>
          <w:sz w:val="24"/>
          <w:lang w:val="zh-CN"/>
        </w:rPr>
        <w:t>供应商应按照磋商文件要求编制响应文件，</w:t>
      </w:r>
      <w:r>
        <w:rPr>
          <w:rFonts w:hint="eastAsia" w:ascii="宋体" w:hAnsi="宋体" w:eastAsia="宋体" w:cs="宋体"/>
          <w:color w:val="000000"/>
          <w:sz w:val="24"/>
        </w:rPr>
        <w:t>编制响应文件前，请详细阅读磋商文件，理解文件中的每一项要求。全部编制完成，并按要求加盖公章后，</w:t>
      </w:r>
      <w:r>
        <w:rPr>
          <w:rFonts w:hint="eastAsia" w:ascii="宋体" w:hAnsi="宋体" w:eastAsia="宋体" w:cs="宋体"/>
          <w:bCs/>
          <w:color w:val="000000"/>
          <w:kern w:val="0"/>
          <w:sz w:val="24"/>
          <w:lang w:val="zh-CN"/>
        </w:rPr>
        <w:t>编制相应页码（每一项内容必须在目录中注明具体页码，便于磋商小组评审）。</w:t>
      </w:r>
    </w:p>
    <w:p>
      <w:pPr>
        <w:spacing w:line="570" w:lineRule="exac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val="en-US" w:eastAsia="zh-CN"/>
        </w:rPr>
        <w:t>FZC2026-060</w:t>
      </w:r>
    </w:p>
    <w:p>
      <w:pPr>
        <w:pStyle w:val="9"/>
        <w:ind w:left="0" w:leftChars="0" w:firstLine="0" w:firstLineChars="0"/>
        <w:jc w:val="both"/>
        <w:rPr>
          <w:rFonts w:hint="eastAsia" w:ascii="宋体" w:hAnsi="宋体" w:eastAsia="宋体" w:cs="宋体"/>
          <w:b/>
          <w:bCs/>
          <w:color w:val="auto"/>
          <w:sz w:val="44"/>
          <w:szCs w:val="52"/>
          <w:lang w:val="en-US" w:eastAsia="zh-CN"/>
        </w:rPr>
      </w:pPr>
    </w:p>
    <w:p>
      <w:pPr>
        <w:pStyle w:val="9"/>
        <w:keepNext w:val="0"/>
        <w:keepLines w:val="0"/>
        <w:pageBreakBefore w:val="0"/>
        <w:widowControl w:val="0"/>
        <w:kinsoku/>
        <w:wordWrap/>
        <w:overflowPunct/>
        <w:topLinePunct w:val="0"/>
        <w:autoSpaceDE/>
        <w:autoSpaceDN/>
        <w:bidi w:val="0"/>
        <w:adjustRightInd/>
        <w:spacing w:line="800" w:lineRule="exact"/>
        <w:ind w:left="0" w:leftChars="0" w:firstLine="0" w:firstLineChars="0"/>
        <w:jc w:val="center"/>
        <w:textAlignment w:val="auto"/>
        <w:rPr>
          <w:rFonts w:hint="eastAsia" w:ascii="宋体" w:hAnsi="宋体" w:eastAsia="宋体" w:cs="宋体"/>
          <w:b/>
          <w:bCs/>
          <w:color w:val="000000"/>
          <w:kern w:val="2"/>
          <w:sz w:val="52"/>
          <w:szCs w:val="52"/>
          <w:lang w:val="en-US" w:eastAsia="zh-CN" w:bidi="ar-SA"/>
        </w:rPr>
      </w:pPr>
    </w:p>
    <w:p>
      <w:pPr>
        <w:keepNext w:val="0"/>
        <w:keepLines w:val="0"/>
        <w:pageBreakBefore w:val="0"/>
        <w:kinsoku/>
        <w:overflowPunct/>
        <w:topLinePunct w:val="0"/>
        <w:autoSpaceDE/>
        <w:autoSpaceDN/>
        <w:bidi w:val="0"/>
        <w:adjustRightInd/>
        <w:snapToGrid/>
        <w:spacing w:line="360" w:lineRule="auto"/>
        <w:jc w:val="center"/>
        <w:rPr>
          <w:rFonts w:hint="eastAsia" w:ascii="宋体" w:hAnsi="宋体" w:eastAsia="宋体" w:cs="宋体"/>
          <w:b/>
          <w:bCs/>
          <w:color w:val="000000"/>
          <w:sz w:val="52"/>
          <w:szCs w:val="52"/>
        </w:rPr>
      </w:pPr>
      <w:r>
        <w:rPr>
          <w:rFonts w:hint="eastAsia" w:ascii="宋体" w:hAnsi="宋体" w:cs="宋体"/>
          <w:b/>
          <w:bCs/>
          <w:color w:val="000000"/>
          <w:sz w:val="52"/>
          <w:szCs w:val="52"/>
          <w:lang w:val="en-US" w:eastAsia="zh-CN"/>
        </w:rPr>
        <w:t>已交楼未进行消防验收项目（检测标段）</w:t>
      </w:r>
      <w:r>
        <w:rPr>
          <w:rFonts w:hint="eastAsia" w:ascii="宋体" w:hAnsi="宋体" w:eastAsia="宋体" w:cs="宋体"/>
          <w:b/>
          <w:bCs/>
          <w:color w:val="000000"/>
          <w:sz w:val="52"/>
          <w:szCs w:val="52"/>
        </w:rPr>
        <w:t>竞争性磋商响应文件</w:t>
      </w:r>
    </w:p>
    <w:p>
      <w:pPr>
        <w:ind w:firstLine="2088" w:firstLineChars="400"/>
        <w:jc w:val="center"/>
        <w:rPr>
          <w:rFonts w:hint="eastAsia" w:ascii="宋体" w:hAnsi="宋体" w:eastAsia="宋体" w:cs="宋体"/>
          <w:b/>
          <w:bCs/>
          <w:color w:val="000000"/>
          <w:sz w:val="52"/>
          <w:szCs w:val="52"/>
        </w:rPr>
      </w:pPr>
    </w:p>
    <w:p>
      <w:pPr>
        <w:spacing w:line="360" w:lineRule="atLeast"/>
        <w:rPr>
          <w:rFonts w:hint="eastAsia" w:ascii="宋体" w:hAnsi="宋体" w:eastAsia="宋体" w:cs="宋体"/>
          <w:color w:val="auto"/>
          <w:sz w:val="52"/>
          <w:szCs w:val="52"/>
        </w:rPr>
      </w:pPr>
    </w:p>
    <w:p>
      <w:pPr>
        <w:spacing w:line="360" w:lineRule="atLeast"/>
        <w:rPr>
          <w:rFonts w:hint="eastAsia" w:ascii="宋体" w:hAnsi="宋体" w:eastAsia="宋体" w:cs="宋体"/>
          <w:color w:val="auto"/>
          <w:sz w:val="52"/>
          <w:szCs w:val="52"/>
        </w:rPr>
      </w:pPr>
    </w:p>
    <w:p>
      <w:pPr>
        <w:pStyle w:val="26"/>
        <w:rPr>
          <w:rFonts w:hint="eastAsia" w:ascii="宋体" w:hAnsi="宋体" w:eastAsia="宋体" w:cs="宋体"/>
          <w:color w:val="auto"/>
        </w:rPr>
      </w:pPr>
    </w:p>
    <w:p>
      <w:pPr>
        <w:spacing w:line="360" w:lineRule="atLeast"/>
        <w:rPr>
          <w:rFonts w:hint="eastAsia" w:ascii="宋体" w:hAnsi="宋体" w:eastAsia="宋体" w:cs="宋体"/>
          <w:color w:val="auto"/>
          <w:sz w:val="52"/>
          <w:szCs w:val="52"/>
        </w:rPr>
      </w:pP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供   应  商：</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（盖单位公章）</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法定代表人或</w:t>
      </w:r>
    </w:p>
    <w:p>
      <w:pPr>
        <w:rPr>
          <w:rFonts w:hint="eastAsia" w:ascii="宋体" w:hAnsi="宋体" w:eastAsia="宋体" w:cs="宋体"/>
          <w:b/>
          <w:bCs/>
          <w:color w:val="auto"/>
          <w:spacing w:val="20"/>
          <w:sz w:val="30"/>
          <w:szCs w:val="30"/>
        </w:rPr>
      </w:pPr>
      <w:r>
        <w:rPr>
          <w:rFonts w:hint="eastAsia" w:ascii="宋体" w:hAnsi="宋体" w:eastAsia="宋体" w:cs="宋体"/>
          <w:b/>
          <w:bCs/>
          <w:color w:val="auto"/>
          <w:spacing w:val="20"/>
          <w:sz w:val="30"/>
          <w:szCs w:val="30"/>
        </w:rPr>
        <w:t>其委托代理人：</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（签字或盖章）</w:t>
      </w:r>
    </w:p>
    <w:p>
      <w:pPr>
        <w:rPr>
          <w:rFonts w:hint="eastAsia" w:ascii="宋体" w:hAnsi="宋体" w:eastAsia="宋体" w:cs="宋体"/>
          <w:b/>
          <w:bCs/>
          <w:color w:val="auto"/>
          <w:spacing w:val="20"/>
          <w:sz w:val="30"/>
          <w:szCs w:val="30"/>
          <w:u w:val="single"/>
        </w:rPr>
      </w:pPr>
      <w:r>
        <w:rPr>
          <w:rFonts w:hint="eastAsia" w:ascii="宋体" w:hAnsi="宋体" w:eastAsia="宋体" w:cs="宋体"/>
          <w:b/>
          <w:bCs/>
          <w:color w:val="auto"/>
          <w:spacing w:val="20"/>
          <w:sz w:val="30"/>
          <w:szCs w:val="30"/>
        </w:rPr>
        <w:t>日       期：</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年</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月</w:t>
      </w:r>
      <w:r>
        <w:rPr>
          <w:rFonts w:hint="eastAsia" w:ascii="宋体" w:hAnsi="宋体" w:eastAsia="宋体" w:cs="宋体"/>
          <w:b/>
          <w:bCs/>
          <w:color w:val="auto"/>
          <w:spacing w:val="20"/>
          <w:sz w:val="30"/>
          <w:szCs w:val="30"/>
          <w:u w:val="single"/>
        </w:rPr>
        <w:t xml:space="preserve">   </w:t>
      </w:r>
      <w:r>
        <w:rPr>
          <w:rFonts w:hint="eastAsia" w:ascii="宋体" w:hAnsi="宋体" w:eastAsia="宋体" w:cs="宋体"/>
          <w:b/>
          <w:bCs/>
          <w:color w:val="auto"/>
          <w:spacing w:val="20"/>
          <w:sz w:val="30"/>
          <w:szCs w:val="30"/>
        </w:rPr>
        <w:t xml:space="preserve">日  </w:t>
      </w:r>
      <w:r>
        <w:rPr>
          <w:rFonts w:hint="eastAsia" w:ascii="宋体" w:hAnsi="宋体" w:eastAsia="宋体" w:cs="宋体"/>
          <w:b/>
          <w:bCs/>
          <w:color w:val="auto"/>
          <w:spacing w:val="20"/>
          <w:sz w:val="30"/>
          <w:szCs w:val="30"/>
          <w:u w:val="single"/>
        </w:rPr>
        <w:t xml:space="preserve"> </w:t>
      </w:r>
    </w:p>
    <w:p>
      <w:pPr>
        <w:pStyle w:val="26"/>
        <w:rPr>
          <w:rFonts w:hint="eastAsia" w:ascii="宋体" w:hAnsi="宋体" w:eastAsia="宋体" w:cs="宋体"/>
          <w:b/>
          <w:bCs/>
          <w:color w:val="auto"/>
          <w:spacing w:val="20"/>
          <w:sz w:val="30"/>
          <w:szCs w:val="30"/>
          <w:u w:val="single"/>
        </w:rPr>
      </w:pPr>
    </w:p>
    <w:p>
      <w:pPr>
        <w:pStyle w:val="26"/>
        <w:rPr>
          <w:rFonts w:hint="eastAsia" w:ascii="宋体" w:hAnsi="宋体" w:eastAsia="宋体" w:cs="宋体"/>
          <w:b/>
          <w:bCs/>
          <w:color w:val="auto"/>
          <w:spacing w:val="20"/>
          <w:sz w:val="30"/>
          <w:szCs w:val="30"/>
          <w:u w:val="single"/>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     录</w:t>
      </w:r>
    </w:p>
    <w:p>
      <w:pPr>
        <w:spacing w:line="360" w:lineRule="atLeast"/>
        <w:ind w:firstLine="3698" w:firstLineChars="1151"/>
        <w:jc w:val="left"/>
        <w:rPr>
          <w:rFonts w:hint="eastAsia" w:ascii="宋体" w:hAnsi="宋体" w:eastAsia="宋体" w:cs="宋体"/>
          <w:b/>
          <w:color w:val="auto"/>
          <w:sz w:val="32"/>
          <w:szCs w:val="32"/>
        </w:rPr>
      </w:pPr>
    </w:p>
    <w:p>
      <w:pPr>
        <w:spacing w:line="360" w:lineRule="atLeast"/>
        <w:jc w:val="left"/>
        <w:rPr>
          <w:rFonts w:hint="eastAsia" w:ascii="宋体" w:hAnsi="宋体" w:eastAsia="宋体" w:cs="宋体"/>
          <w:color w:val="auto"/>
          <w:sz w:val="20"/>
          <w:szCs w:val="22"/>
        </w:rPr>
      </w:pP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1</w:t>
      </w:r>
      <w:r>
        <w:rPr>
          <w:rFonts w:hint="eastAsia" w:ascii="宋体" w:hAnsi="宋体" w:eastAsia="宋体" w:cs="宋体"/>
          <w:b w:val="0"/>
          <w:bCs w:val="0"/>
          <w:color w:val="auto"/>
          <w:sz w:val="28"/>
          <w:szCs w:val="28"/>
        </w:rPr>
        <w:t>部分   响应函</w:t>
      </w:r>
    </w:p>
    <w:p>
      <w:pPr>
        <w:spacing w:line="480" w:lineRule="auto"/>
        <w:ind w:leftChars="700"/>
        <w:jc w:val="left"/>
        <w:rPr>
          <w:rFonts w:hint="eastAsia" w:ascii="宋体" w:hAnsi="宋体" w:eastAsia="宋体" w:cs="宋体"/>
          <w:b w:val="0"/>
          <w:bCs w:val="0"/>
          <w:color w:val="auto"/>
          <w:sz w:val="28"/>
          <w:szCs w:val="28"/>
          <w:lang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2</w:t>
      </w:r>
      <w:r>
        <w:rPr>
          <w:rFonts w:hint="eastAsia" w:ascii="宋体" w:hAnsi="宋体" w:eastAsia="宋体" w:cs="宋体"/>
          <w:b w:val="0"/>
          <w:bCs w:val="0"/>
          <w:color w:val="auto"/>
          <w:sz w:val="28"/>
          <w:szCs w:val="28"/>
        </w:rPr>
        <w:t>部分   响应</w:t>
      </w:r>
      <w:r>
        <w:rPr>
          <w:rFonts w:hint="eastAsia" w:ascii="宋体" w:hAnsi="宋体" w:cs="宋体"/>
          <w:b w:val="0"/>
          <w:bCs w:val="0"/>
          <w:color w:val="auto"/>
          <w:sz w:val="28"/>
          <w:szCs w:val="28"/>
          <w:lang w:val="en-US" w:eastAsia="zh-CN"/>
        </w:rPr>
        <w:t>报价表</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3</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kern w:val="0"/>
          <w:sz w:val="28"/>
          <w:szCs w:val="28"/>
        </w:rPr>
        <w:t>法定代表人证明书与授权书</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4</w:t>
      </w:r>
      <w:r>
        <w:rPr>
          <w:rFonts w:hint="eastAsia" w:ascii="宋体" w:hAnsi="宋体" w:eastAsia="宋体" w:cs="宋体"/>
          <w:b w:val="0"/>
          <w:bCs w:val="0"/>
          <w:color w:val="auto"/>
          <w:sz w:val="28"/>
          <w:szCs w:val="28"/>
        </w:rPr>
        <w:t>部分   供应商资质证明文件</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5</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rPr>
        <w:t xml:space="preserve"> 磋商响应</w:t>
      </w:r>
      <w:r>
        <w:rPr>
          <w:rFonts w:hint="eastAsia" w:ascii="宋体" w:hAnsi="宋体" w:eastAsia="宋体" w:cs="宋体"/>
          <w:b w:val="0"/>
          <w:bCs w:val="0"/>
          <w:color w:val="auto"/>
          <w:sz w:val="28"/>
          <w:szCs w:val="28"/>
          <w:lang w:eastAsia="zh-CN"/>
        </w:rPr>
        <w:t>技术</w:t>
      </w:r>
      <w:r>
        <w:rPr>
          <w:rFonts w:hint="eastAsia" w:ascii="宋体" w:hAnsi="宋体" w:eastAsia="宋体" w:cs="宋体"/>
          <w:b w:val="0"/>
          <w:bCs w:val="0"/>
          <w:color w:val="auto"/>
          <w:sz w:val="28"/>
          <w:szCs w:val="28"/>
        </w:rPr>
        <w:t>方案</w:t>
      </w:r>
    </w:p>
    <w:p>
      <w:pPr>
        <w:pStyle w:val="10"/>
        <w:spacing w:line="480" w:lineRule="auto"/>
        <w:ind w:leftChars="700"/>
        <w:jc w:val="left"/>
        <w:rPr>
          <w:rFonts w:hint="default"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6</w:t>
      </w:r>
      <w:r>
        <w:rPr>
          <w:rFonts w:hint="eastAsia" w:ascii="宋体" w:hAnsi="宋体" w:eastAsia="宋体" w:cs="宋体"/>
          <w:b w:val="0"/>
          <w:bCs w:val="0"/>
          <w:color w:val="auto"/>
          <w:sz w:val="28"/>
          <w:szCs w:val="28"/>
        </w:rPr>
        <w:t>部分   商务响应</w:t>
      </w:r>
      <w:r>
        <w:rPr>
          <w:rFonts w:hint="eastAsia" w:hAnsi="宋体" w:cs="宋体"/>
          <w:b w:val="0"/>
          <w:bCs w:val="0"/>
          <w:color w:val="auto"/>
          <w:sz w:val="28"/>
          <w:szCs w:val="28"/>
          <w:lang w:val="en-US" w:eastAsia="zh-CN"/>
        </w:rPr>
        <w:t>方案</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7</w:t>
      </w:r>
      <w:r>
        <w:rPr>
          <w:rFonts w:hint="eastAsia" w:ascii="宋体" w:hAnsi="宋体" w:eastAsia="宋体" w:cs="宋体"/>
          <w:b w:val="0"/>
          <w:bCs w:val="0"/>
          <w:color w:val="auto"/>
          <w:sz w:val="28"/>
          <w:szCs w:val="28"/>
        </w:rPr>
        <w:t>部分   供应商承诺书</w:t>
      </w:r>
    </w:p>
    <w:p>
      <w:pPr>
        <w:pStyle w:val="10"/>
        <w:spacing w:line="480" w:lineRule="auto"/>
        <w:ind w:leftChars="700"/>
        <w:jc w:val="left"/>
        <w:rPr>
          <w:rFonts w:hint="eastAsia" w:ascii="宋体" w:hAnsi="宋体" w:eastAsia="宋体" w:cs="宋体"/>
          <w:b w:val="0"/>
          <w:bCs w:val="0"/>
          <w:color w:val="auto"/>
          <w:sz w:val="28"/>
          <w:szCs w:val="28"/>
        </w:rPr>
      </w:pPr>
      <w:r>
        <w:rPr>
          <w:rFonts w:hint="eastAsia" w:ascii="宋体" w:hAnsi="宋体" w:eastAsia="宋体" w:cs="宋体"/>
          <w:b w:val="0"/>
          <w:bCs w:val="0"/>
          <w:color w:val="auto"/>
          <w:sz w:val="28"/>
          <w:szCs w:val="28"/>
        </w:rPr>
        <w:t>第</w:t>
      </w:r>
      <w:r>
        <w:rPr>
          <w:rFonts w:hint="eastAsia" w:ascii="宋体" w:hAnsi="宋体" w:eastAsia="宋体" w:cs="宋体"/>
          <w:b w:val="0"/>
          <w:bCs w:val="0"/>
          <w:color w:val="auto"/>
          <w:sz w:val="28"/>
          <w:szCs w:val="28"/>
          <w:lang w:val="en-US" w:eastAsia="zh-CN"/>
        </w:rPr>
        <w:t>8</w:t>
      </w:r>
      <w:r>
        <w:rPr>
          <w:rFonts w:hint="eastAsia" w:ascii="宋体" w:hAnsi="宋体" w:eastAsia="宋体" w:cs="宋体"/>
          <w:b w:val="0"/>
          <w:bCs w:val="0"/>
          <w:color w:val="auto"/>
          <w:sz w:val="28"/>
          <w:szCs w:val="28"/>
        </w:rPr>
        <w:t xml:space="preserve">部分   </w:t>
      </w:r>
      <w:r>
        <w:rPr>
          <w:rFonts w:hint="eastAsia" w:ascii="宋体" w:hAnsi="宋体" w:eastAsia="宋体" w:cs="宋体"/>
          <w:b w:val="0"/>
          <w:bCs w:val="0"/>
          <w:color w:val="auto"/>
          <w:sz w:val="28"/>
          <w:szCs w:val="28"/>
          <w:lang w:val="en-US" w:eastAsia="zh-CN"/>
        </w:rPr>
        <w:t>附件</w:t>
      </w:r>
    </w:p>
    <w:p>
      <w:pPr>
        <w:pStyle w:val="10"/>
        <w:spacing w:line="500" w:lineRule="exact"/>
        <w:ind w:left="4200" w:leftChars="0" w:firstLine="420" w:firstLineChars="0"/>
        <w:jc w:val="left"/>
        <w:rPr>
          <w:rFonts w:hint="eastAsia" w:ascii="宋体" w:hAnsi="宋体" w:eastAsia="宋体" w:cs="宋体"/>
          <w:b/>
          <w:bCs/>
          <w:color w:val="auto"/>
          <w:sz w:val="28"/>
          <w:szCs w:val="28"/>
        </w:rPr>
      </w:pPr>
    </w:p>
    <w:p>
      <w:pPr>
        <w:spacing w:line="360" w:lineRule="atLeast"/>
        <w:jc w:val="lef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1</w:t>
      </w:r>
      <w:r>
        <w:rPr>
          <w:rFonts w:hint="eastAsia" w:ascii="宋体" w:hAnsi="宋体" w:eastAsia="宋体" w:cs="宋体"/>
          <w:b/>
          <w:color w:val="auto"/>
          <w:sz w:val="32"/>
          <w:szCs w:val="32"/>
        </w:rPr>
        <w:t xml:space="preserve">部分   响应函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lang w:val="en-US" w:eastAsia="zh-CN"/>
        </w:rPr>
        <w:t>富县政府采购管理中心</w:t>
      </w:r>
      <w:r>
        <w:rPr>
          <w:rFonts w:hint="eastAsia" w:ascii="宋体" w:hAnsi="宋体" w:eastAsia="宋体" w:cs="宋体"/>
          <w:color w:val="auto"/>
          <w:sz w:val="24"/>
        </w:rPr>
        <w:t>：</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2、如若中标，将根据磋商文件的要求、响应文件及承诺条件，全面签约并履行合同规定的责任和义务；</w:t>
      </w:r>
    </w:p>
    <w:p>
      <w:pPr>
        <w:spacing w:beforeAutospacing="0" w:afterAutospacing="0" w:line="500" w:lineRule="exact"/>
        <w:ind w:firstLine="468" w:firstLineChars="200"/>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pacing w:val="-3"/>
          <w:sz w:val="24"/>
          <w:szCs w:val="24"/>
        </w:rPr>
        <w:t>3、</w:t>
      </w:r>
      <w:r>
        <w:rPr>
          <w:rFonts w:hint="eastAsia" w:ascii="宋体" w:hAnsi="宋体" w:eastAsia="宋体" w:cs="宋体"/>
          <w:color w:val="auto"/>
          <w:sz w:val="24"/>
        </w:rPr>
        <w:t>我方提交的响应文件：电子版响应文件</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rPr>
        <w:t>份。</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4、我方按磋商文件要求交纳保证金为（人民币）：</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w:t>
      </w:r>
      <w:r>
        <w:rPr>
          <w:rFonts w:hint="eastAsia" w:ascii="宋体" w:hAnsi="宋体" w:eastAsia="宋体" w:cs="宋体"/>
          <w:color w:val="auto"/>
          <w:sz w:val="24"/>
          <w:u w:val="single"/>
        </w:rPr>
        <w:t xml:space="preserve">     </w:t>
      </w:r>
      <w:r>
        <w:rPr>
          <w:rFonts w:hint="eastAsia" w:ascii="宋体" w:hAnsi="宋体" w:eastAsia="宋体" w:cs="宋体"/>
          <w:color w:val="auto"/>
          <w:sz w:val="24"/>
        </w:rPr>
        <w:t>元；</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5、我方已详细阅读和核实全部磋商文件内容，完全理解并同意放弃提出含糊不清和误解问题的权力；</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6、同意提供贵方要求的与本次磋商有关的任何证明资料；</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7、我方的响应文件在磋商之日计算有效为九十（90）个日历日；</w:t>
      </w:r>
    </w:p>
    <w:p>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8、所有关于本次响应的函电，请按下列地址、方式联系：</w:t>
      </w:r>
    </w:p>
    <w:p>
      <w:pPr>
        <w:kinsoku w:val="0"/>
        <w:spacing w:line="440" w:lineRule="exact"/>
        <w:ind w:firstLine="840"/>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      </w:t>
      </w:r>
      <w:r>
        <w:rPr>
          <w:rFonts w:hint="eastAsia" w:ascii="宋体" w:hAnsi="宋体" w:eastAsia="宋体" w:cs="宋体"/>
          <w:color w:val="auto"/>
          <w:sz w:val="24"/>
        </w:rPr>
        <w:t xml:space="preserve">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   </w:t>
      </w:r>
    </w:p>
    <w:p>
      <w:pPr>
        <w:kinsoku w:val="0"/>
        <w:spacing w:line="440" w:lineRule="exact"/>
        <w:ind w:firstLine="84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                           </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rPr>
      </w:pPr>
      <w:r>
        <w:rPr>
          <w:rFonts w:hint="eastAsia" w:ascii="宋体" w:hAnsi="宋体" w:eastAsia="宋体" w:cs="宋体"/>
          <w:color w:val="auto"/>
          <w:sz w:val="24"/>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pPr>
        <w:kinsoku w:val="0"/>
        <w:spacing w:line="440" w:lineRule="exact"/>
        <w:ind w:firstLine="570"/>
        <w:rPr>
          <w:rFonts w:hint="eastAsia" w:ascii="宋体" w:hAnsi="宋体" w:eastAsia="宋体" w:cs="宋体"/>
          <w:color w:val="auto"/>
          <w:sz w:val="24"/>
        </w:rPr>
      </w:pPr>
    </w:p>
    <w:p>
      <w:pPr>
        <w:kinsoku w:val="0"/>
        <w:spacing w:line="440" w:lineRule="exact"/>
        <w:ind w:firstLine="808" w:firstLineChars="337"/>
        <w:rPr>
          <w:rFonts w:hint="eastAsia" w:ascii="宋体" w:hAnsi="宋体" w:eastAsia="宋体" w:cs="宋体"/>
          <w:color w:val="auto"/>
          <w:sz w:val="24"/>
          <w:u w:val="single"/>
          <w:lang w:val="en-US" w:eastAsia="zh-CN"/>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r>
        <w:rPr>
          <w:rFonts w:hint="eastAsia" w:ascii="宋体" w:hAnsi="宋体" w:eastAsia="宋体" w:cs="宋体"/>
          <w:color w:val="auto"/>
          <w:sz w:val="24"/>
          <w:u w:val="single"/>
        </w:rPr>
        <w:t xml:space="preserve">             . </w:t>
      </w:r>
    </w:p>
    <w:p>
      <w:pPr>
        <w:kinsoku w:val="0"/>
        <w:spacing w:line="440" w:lineRule="exact"/>
        <w:ind w:firstLine="570"/>
        <w:rPr>
          <w:rFonts w:hint="default" w:ascii="宋体" w:hAnsi="宋体" w:eastAsia="宋体" w:cs="宋体"/>
          <w:color w:val="auto"/>
          <w:sz w:val="24"/>
          <w:lang w:val="en-US" w:eastAsia="zh-CN"/>
        </w:rPr>
        <w:sectPr>
          <w:headerReference r:id="rId14" w:type="default"/>
          <w:footerReference r:id="rId15" w:type="default"/>
          <w:pgSz w:w="11906" w:h="16838"/>
          <w:pgMar w:top="1417" w:right="1417" w:bottom="1417" w:left="1417" w:header="851" w:footer="992" w:gutter="0"/>
          <w:lnNumType w:countBy="0" w:restart="continuous"/>
          <w:pgNumType w:fmt="decimal" w:start="1"/>
          <w:cols w:space="720" w:num="1"/>
          <w:docGrid w:type="lines" w:linePitch="315" w:charSpace="0"/>
        </w:sectPr>
      </w:pP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日</w:t>
      </w:r>
    </w:p>
    <w:p>
      <w:pPr>
        <w:spacing w:line="360" w:lineRule="atLeast"/>
        <w:jc w:val="both"/>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2</w:t>
      </w:r>
      <w:r>
        <w:rPr>
          <w:rFonts w:hint="eastAsia" w:ascii="宋体" w:hAnsi="宋体" w:eastAsia="宋体" w:cs="宋体"/>
          <w:b/>
          <w:color w:val="auto"/>
          <w:sz w:val="32"/>
          <w:szCs w:val="32"/>
        </w:rPr>
        <w:t>部分 响应一览表</w:t>
      </w:r>
    </w:p>
    <w:tbl>
      <w:tblPr>
        <w:tblStyle w:val="19"/>
        <w:tblpPr w:leftFromText="181" w:rightFromText="181" w:vertAnchor="text" w:horzAnchor="page" w:tblpXSpec="center" w:tblpY="461"/>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4"/>
        <w:gridCol w:w="6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78" w:hRule="atLeast"/>
          <w:jc w:val="center"/>
        </w:trPr>
        <w:tc>
          <w:tcPr>
            <w:tcW w:w="2194" w:type="dxa"/>
            <w:noWrap w:val="0"/>
            <w:vAlign w:val="center"/>
          </w:tcPr>
          <w:p>
            <w:pPr>
              <w:ind w:left="1400" w:leftChars="164" w:hanging="1056" w:hangingChars="400"/>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6806" w:type="dxa"/>
            <w:noWrap w:val="0"/>
            <w:vAlign w:val="center"/>
          </w:tcPr>
          <w:p>
            <w:pPr>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2194" w:type="dxa"/>
            <w:noWrap w:val="0"/>
            <w:vAlign w:val="center"/>
          </w:tcPr>
          <w:p>
            <w:pPr>
              <w:ind w:firstLine="240" w:firstLineChars="100"/>
              <w:rPr>
                <w:rFonts w:hint="eastAsia" w:ascii="宋体" w:hAnsi="宋体" w:eastAsia="宋体" w:cs="宋体"/>
                <w:color w:val="auto"/>
                <w:spacing w:val="12"/>
                <w:sz w:val="24"/>
              </w:rPr>
            </w:pPr>
            <w:r>
              <w:rPr>
                <w:rFonts w:hint="eastAsia" w:ascii="宋体" w:hAnsi="宋体" w:eastAsia="宋体" w:cs="宋体"/>
                <w:color w:val="auto"/>
                <w:sz w:val="24"/>
              </w:rPr>
              <w:t>供应商</w:t>
            </w:r>
            <w:r>
              <w:rPr>
                <w:rFonts w:hint="eastAsia" w:ascii="宋体" w:hAnsi="宋体" w:eastAsia="宋体" w:cs="宋体"/>
                <w:color w:val="auto"/>
                <w:spacing w:val="12"/>
                <w:sz w:val="24"/>
              </w:rPr>
              <w:t>名称</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eastAsia" w:ascii="宋体" w:hAnsi="宋体" w:eastAsia="宋体" w:cs="宋体"/>
                <w:color w:val="auto"/>
                <w:spacing w:val="12"/>
                <w:sz w:val="24"/>
              </w:rPr>
            </w:pPr>
            <w:r>
              <w:rPr>
                <w:rFonts w:hint="eastAsia" w:ascii="宋体" w:hAnsi="宋体" w:eastAsia="宋体" w:cs="宋体"/>
                <w:color w:val="auto"/>
                <w:spacing w:val="12"/>
                <w:sz w:val="24"/>
                <w:u w:val="none"/>
                <w:lang w:val="en-US" w:eastAsia="zh-CN"/>
              </w:rPr>
              <w:t>服务</w:t>
            </w:r>
            <w:r>
              <w:rPr>
                <w:rFonts w:hint="eastAsia" w:ascii="宋体" w:hAnsi="宋体" w:eastAsia="宋体" w:cs="宋体"/>
                <w:color w:val="auto"/>
                <w:spacing w:val="12"/>
                <w:sz w:val="24"/>
                <w:u w:val="none"/>
              </w:rPr>
              <w:t>期</w:t>
            </w:r>
            <w:r>
              <w:rPr>
                <w:rFonts w:hint="eastAsia" w:ascii="宋体" w:hAnsi="宋体" w:eastAsia="宋体" w:cs="宋体"/>
                <w:color w:val="auto"/>
                <w:spacing w:val="12"/>
                <w:sz w:val="24"/>
                <w:u w:val="none"/>
                <w:lang w:val="en-US" w:eastAsia="zh-CN"/>
              </w:rPr>
              <w:t>限</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194" w:type="dxa"/>
            <w:noWrap w:val="0"/>
            <w:vAlign w:val="center"/>
          </w:tcPr>
          <w:p>
            <w:pPr>
              <w:jc w:val="center"/>
              <w:rPr>
                <w:rFonts w:hint="default" w:ascii="宋体" w:hAnsi="宋体" w:eastAsia="宋体" w:cs="宋体"/>
                <w:color w:val="auto"/>
                <w:spacing w:val="12"/>
                <w:sz w:val="24"/>
                <w:u w:val="none"/>
                <w:lang w:val="en-US" w:eastAsia="zh-CN"/>
              </w:rPr>
            </w:pPr>
            <w:r>
              <w:rPr>
                <w:rFonts w:hint="eastAsia" w:ascii="宋体" w:hAnsi="宋体" w:cs="宋体"/>
                <w:color w:val="auto"/>
                <w:spacing w:val="12"/>
                <w:sz w:val="24"/>
                <w:u w:val="none"/>
                <w:lang w:val="en-US" w:eastAsia="zh-CN"/>
              </w:rPr>
              <w:t>售后期限</w:t>
            </w:r>
          </w:p>
        </w:tc>
        <w:tc>
          <w:tcPr>
            <w:tcW w:w="6806" w:type="dxa"/>
            <w:noWrap w:val="0"/>
            <w:vAlign w:val="center"/>
          </w:tcPr>
          <w:p>
            <w:pPr>
              <w:rPr>
                <w:rFonts w:hint="eastAsia" w:ascii="宋体" w:hAnsi="宋体" w:eastAsia="宋体" w:cs="宋体"/>
                <w:color w:val="auto"/>
                <w:spacing w:val="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2194" w:type="dxa"/>
            <w:noWrap w:val="0"/>
            <w:textDirection w:val="tbRlV"/>
            <w:vAlign w:val="center"/>
          </w:tcPr>
          <w:p>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6806" w:type="dxa"/>
            <w:noWrap w:val="0"/>
            <w:vAlign w:val="top"/>
          </w:tcPr>
          <w:p>
            <w:pPr>
              <w:pStyle w:val="11"/>
              <w:ind w:left="5250"/>
              <w:rPr>
                <w:rFonts w:hint="eastAsia" w:ascii="宋体" w:hAnsi="宋体" w:eastAsia="宋体" w:cs="宋体"/>
                <w:bCs/>
                <w:color w:val="auto"/>
                <w:spacing w:val="12"/>
              </w:rPr>
            </w:pPr>
          </w:p>
          <w:p>
            <w:pPr>
              <w:rPr>
                <w:rFonts w:hint="eastAsia" w:ascii="宋体" w:hAnsi="宋体" w:eastAsia="宋体" w:cs="宋体"/>
                <w:color w:val="auto"/>
                <w:spacing w:val="12"/>
                <w:sz w:val="24"/>
              </w:rPr>
            </w:pPr>
          </w:p>
          <w:p>
            <w:pPr>
              <w:rPr>
                <w:rFonts w:hint="eastAsia" w:ascii="宋体" w:hAnsi="宋体" w:eastAsia="宋体" w:cs="宋体"/>
                <w:color w:val="auto"/>
                <w:spacing w:val="12"/>
                <w:sz w:val="24"/>
              </w:rPr>
            </w:pPr>
          </w:p>
        </w:tc>
      </w:tr>
    </w:tbl>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供应商（公章）：                         </w:t>
      </w:r>
    </w:p>
    <w:p>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法定代表人/被授权人（签字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w:t>
      </w:r>
    </w:p>
    <w:p>
      <w:pPr>
        <w:kinsoku w:val="0"/>
        <w:spacing w:line="440" w:lineRule="exact"/>
        <w:ind w:firstLine="6240" w:firstLineChars="2600"/>
        <w:rPr>
          <w:rFonts w:hint="eastAsia" w:ascii="宋体" w:hAnsi="宋体" w:eastAsia="宋体" w:cs="宋体"/>
          <w:color w:val="auto"/>
          <w:sz w:val="24"/>
        </w:rPr>
      </w:pPr>
    </w:p>
    <w:p>
      <w:pPr>
        <w:kinsoku w:val="0"/>
        <w:spacing w:line="440" w:lineRule="exact"/>
        <w:ind w:firstLine="6240" w:firstLineChars="2600"/>
        <w:rPr>
          <w:rFonts w:hint="eastAsia" w:ascii="宋体" w:hAnsi="宋体" w:eastAsia="宋体" w:cs="宋体"/>
          <w:color w:val="auto"/>
          <w:sz w:val="24"/>
        </w:rPr>
      </w:pPr>
      <w:r>
        <w:rPr>
          <w:rFonts w:hint="eastAsia" w:ascii="宋体" w:hAnsi="宋体" w:eastAsia="宋体" w:cs="宋体"/>
          <w:color w:val="auto"/>
          <w:sz w:val="24"/>
        </w:rPr>
        <w:t>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日</w:t>
      </w:r>
    </w:p>
    <w:p>
      <w:pPr>
        <w:spacing w:line="360" w:lineRule="atLeast"/>
        <w:rPr>
          <w:rFonts w:hint="eastAsia" w:ascii="宋体" w:hAnsi="宋体" w:eastAsia="宋体" w:cs="宋体"/>
          <w:color w:val="auto"/>
          <w:sz w:val="24"/>
        </w:rPr>
        <w:sectPr>
          <w:footerReference r:id="rId16" w:type="default"/>
          <w:pgSz w:w="11906" w:h="16838"/>
          <w:pgMar w:top="1417" w:right="1417" w:bottom="1417" w:left="1417" w:header="851" w:footer="992" w:gutter="0"/>
          <w:lnNumType w:countBy="0" w:restart="continuous"/>
          <w:pgNumType w:fmt="decimal"/>
          <w:cols w:space="720" w:num="1"/>
          <w:docGrid w:type="lines" w:linePitch="315" w:charSpace="0"/>
        </w:sectPr>
      </w:pP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附表1</w:t>
      </w:r>
    </w:p>
    <w:p>
      <w:pPr>
        <w:spacing w:before="176" w:line="228" w:lineRule="auto"/>
        <w:ind w:left="341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2"/>
          <w:sz w:val="31"/>
          <w:szCs w:val="31"/>
        </w:rPr>
        <w:t>分项报价表</w:t>
      </w:r>
    </w:p>
    <w:p>
      <w:pPr>
        <w:spacing w:before="282"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208" w:line="221"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供应商:</w:t>
      </w:r>
      <w:r>
        <w:rPr>
          <w:rFonts w:hint="eastAsia" w:asciiTheme="minorEastAsia" w:hAnsiTheme="minorEastAsia" w:eastAsiaTheme="minorEastAsia" w:cstheme="minorEastAsia"/>
          <w:color w:val="auto"/>
          <w:spacing w:val="1"/>
          <w:sz w:val="24"/>
          <w:szCs w:val="24"/>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pacing w:val="-14"/>
          <w:sz w:val="24"/>
          <w:szCs w:val="24"/>
        </w:rPr>
        <w:t>单位：元</w:t>
      </w:r>
    </w:p>
    <w:p>
      <w:pPr>
        <w:spacing w:line="45" w:lineRule="exact"/>
        <w:rPr>
          <w:rFonts w:hint="eastAsia" w:asciiTheme="minorEastAsia" w:hAnsiTheme="minorEastAsia" w:eastAsiaTheme="minorEastAsia" w:cstheme="minorEastAsia"/>
          <w:color w:val="auto"/>
        </w:rPr>
      </w:pPr>
    </w:p>
    <w:tbl>
      <w:tblPr>
        <w:tblStyle w:val="27"/>
        <w:tblW w:w="83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3"/>
        <w:gridCol w:w="2791"/>
        <w:gridCol w:w="3171"/>
        <w:gridCol w:w="175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3" w:hRule="atLeast"/>
        </w:trPr>
        <w:tc>
          <w:tcPr>
            <w:tcW w:w="593" w:type="dxa"/>
            <w:textDirection w:val="tbRlV"/>
            <w:vAlign w:val="top"/>
          </w:tcPr>
          <w:p>
            <w:pPr>
              <w:spacing w:before="43" w:line="199" w:lineRule="auto"/>
              <w:ind w:left="792"/>
              <w:rPr>
                <w:rFonts w:ascii="宋体" w:hAnsi="宋体" w:eastAsia="宋体" w:cs="宋体"/>
                <w:sz w:val="24"/>
                <w:szCs w:val="24"/>
              </w:rPr>
            </w:pPr>
            <w:r>
              <w:rPr>
                <w:rFonts w:ascii="宋体" w:hAnsi="宋体" w:eastAsia="宋体" w:cs="宋体"/>
                <w:sz w:val="24"/>
                <w:szCs w:val="24"/>
              </w:rPr>
              <w:t>序 号</w:t>
            </w:r>
          </w:p>
        </w:tc>
        <w:tc>
          <w:tcPr>
            <w:tcW w:w="2791" w:type="dxa"/>
            <w:vAlign w:val="top"/>
          </w:tcPr>
          <w:p>
            <w:pPr>
              <w:pStyle w:val="28"/>
              <w:spacing w:line="249" w:lineRule="auto"/>
            </w:pPr>
          </w:p>
          <w:p>
            <w:pPr>
              <w:spacing w:before="78" w:line="219" w:lineRule="auto"/>
              <w:ind w:left="796"/>
              <w:rPr>
                <w:rFonts w:ascii="宋体" w:hAnsi="宋体" w:eastAsia="宋体" w:cs="宋体"/>
                <w:sz w:val="24"/>
                <w:szCs w:val="24"/>
              </w:rPr>
            </w:pPr>
            <w:r>
              <w:rPr>
                <w:rFonts w:ascii="宋体" w:hAnsi="宋体" w:eastAsia="宋体" w:cs="宋体"/>
                <w:spacing w:val="-3"/>
                <w:sz w:val="24"/>
                <w:szCs w:val="24"/>
              </w:rPr>
              <w:t>服务内容</w:t>
            </w:r>
          </w:p>
        </w:tc>
        <w:tc>
          <w:tcPr>
            <w:tcW w:w="3171" w:type="dxa"/>
            <w:vAlign w:val="top"/>
          </w:tcPr>
          <w:p>
            <w:pPr>
              <w:pStyle w:val="28"/>
              <w:spacing w:line="248" w:lineRule="auto"/>
            </w:pPr>
          </w:p>
          <w:p>
            <w:pPr>
              <w:spacing w:before="78" w:line="218" w:lineRule="auto"/>
              <w:ind w:left="798"/>
              <w:rPr>
                <w:rFonts w:ascii="宋体" w:hAnsi="宋体" w:eastAsia="宋体" w:cs="宋体"/>
                <w:sz w:val="24"/>
                <w:szCs w:val="24"/>
              </w:rPr>
            </w:pPr>
            <w:r>
              <w:rPr>
                <w:rFonts w:ascii="宋体" w:hAnsi="宋体" w:eastAsia="宋体" w:cs="宋体"/>
                <w:spacing w:val="-4"/>
                <w:sz w:val="24"/>
                <w:szCs w:val="24"/>
              </w:rPr>
              <w:t>报价</w:t>
            </w:r>
          </w:p>
        </w:tc>
        <w:tc>
          <w:tcPr>
            <w:tcW w:w="1757" w:type="dxa"/>
            <w:vAlign w:val="top"/>
          </w:tcPr>
          <w:p>
            <w:pPr>
              <w:pStyle w:val="28"/>
              <w:spacing w:line="280" w:lineRule="auto"/>
            </w:pPr>
          </w:p>
          <w:p>
            <w:pPr>
              <w:pStyle w:val="28"/>
              <w:spacing w:line="280" w:lineRule="auto"/>
            </w:pPr>
          </w:p>
          <w:p>
            <w:pPr>
              <w:spacing w:before="78" w:line="221" w:lineRule="auto"/>
              <w:ind w:left="804"/>
              <w:rPr>
                <w:rFonts w:ascii="宋体" w:hAnsi="宋体" w:eastAsia="宋体" w:cs="宋体"/>
                <w:sz w:val="24"/>
                <w:szCs w:val="24"/>
              </w:rPr>
            </w:pPr>
            <w:r>
              <w:rPr>
                <w:rFonts w:ascii="宋体" w:hAnsi="宋体" w:eastAsia="宋体" w:cs="宋体"/>
                <w:spacing w:val="-7"/>
                <w:sz w:val="24"/>
                <w:szCs w:val="24"/>
              </w:rPr>
              <w:t>备注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9"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593" w:type="dxa"/>
            <w:vAlign w:val="top"/>
          </w:tcPr>
          <w:p>
            <w:pPr>
              <w:pStyle w:val="28"/>
            </w:pPr>
          </w:p>
        </w:tc>
        <w:tc>
          <w:tcPr>
            <w:tcW w:w="2791" w:type="dxa"/>
            <w:vAlign w:val="top"/>
          </w:tcPr>
          <w:p>
            <w:pPr>
              <w:pStyle w:val="28"/>
            </w:pPr>
          </w:p>
        </w:tc>
        <w:tc>
          <w:tcPr>
            <w:tcW w:w="3171" w:type="dxa"/>
            <w:vAlign w:val="top"/>
          </w:tcPr>
          <w:p>
            <w:pPr>
              <w:pStyle w:val="28"/>
            </w:pPr>
          </w:p>
        </w:tc>
        <w:tc>
          <w:tcPr>
            <w:tcW w:w="1757"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9" w:hRule="atLeast"/>
        </w:trPr>
        <w:tc>
          <w:tcPr>
            <w:tcW w:w="3384" w:type="dxa"/>
            <w:gridSpan w:val="2"/>
            <w:vAlign w:val="top"/>
          </w:tcPr>
          <w:p>
            <w:pPr>
              <w:spacing w:before="28" w:line="221" w:lineRule="auto"/>
              <w:ind w:left="806"/>
              <w:rPr>
                <w:rFonts w:ascii="宋体" w:hAnsi="宋体" w:eastAsia="宋体" w:cs="宋体"/>
                <w:sz w:val="24"/>
                <w:szCs w:val="24"/>
              </w:rPr>
            </w:pPr>
            <w:r>
              <w:rPr>
                <w:rFonts w:ascii="宋体" w:hAnsi="宋体" w:eastAsia="宋体" w:cs="宋体"/>
                <w:spacing w:val="-8"/>
                <w:sz w:val="24"/>
                <w:szCs w:val="24"/>
              </w:rPr>
              <w:t>总计</w:t>
            </w:r>
          </w:p>
        </w:tc>
        <w:tc>
          <w:tcPr>
            <w:tcW w:w="4928" w:type="dxa"/>
            <w:gridSpan w:val="2"/>
            <w:vAlign w:val="top"/>
          </w:tcPr>
          <w:p>
            <w:pPr>
              <w:spacing w:before="29" w:line="213" w:lineRule="auto"/>
              <w:ind w:left="803"/>
              <w:rPr>
                <w:rFonts w:ascii="宋体" w:hAnsi="宋体" w:eastAsia="宋体" w:cs="宋体"/>
                <w:sz w:val="24"/>
                <w:szCs w:val="24"/>
              </w:rPr>
            </w:pPr>
            <w:r>
              <w:rPr>
                <w:rFonts w:ascii="宋体" w:hAnsi="宋体" w:eastAsia="宋体" w:cs="宋体"/>
                <w:spacing w:val="-1"/>
                <w:sz w:val="24"/>
                <w:szCs w:val="24"/>
              </w:rPr>
              <w:t>大写：人民币____________________</w:t>
            </w:r>
          </w:p>
          <w:p>
            <w:pPr>
              <w:spacing w:before="23" w:line="213" w:lineRule="auto"/>
              <w:ind w:left="807"/>
              <w:rPr>
                <w:rFonts w:ascii="宋体" w:hAnsi="宋体" w:eastAsia="宋体" w:cs="宋体"/>
                <w:sz w:val="24"/>
                <w:szCs w:val="24"/>
              </w:rPr>
            </w:pPr>
            <w:r>
              <w:rPr>
                <w:rFonts w:ascii="宋体" w:hAnsi="宋体" w:eastAsia="宋体" w:cs="宋体"/>
                <w:spacing w:val="-1"/>
                <w:sz w:val="24"/>
                <w:szCs w:val="24"/>
              </w:rPr>
              <w:t xml:space="preserve">小写： </w:t>
            </w:r>
            <w:r>
              <w:rPr>
                <w:rFonts w:ascii="宋体" w:hAnsi="宋体" w:eastAsia="宋体" w:cs="宋体"/>
                <w:spacing w:val="25"/>
                <w:sz w:val="24"/>
                <w:szCs w:val="24"/>
              </w:rPr>
              <w:t xml:space="preserve"> </w:t>
            </w:r>
            <w:r>
              <w:rPr>
                <w:rFonts w:ascii="宋体" w:hAnsi="宋体" w:eastAsia="宋体" w:cs="宋体"/>
                <w:spacing w:val="-1"/>
                <w:sz w:val="24"/>
                <w:szCs w:val="24"/>
              </w:rPr>
              <w:t>________________</w:t>
            </w:r>
            <w:r>
              <w:rPr>
                <w:rFonts w:ascii="宋体" w:hAnsi="宋体" w:eastAsia="宋体" w:cs="宋体"/>
                <w:spacing w:val="-2"/>
                <w:sz w:val="24"/>
                <w:szCs w:val="24"/>
              </w:rPr>
              <w:t>____元</w:t>
            </w:r>
          </w:p>
        </w:tc>
      </w:tr>
    </w:tbl>
    <w:p>
      <w:pPr>
        <w:spacing w:before="79" w:line="222" w:lineRule="auto"/>
        <w:ind w:left="5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投标报价完成本项目所需的一切费用，各投标人自主报价，此表格可延伸。</w:t>
      </w:r>
    </w:p>
    <w:p>
      <w:pPr>
        <w:spacing w:before="195" w:line="481" w:lineRule="auto"/>
        <w:ind w:right="460"/>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color w:val="auto"/>
          <w:spacing w:val="-2"/>
          <w:sz w:val="24"/>
          <w:szCs w:val="24"/>
          <w:lang w:val="en-US" w:eastAsia="zh-CN"/>
        </w:rPr>
        <w:t>2.分项报价表</w:t>
      </w:r>
      <w:r>
        <w:rPr>
          <w:rFonts w:hint="eastAsia" w:asciiTheme="minorEastAsia" w:hAnsiTheme="minorEastAsia" w:eastAsiaTheme="minorEastAsia" w:cstheme="minorEastAsia"/>
          <w:snapToGrid w:val="0"/>
          <w:color w:val="auto"/>
          <w:spacing w:val="-3"/>
          <w:kern w:val="0"/>
          <w:sz w:val="24"/>
          <w:szCs w:val="24"/>
          <w:lang w:val="en-US" w:eastAsia="en-US" w:bidi="ar-SA"/>
        </w:rPr>
        <w:t>无法满足的可自拟格式。</w:t>
      </w:r>
    </w:p>
    <w:p>
      <w:pPr>
        <w:pStyle w:val="7"/>
        <w:spacing w:line="284" w:lineRule="auto"/>
        <w:rPr>
          <w:rFonts w:hint="eastAsia" w:asciiTheme="minorEastAsia" w:hAnsiTheme="minorEastAsia" w:eastAsiaTheme="minorEastAsia" w:cstheme="minorEastAsia"/>
          <w:color w:val="auto"/>
        </w:rPr>
      </w:pPr>
    </w:p>
    <w:p>
      <w:pPr>
        <w:pStyle w:val="7"/>
        <w:spacing w:line="284" w:lineRule="auto"/>
        <w:rPr>
          <w:rFonts w:hint="eastAsia" w:asciiTheme="minorEastAsia" w:hAnsiTheme="minorEastAsia" w:eastAsiaTheme="minorEastAsia" w:cstheme="minorEastAsia"/>
          <w:color w:val="auto"/>
        </w:rPr>
      </w:pPr>
    </w:p>
    <w:p>
      <w:pPr>
        <w:spacing w:before="79" w:line="222" w:lineRule="auto"/>
        <w:ind w:left="5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2" w:lineRule="auto"/>
        <w:rPr>
          <w:rFonts w:hint="eastAsia" w:asciiTheme="minorEastAsia" w:hAnsiTheme="minorEastAsia" w:eastAsiaTheme="minorEastAsia" w:cstheme="minorEastAsia"/>
          <w:color w:val="auto"/>
        </w:rPr>
      </w:pPr>
    </w:p>
    <w:p>
      <w:pPr>
        <w:spacing w:before="79" w:line="222" w:lineRule="auto"/>
        <w:ind w:left="65"/>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480" w:firstLineChars="200"/>
        <w:rPr>
          <w:rFonts w:hint="default" w:asciiTheme="minorEastAsia" w:hAnsiTheme="minorEastAsia" w:eastAsiaTheme="minorEastAsia" w:cstheme="minorEastAsia"/>
          <w:color w:val="auto"/>
          <w:sz w:val="24"/>
          <w:szCs w:val="24"/>
          <w:lang w:val="en-US" w:eastAsia="zh-CN"/>
        </w:rPr>
        <w:sectPr>
          <w:footerReference r:id="rId17" w:type="default"/>
          <w:pgSz w:w="11906" w:h="16839"/>
          <w:pgMar w:top="1431" w:right="1767" w:bottom="1242" w:left="1757" w:header="0" w:footer="1028" w:gutter="0"/>
          <w:pgNumType w:fmt="decimal"/>
          <w:cols w:space="720" w:num="1"/>
        </w:sect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b/>
          <w:color w:val="auto"/>
          <w:sz w:val="44"/>
        </w:rPr>
      </w:pPr>
      <w:r>
        <w:rPr>
          <w:rFonts w:hint="eastAsia" w:ascii="宋体" w:hAnsi="宋体" w:eastAsia="宋体" w:cs="宋体"/>
          <w:color w:val="auto"/>
          <w:sz w:val="24"/>
          <w:szCs w:val="24"/>
        </w:rPr>
        <w:t>附表2</w:t>
      </w:r>
    </w:p>
    <w:p>
      <w:pPr>
        <w:spacing w:before="160" w:line="228" w:lineRule="auto"/>
        <w:ind w:left="3727"/>
        <w:rPr>
          <w:rFonts w:hint="eastAsia" w:asciiTheme="minorEastAsia" w:hAnsiTheme="minorEastAsia" w:eastAsiaTheme="minorEastAsia" w:cstheme="minorEastAsia"/>
          <w:color w:val="auto"/>
          <w:sz w:val="31"/>
          <w:szCs w:val="31"/>
        </w:rPr>
      </w:pPr>
      <w:r>
        <w:rPr>
          <w:rFonts w:hint="eastAsia" w:asciiTheme="minorEastAsia" w:hAnsiTheme="minorEastAsia" w:eastAsiaTheme="minorEastAsia" w:cstheme="minorEastAsia"/>
          <w:b/>
          <w:bCs/>
          <w:color w:val="auto"/>
          <w:spacing w:val="4"/>
          <w:sz w:val="31"/>
          <w:szCs w:val="31"/>
        </w:rPr>
        <w:t>技术指标偏差表</w:t>
      </w:r>
    </w:p>
    <w:p>
      <w:pPr>
        <w:spacing w:before="282" w:line="221"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项目名称：</w:t>
      </w:r>
    </w:p>
    <w:p>
      <w:pPr>
        <w:spacing w:before="211" w:line="224"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rPr>
        <w:t>项目编号：</w:t>
      </w:r>
    </w:p>
    <w:p>
      <w:pPr>
        <w:spacing w:before="105" w:line="223"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供应商:</w:t>
      </w:r>
    </w:p>
    <w:tbl>
      <w:tblPr>
        <w:tblStyle w:val="27"/>
        <w:tblW w:w="85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1554"/>
        <w:gridCol w:w="2176"/>
        <w:gridCol w:w="1612"/>
        <w:gridCol w:w="1040"/>
        <w:gridCol w:w="113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 w:hRule="atLeast"/>
        </w:trPr>
        <w:tc>
          <w:tcPr>
            <w:tcW w:w="1010" w:type="dxa"/>
            <w:vAlign w:val="top"/>
          </w:tcPr>
          <w:p>
            <w:pPr>
              <w:spacing w:before="314" w:line="221" w:lineRule="auto"/>
              <w:ind w:left="247"/>
              <w:rPr>
                <w:rFonts w:ascii="宋体" w:hAnsi="宋体" w:eastAsia="宋体" w:cs="宋体"/>
                <w:sz w:val="24"/>
                <w:szCs w:val="24"/>
              </w:rPr>
            </w:pPr>
            <w:r>
              <w:rPr>
                <w:rFonts w:ascii="宋体" w:hAnsi="宋体" w:eastAsia="宋体" w:cs="宋体"/>
                <w:spacing w:val="-5"/>
                <w:sz w:val="24"/>
                <w:szCs w:val="24"/>
              </w:rPr>
              <w:t>序号</w:t>
            </w:r>
          </w:p>
        </w:tc>
        <w:tc>
          <w:tcPr>
            <w:tcW w:w="1554" w:type="dxa"/>
            <w:vAlign w:val="top"/>
          </w:tcPr>
          <w:p>
            <w:pPr>
              <w:spacing w:before="315" w:line="219" w:lineRule="auto"/>
              <w:ind w:left="239"/>
              <w:rPr>
                <w:rFonts w:ascii="宋体" w:hAnsi="宋体" w:eastAsia="宋体" w:cs="宋体"/>
                <w:sz w:val="24"/>
                <w:szCs w:val="24"/>
              </w:rPr>
            </w:pPr>
            <w:r>
              <w:rPr>
                <w:rFonts w:ascii="宋体" w:hAnsi="宋体" w:eastAsia="宋体" w:cs="宋体"/>
                <w:spacing w:val="-5"/>
                <w:sz w:val="24"/>
                <w:szCs w:val="24"/>
              </w:rPr>
              <w:t>服务内容</w:t>
            </w:r>
          </w:p>
        </w:tc>
        <w:tc>
          <w:tcPr>
            <w:tcW w:w="2176" w:type="dxa"/>
            <w:vAlign w:val="top"/>
          </w:tcPr>
          <w:p>
            <w:pPr>
              <w:spacing w:before="314" w:line="220" w:lineRule="auto"/>
              <w:ind w:left="551"/>
              <w:rPr>
                <w:rFonts w:ascii="宋体" w:hAnsi="宋体" w:eastAsia="宋体" w:cs="宋体"/>
                <w:sz w:val="24"/>
                <w:szCs w:val="24"/>
              </w:rPr>
            </w:pPr>
            <w:r>
              <w:rPr>
                <w:rFonts w:hint="eastAsia" w:ascii="宋体" w:hAnsi="宋体" w:eastAsia="宋体" w:cs="宋体"/>
                <w:spacing w:val="-5"/>
                <w:sz w:val="24"/>
                <w:szCs w:val="24"/>
                <w:lang w:val="en-US" w:eastAsia="zh-CN"/>
              </w:rPr>
              <w:t>磋商</w:t>
            </w:r>
            <w:r>
              <w:rPr>
                <w:rFonts w:ascii="宋体" w:hAnsi="宋体" w:eastAsia="宋体" w:cs="宋体"/>
                <w:spacing w:val="-5"/>
                <w:sz w:val="24"/>
                <w:szCs w:val="24"/>
              </w:rPr>
              <w:t>要求</w:t>
            </w:r>
          </w:p>
        </w:tc>
        <w:tc>
          <w:tcPr>
            <w:tcW w:w="1612" w:type="dxa"/>
            <w:vAlign w:val="top"/>
          </w:tcPr>
          <w:p>
            <w:pPr>
              <w:spacing w:before="314" w:line="220" w:lineRule="auto"/>
              <w:ind w:left="294"/>
              <w:rPr>
                <w:rFonts w:ascii="宋体" w:hAnsi="宋体" w:eastAsia="宋体" w:cs="宋体"/>
                <w:sz w:val="24"/>
                <w:szCs w:val="24"/>
              </w:rPr>
            </w:pPr>
            <w:r>
              <w:rPr>
                <w:rFonts w:ascii="宋体" w:hAnsi="宋体" w:eastAsia="宋体" w:cs="宋体"/>
                <w:spacing w:val="-10"/>
                <w:sz w:val="24"/>
                <w:szCs w:val="24"/>
              </w:rPr>
              <w:t>响应情况</w:t>
            </w:r>
          </w:p>
        </w:tc>
        <w:tc>
          <w:tcPr>
            <w:tcW w:w="1040" w:type="dxa"/>
            <w:vAlign w:val="top"/>
          </w:tcPr>
          <w:p>
            <w:pPr>
              <w:spacing w:before="87" w:line="219" w:lineRule="auto"/>
              <w:ind w:left="268"/>
              <w:rPr>
                <w:rFonts w:ascii="宋体" w:hAnsi="宋体" w:eastAsia="宋体" w:cs="宋体"/>
                <w:sz w:val="24"/>
                <w:szCs w:val="24"/>
              </w:rPr>
            </w:pPr>
            <w:r>
              <w:rPr>
                <w:rFonts w:ascii="宋体" w:hAnsi="宋体" w:eastAsia="宋体" w:cs="宋体"/>
                <w:spacing w:val="-5"/>
                <w:sz w:val="24"/>
                <w:szCs w:val="24"/>
              </w:rPr>
              <w:t>偏离</w:t>
            </w:r>
          </w:p>
          <w:p>
            <w:pPr>
              <w:spacing w:before="199" w:line="220" w:lineRule="auto"/>
              <w:ind w:left="276"/>
              <w:rPr>
                <w:rFonts w:ascii="宋体" w:hAnsi="宋体" w:eastAsia="宋体" w:cs="宋体"/>
                <w:sz w:val="24"/>
                <w:szCs w:val="24"/>
              </w:rPr>
            </w:pPr>
            <w:r>
              <w:rPr>
                <w:rFonts w:ascii="宋体" w:hAnsi="宋体" w:eastAsia="宋体" w:cs="宋体"/>
                <w:spacing w:val="-6"/>
                <w:sz w:val="24"/>
                <w:szCs w:val="24"/>
              </w:rPr>
              <w:t>情况</w:t>
            </w:r>
          </w:p>
        </w:tc>
        <w:tc>
          <w:tcPr>
            <w:tcW w:w="1130" w:type="dxa"/>
            <w:vAlign w:val="top"/>
          </w:tcPr>
          <w:p>
            <w:pPr>
              <w:spacing w:before="317" w:line="219" w:lineRule="auto"/>
              <w:ind w:left="316"/>
              <w:rPr>
                <w:rFonts w:ascii="宋体" w:hAnsi="宋体" w:eastAsia="宋体" w:cs="宋体"/>
                <w:sz w:val="24"/>
                <w:szCs w:val="24"/>
              </w:rPr>
            </w:pPr>
            <w:r>
              <w:rPr>
                <w:rFonts w:ascii="宋体" w:hAnsi="宋体" w:eastAsia="宋体" w:cs="宋体"/>
                <w:spacing w:val="-7"/>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line="241" w:lineRule="auto"/>
              <w:ind w:left="487"/>
              <w:rPr>
                <w:rFonts w:ascii="宋体" w:hAnsi="宋体" w:eastAsia="宋体" w:cs="宋体"/>
                <w:sz w:val="24"/>
                <w:szCs w:val="24"/>
              </w:rPr>
            </w:pPr>
            <w:r>
              <w:rPr>
                <w:rFonts w:ascii="宋体" w:hAnsi="宋体" w:eastAsia="宋体" w:cs="宋体"/>
                <w:sz w:val="24"/>
                <w:szCs w:val="24"/>
              </w:rPr>
              <w:t>1</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010" w:type="dxa"/>
            <w:vAlign w:val="top"/>
          </w:tcPr>
          <w:p>
            <w:pPr>
              <w:spacing w:before="65" w:line="241" w:lineRule="auto"/>
              <w:ind w:left="455"/>
              <w:rPr>
                <w:rFonts w:ascii="宋体" w:hAnsi="宋体" w:eastAsia="宋体" w:cs="宋体"/>
                <w:sz w:val="24"/>
                <w:szCs w:val="24"/>
              </w:rPr>
            </w:pPr>
            <w:r>
              <w:rPr>
                <w:rFonts w:ascii="宋体" w:hAnsi="宋体" w:eastAsia="宋体" w:cs="宋体"/>
                <w:sz w:val="24"/>
                <w:szCs w:val="24"/>
              </w:rPr>
              <w:t>2</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1" w:hRule="atLeast"/>
        </w:trPr>
        <w:tc>
          <w:tcPr>
            <w:tcW w:w="1010" w:type="dxa"/>
            <w:vAlign w:val="top"/>
          </w:tcPr>
          <w:p>
            <w:pPr>
              <w:spacing w:before="62"/>
              <w:ind w:left="459"/>
              <w:rPr>
                <w:rFonts w:ascii="宋体" w:hAnsi="宋体" w:eastAsia="宋体" w:cs="宋体"/>
                <w:sz w:val="24"/>
                <w:szCs w:val="24"/>
              </w:rPr>
            </w:pPr>
            <w:r>
              <w:rPr>
                <w:rFonts w:ascii="宋体" w:hAnsi="宋体" w:eastAsia="宋体" w:cs="宋体"/>
                <w:sz w:val="24"/>
                <w:szCs w:val="24"/>
              </w:rPr>
              <w:t>3</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67" w:line="241" w:lineRule="auto"/>
              <w:ind w:left="446"/>
              <w:rPr>
                <w:rFonts w:ascii="宋体" w:hAnsi="宋体" w:eastAsia="宋体" w:cs="宋体"/>
                <w:sz w:val="24"/>
                <w:szCs w:val="24"/>
              </w:rPr>
            </w:pPr>
            <w:r>
              <w:rPr>
                <w:rFonts w:ascii="宋体" w:hAnsi="宋体" w:eastAsia="宋体" w:cs="宋体"/>
                <w:sz w:val="24"/>
                <w:szCs w:val="24"/>
              </w:rPr>
              <w:t>4</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010" w:type="dxa"/>
            <w:vAlign w:val="top"/>
          </w:tcPr>
          <w:p>
            <w:pPr>
              <w:spacing w:before="170" w:line="332" w:lineRule="exact"/>
              <w:ind w:left="412"/>
              <w:rPr>
                <w:rFonts w:ascii="宋体" w:hAnsi="宋体" w:eastAsia="宋体" w:cs="宋体"/>
                <w:sz w:val="24"/>
                <w:szCs w:val="24"/>
              </w:rPr>
            </w:pPr>
            <w:r>
              <w:rPr>
                <w:rFonts w:ascii="宋体" w:hAnsi="宋体" w:eastAsia="宋体" w:cs="宋体"/>
                <w:position w:val="1"/>
                <w:sz w:val="24"/>
                <w:szCs w:val="24"/>
              </w:rPr>
              <w:t>…</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1010" w:type="dxa"/>
            <w:vAlign w:val="top"/>
          </w:tcPr>
          <w:p>
            <w:pPr>
              <w:spacing w:before="110" w:line="182" w:lineRule="auto"/>
              <w:ind w:left="433"/>
              <w:rPr>
                <w:rFonts w:ascii="宋体" w:hAnsi="宋体" w:eastAsia="宋体" w:cs="宋体"/>
                <w:sz w:val="24"/>
                <w:szCs w:val="24"/>
              </w:rPr>
            </w:pPr>
            <w:r>
              <w:rPr>
                <w:rFonts w:ascii="宋体" w:hAnsi="宋体" w:eastAsia="宋体" w:cs="宋体"/>
                <w:sz w:val="24"/>
                <w:szCs w:val="24"/>
              </w:rPr>
              <w:t>N</w:t>
            </w:r>
          </w:p>
        </w:tc>
        <w:tc>
          <w:tcPr>
            <w:tcW w:w="1554" w:type="dxa"/>
            <w:vAlign w:val="top"/>
          </w:tcPr>
          <w:p>
            <w:pPr>
              <w:pStyle w:val="28"/>
            </w:pPr>
          </w:p>
        </w:tc>
        <w:tc>
          <w:tcPr>
            <w:tcW w:w="2176" w:type="dxa"/>
            <w:vAlign w:val="top"/>
          </w:tcPr>
          <w:p>
            <w:pPr>
              <w:pStyle w:val="28"/>
            </w:pPr>
          </w:p>
        </w:tc>
        <w:tc>
          <w:tcPr>
            <w:tcW w:w="1612" w:type="dxa"/>
            <w:vAlign w:val="top"/>
          </w:tcPr>
          <w:p>
            <w:pPr>
              <w:pStyle w:val="28"/>
            </w:pPr>
          </w:p>
        </w:tc>
        <w:tc>
          <w:tcPr>
            <w:tcW w:w="1040" w:type="dxa"/>
            <w:vAlign w:val="top"/>
          </w:tcPr>
          <w:p>
            <w:pPr>
              <w:pStyle w:val="28"/>
            </w:pPr>
          </w:p>
        </w:tc>
        <w:tc>
          <w:tcPr>
            <w:tcW w:w="1130" w:type="dxa"/>
            <w:vAlign w:val="top"/>
          </w:tcPr>
          <w:p>
            <w:pPr>
              <w:pStyle w:val="28"/>
            </w:pPr>
          </w:p>
        </w:tc>
      </w:tr>
    </w:tbl>
    <w:p>
      <w:pPr>
        <w:spacing w:before="195" w:line="481" w:lineRule="auto"/>
        <w:ind w:right="460"/>
        <w:rPr>
          <w:rFonts w:hint="eastAsia" w:asciiTheme="minorEastAsia" w:hAnsiTheme="minorEastAsia" w:eastAsiaTheme="minorEastAsia" w:cstheme="minorEastAsia"/>
          <w:color w:val="auto"/>
          <w:spacing w:val="-3"/>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textAlignment w:val="baseline"/>
        <w:rPr>
          <w:rFonts w:hint="eastAsia" w:asciiTheme="minorEastAsia" w:hAnsiTheme="minorEastAsia" w:eastAsiaTheme="minorEastAsia" w:cstheme="minorEastAsia"/>
          <w:color w:val="auto"/>
          <w:spacing w:val="-2"/>
          <w:sz w:val="24"/>
          <w:szCs w:val="24"/>
        </w:rPr>
      </w:pPr>
      <w:r>
        <w:rPr>
          <w:rFonts w:hint="eastAsia" w:asciiTheme="minorEastAsia" w:hAnsiTheme="minorEastAsia" w:eastAsiaTheme="minorEastAsia" w:cstheme="minorEastAsia"/>
          <w:color w:val="auto"/>
          <w:spacing w:val="-3"/>
          <w:sz w:val="24"/>
          <w:szCs w:val="24"/>
        </w:rPr>
        <w:t>说明：</w:t>
      </w:r>
      <w:r>
        <w:rPr>
          <w:rFonts w:hint="eastAsia" w:asciiTheme="minorEastAsia" w:hAnsiTheme="minorEastAsia" w:eastAsiaTheme="minorEastAsia" w:cstheme="minorEastAsia"/>
          <w:color w:val="auto"/>
          <w:spacing w:val="-3"/>
          <w:sz w:val="24"/>
          <w:szCs w:val="24"/>
          <w:lang w:val="en-US" w:eastAsia="zh-CN"/>
        </w:rPr>
        <w:t>1.</w:t>
      </w:r>
      <w:r>
        <w:rPr>
          <w:rFonts w:hint="eastAsia" w:asciiTheme="minorEastAsia" w:hAnsiTheme="minorEastAsia" w:eastAsiaTheme="minorEastAsia" w:cstheme="minorEastAsia"/>
          <w:color w:val="auto"/>
          <w:spacing w:val="-3"/>
          <w:sz w:val="24"/>
          <w:szCs w:val="24"/>
        </w:rPr>
        <w:t>投标人保证：除技术规格响应偏离表列出的偏差外，投标</w:t>
      </w:r>
      <w:r>
        <w:rPr>
          <w:rFonts w:hint="eastAsia" w:asciiTheme="minorEastAsia" w:hAnsiTheme="minorEastAsia" w:eastAsiaTheme="minorEastAsia" w:cstheme="minorEastAsia"/>
          <w:color w:val="auto"/>
          <w:spacing w:val="-4"/>
          <w:sz w:val="24"/>
          <w:szCs w:val="24"/>
        </w:rPr>
        <w:t>人响应采购文件</w:t>
      </w:r>
      <w:r>
        <w:rPr>
          <w:rFonts w:hint="eastAsia" w:asciiTheme="minorEastAsia" w:hAnsiTheme="minorEastAsia" w:eastAsiaTheme="minorEastAsia" w:cstheme="minorEastAsia"/>
          <w:color w:val="auto"/>
          <w:spacing w:val="-2"/>
          <w:sz w:val="24"/>
          <w:szCs w:val="24"/>
        </w:rPr>
        <w:t>的全部要求。如未填写此表，则视为无偏离。</w:t>
      </w:r>
    </w:p>
    <w:p>
      <w:pPr>
        <w:keepNext w:val="0"/>
        <w:keepLines w:val="0"/>
        <w:pageBreakBefore w:val="0"/>
        <w:widowControl/>
        <w:kinsoku w:val="0"/>
        <w:wordWrap/>
        <w:overflowPunct/>
        <w:topLinePunct w:val="0"/>
        <w:autoSpaceDE w:val="0"/>
        <w:autoSpaceDN w:val="0"/>
        <w:bidi w:val="0"/>
        <w:adjustRightInd w:val="0"/>
        <w:snapToGrid w:val="0"/>
        <w:spacing w:beforeAutospacing="0" w:afterAutospacing="0" w:line="360" w:lineRule="auto"/>
        <w:ind w:firstLine="472" w:firstLineChars="200"/>
        <w:textAlignment w:val="baseline"/>
        <w:rPr>
          <w:rFonts w:hint="eastAsia" w:ascii="宋体" w:hAnsi="宋体" w:eastAsia="宋体" w:cs="宋体"/>
          <w:color w:val="auto"/>
          <w:sz w:val="24"/>
        </w:rPr>
      </w:pPr>
      <w:r>
        <w:rPr>
          <w:rFonts w:hint="eastAsia" w:asciiTheme="minorEastAsia" w:hAnsiTheme="minorEastAsia" w:eastAsiaTheme="minorEastAsia" w:cstheme="minorEastAsia"/>
          <w:color w:val="auto"/>
          <w:spacing w:val="-2"/>
          <w:sz w:val="24"/>
          <w:szCs w:val="24"/>
          <w:lang w:val="en-US" w:eastAsia="zh-CN"/>
        </w:rPr>
        <w:t>2.</w:t>
      </w:r>
      <w:r>
        <w:rPr>
          <w:rFonts w:hint="eastAsia" w:ascii="宋体" w:hAnsi="宋体" w:eastAsia="宋体" w:cs="宋体"/>
          <w:color w:val="auto"/>
          <w:sz w:val="24"/>
        </w:rPr>
        <w:t>偏离情况填写：优于、等于或低于，偏离说明对偏离情况做出详细说明。</w:t>
      </w:r>
      <w:r>
        <w:rPr>
          <w:rFonts w:hint="eastAsia" w:ascii="宋体" w:hAnsi="宋体" w:eastAsia="宋体" w:cs="宋体"/>
          <w:color w:val="auto"/>
          <w:sz w:val="24"/>
          <w:szCs w:val="24"/>
          <w:lang w:val="en-US" w:eastAsia="zh-CN"/>
        </w:rPr>
        <w:t>此表</w:t>
      </w:r>
      <w:r>
        <w:rPr>
          <w:rFonts w:hint="eastAsia" w:ascii="宋体" w:hAnsi="宋体" w:eastAsia="宋体" w:cs="宋体"/>
          <w:color w:val="auto"/>
          <w:sz w:val="24"/>
        </w:rPr>
        <w:t>偏离情况</w:t>
      </w:r>
      <w:r>
        <w:rPr>
          <w:rFonts w:hint="eastAsia" w:ascii="宋体" w:hAnsi="宋体" w:eastAsia="宋体" w:cs="宋体"/>
          <w:color w:val="auto"/>
          <w:sz w:val="24"/>
          <w:lang w:val="en-US" w:eastAsia="zh-CN"/>
        </w:rPr>
        <w:t>若为</w:t>
      </w:r>
      <w:r>
        <w:rPr>
          <w:rFonts w:hint="eastAsia" w:ascii="宋体" w:hAnsi="宋体" w:eastAsia="宋体" w:cs="宋体"/>
          <w:color w:val="auto"/>
          <w:sz w:val="24"/>
        </w:rPr>
        <w:t>低于</w:t>
      </w:r>
      <w:r>
        <w:rPr>
          <w:rFonts w:hint="eastAsia" w:ascii="宋体" w:hAnsi="宋体" w:eastAsia="宋体" w:cs="宋体"/>
          <w:color w:val="auto"/>
          <w:sz w:val="24"/>
          <w:szCs w:val="24"/>
          <w:lang w:val="en-US" w:eastAsia="zh-CN"/>
        </w:rPr>
        <w:t>，视为不响应。</w:t>
      </w:r>
    </w:p>
    <w:p>
      <w:pPr>
        <w:keepNext w:val="0"/>
        <w:keepLines w:val="0"/>
        <w:pageBreakBefore w:val="0"/>
        <w:widowControl/>
        <w:kinsoku w:val="0"/>
        <w:wordWrap/>
        <w:overflowPunct/>
        <w:topLinePunct w:val="0"/>
        <w:autoSpaceDE w:val="0"/>
        <w:autoSpaceDN w:val="0"/>
        <w:bidi w:val="0"/>
        <w:adjustRightInd w:val="0"/>
        <w:snapToGrid w:val="0"/>
        <w:spacing w:line="481" w:lineRule="auto"/>
        <w:ind w:right="460" w:firstLine="468" w:firstLineChars="200"/>
        <w:textAlignment w:val="baseline"/>
        <w:rPr>
          <w:rFonts w:hint="eastAsia" w:asciiTheme="minorEastAsia" w:hAnsiTheme="minorEastAsia" w:eastAsiaTheme="minorEastAsia" w:cstheme="minorEastAsia"/>
          <w:snapToGrid w:val="0"/>
          <w:color w:val="auto"/>
          <w:spacing w:val="-3"/>
          <w:kern w:val="0"/>
          <w:sz w:val="24"/>
          <w:szCs w:val="24"/>
          <w:lang w:val="en-US" w:eastAsia="en-US" w:bidi="ar-SA"/>
        </w:rPr>
      </w:pPr>
      <w:r>
        <w:rPr>
          <w:rFonts w:hint="eastAsia" w:asciiTheme="minorEastAsia" w:hAnsiTheme="minorEastAsia" w:eastAsiaTheme="minorEastAsia" w:cstheme="minorEastAsia"/>
          <w:snapToGrid w:val="0"/>
          <w:color w:val="auto"/>
          <w:spacing w:val="-3"/>
          <w:kern w:val="0"/>
          <w:sz w:val="24"/>
          <w:szCs w:val="24"/>
          <w:lang w:val="en-US" w:eastAsia="zh-CN" w:bidi="ar-SA"/>
        </w:rPr>
        <w:t>3.</w:t>
      </w:r>
      <w:r>
        <w:rPr>
          <w:rFonts w:hint="eastAsia" w:asciiTheme="minorEastAsia" w:hAnsiTheme="minorEastAsia" w:eastAsiaTheme="minorEastAsia" w:cstheme="minorEastAsia"/>
          <w:snapToGrid w:val="0"/>
          <w:color w:val="auto"/>
          <w:spacing w:val="-3"/>
          <w:kern w:val="0"/>
          <w:sz w:val="24"/>
          <w:szCs w:val="24"/>
          <w:lang w:val="en-US" w:eastAsia="en-US" w:bidi="ar-SA"/>
        </w:rPr>
        <w:t>偏离表无法满足的可自拟格式。</w:t>
      </w:r>
    </w:p>
    <w:p>
      <w:pPr>
        <w:spacing w:before="317" w:line="222" w:lineRule="auto"/>
        <w:ind w:left="47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供应商（公章</w:t>
      </w:r>
      <w:r>
        <w:rPr>
          <w:rFonts w:hint="eastAsia" w:asciiTheme="minorEastAsia" w:hAnsiTheme="minorEastAsia" w:eastAsiaTheme="minorEastAsia" w:cstheme="minorEastAsia"/>
          <w:color w:val="auto"/>
          <w:sz w:val="24"/>
          <w:szCs w:val="24"/>
        </w:rPr>
        <w:t>）：</w:t>
      </w:r>
    </w:p>
    <w:p>
      <w:pPr>
        <w:pStyle w:val="7"/>
        <w:spacing w:line="470" w:lineRule="auto"/>
        <w:rPr>
          <w:rFonts w:hint="eastAsia" w:asciiTheme="minorEastAsia" w:hAnsiTheme="minorEastAsia" w:eastAsiaTheme="minorEastAsia" w:cstheme="minorEastAsia"/>
          <w:color w:val="auto"/>
        </w:rPr>
      </w:pPr>
    </w:p>
    <w:p>
      <w:pPr>
        <w:spacing w:before="79" w:line="222" w:lineRule="auto"/>
        <w:ind w:left="483"/>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法定代表人/被授权人（签字或盖章</w:t>
      </w:r>
      <w:r>
        <w:rPr>
          <w:rFonts w:hint="eastAsia" w:asciiTheme="minorEastAsia" w:hAnsiTheme="minorEastAsia" w:eastAsiaTheme="minorEastAsia" w:cstheme="minorEastAsia"/>
          <w:color w:val="auto"/>
          <w:spacing w:val="3"/>
          <w:sz w:val="24"/>
          <w:szCs w:val="24"/>
        </w:rPr>
        <w:t>）：</w:t>
      </w:r>
    </w:p>
    <w:p>
      <w:pPr>
        <w:spacing w:line="222" w:lineRule="auto"/>
        <w:rPr>
          <w:rFonts w:hint="eastAsia" w:asciiTheme="minorEastAsia" w:hAnsiTheme="minorEastAsia" w:eastAsiaTheme="minorEastAsia" w:cstheme="minorEastAsia"/>
          <w:color w:val="auto"/>
          <w:sz w:val="24"/>
          <w:szCs w:val="24"/>
        </w:rPr>
      </w:pPr>
    </w:p>
    <w:p>
      <w:pPr>
        <w:pStyle w:val="7"/>
        <w:rPr>
          <w:rFonts w:hint="eastAsia" w:asciiTheme="minorEastAsia" w:hAnsiTheme="minorEastAsia" w:eastAsiaTheme="minorEastAsia" w:cstheme="minorEastAsia"/>
          <w:color w:val="auto"/>
          <w:sz w:val="24"/>
          <w:szCs w:val="24"/>
        </w:rPr>
      </w:pPr>
    </w:p>
    <w:p>
      <w:pPr>
        <w:pStyle w:val="7"/>
        <w:ind w:firstLine="960" w:firstLineChars="4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年   月  日</w:t>
      </w:r>
    </w:p>
    <w:p>
      <w:pPr>
        <w:pStyle w:val="23"/>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pPr>
        <w:snapToGrid w:val="0"/>
        <w:spacing w:beforeAutospacing="0" w:afterAutospacing="0" w:line="360" w:lineRule="auto"/>
        <w:rPr>
          <w:rFonts w:hint="eastAsia" w:ascii="宋体" w:hAnsi="宋体" w:eastAsia="宋体" w:cs="宋体"/>
          <w:color w:val="auto"/>
          <w:u w:val="single"/>
        </w:rPr>
      </w:pPr>
      <w:r>
        <w:rPr>
          <w:rFonts w:hint="eastAsia" w:ascii="宋体" w:hAnsi="宋体" w:eastAsia="宋体" w:cs="宋体"/>
          <w:color w:val="auto"/>
          <w:u w:val="single"/>
        </w:rPr>
        <w:br w:type="page"/>
      </w:r>
      <w:r>
        <w:rPr>
          <w:rFonts w:hint="eastAsia" w:ascii="宋体" w:hAnsi="宋体" w:eastAsia="宋体" w:cs="宋体"/>
          <w:color w:val="auto"/>
          <w:sz w:val="24"/>
        </w:rPr>
        <w:t>附表3</w:t>
      </w:r>
    </w:p>
    <w:p>
      <w:pPr>
        <w:snapToGrid w:val="0"/>
        <w:spacing w:beforeAutospacing="0" w:afterAutospacing="0" w:line="360" w:lineRule="auto"/>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商务响应条款说明</w:t>
      </w:r>
    </w:p>
    <w:p>
      <w:pPr>
        <w:kinsoku w:val="0"/>
        <w:spacing w:beforeAutospacing="0" w:afterAutospacing="0" w:line="500" w:lineRule="exact"/>
        <w:ind w:left="-359" w:leftChars="-171" w:firstLine="358"/>
        <w:rPr>
          <w:rFonts w:hint="eastAsia" w:ascii="宋体" w:hAnsi="宋体" w:eastAsia="宋体" w:cs="宋体"/>
          <w:color w:val="auto"/>
          <w:sz w:val="24"/>
        </w:rPr>
      </w:pPr>
      <w:r>
        <w:rPr>
          <w:rFonts w:hint="eastAsia" w:ascii="宋体" w:hAnsi="宋体" w:eastAsia="宋体" w:cs="宋体"/>
          <w:color w:val="auto"/>
          <w:sz w:val="24"/>
        </w:rPr>
        <w:t xml:space="preserve">项目名称：                                                   </w:t>
      </w:r>
    </w:p>
    <w:p>
      <w:pPr>
        <w:kinsoku w:val="0"/>
        <w:spacing w:beforeAutospacing="0" w:afterAutospacing="0" w:line="540" w:lineRule="exact"/>
        <w:ind w:left="-359" w:leftChars="-171" w:firstLine="357"/>
        <w:rPr>
          <w:rFonts w:hint="eastAsia" w:ascii="宋体" w:hAnsi="宋体" w:eastAsia="宋体" w:cs="宋体"/>
          <w:color w:val="auto"/>
          <w:sz w:val="24"/>
        </w:rPr>
      </w:pPr>
      <w:r>
        <w:rPr>
          <w:rFonts w:hint="eastAsia" w:ascii="宋体" w:hAnsi="宋体" w:eastAsia="宋体" w:cs="宋体"/>
          <w:color w:val="auto"/>
          <w:sz w:val="24"/>
        </w:rPr>
        <w:t>项目编号：</w:t>
      </w:r>
      <w:r>
        <w:rPr>
          <w:rFonts w:hint="eastAsia" w:ascii="宋体" w:hAnsi="宋体" w:eastAsia="宋体" w:cs="宋体"/>
          <w:color w:val="auto"/>
          <w:sz w:val="32"/>
          <w:szCs w:val="32"/>
        </w:rPr>
        <w:t xml:space="preserve">                          </w:t>
      </w:r>
    </w:p>
    <w:tbl>
      <w:tblPr>
        <w:tblStyle w:val="19"/>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8"/>
        <w:gridCol w:w="2968"/>
        <w:gridCol w:w="2593"/>
        <w:gridCol w:w="1616"/>
        <w:gridCol w:w="161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rPr>
              <w:t>磋商文件要求</w:t>
            </w:r>
          </w:p>
        </w:tc>
        <w:tc>
          <w:tcPr>
            <w:tcW w:w="1341"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响应文件实际数据</w:t>
            </w:r>
          </w:p>
        </w:tc>
        <w:tc>
          <w:tcPr>
            <w:tcW w:w="836" w:type="pct"/>
            <w:noWrap w:val="0"/>
            <w:vAlign w:val="center"/>
          </w:tcPr>
          <w:p>
            <w:pPr>
              <w:spacing w:beforeAutospacing="0" w:afterAutospacing="0" w:line="560" w:lineRule="exact"/>
              <w:ind w:right="-168" w:rightChars="-80"/>
              <w:rPr>
                <w:rFonts w:hint="eastAsia" w:ascii="宋体" w:hAnsi="宋体" w:eastAsia="宋体" w:cs="宋体"/>
                <w:color w:val="auto"/>
                <w:sz w:val="24"/>
              </w:rPr>
            </w:pPr>
            <w:r>
              <w:rPr>
                <w:rFonts w:hint="eastAsia" w:ascii="宋体" w:hAnsi="宋体" w:eastAsia="宋体" w:cs="宋体"/>
                <w:color w:val="auto"/>
                <w:sz w:val="24"/>
              </w:rPr>
              <w:t>响应说明</w:t>
            </w:r>
          </w:p>
        </w:tc>
        <w:tc>
          <w:tcPr>
            <w:tcW w:w="836" w:type="pct"/>
            <w:noWrap w:val="0"/>
            <w:vAlign w:val="center"/>
          </w:tcPr>
          <w:p>
            <w:pPr>
              <w:spacing w:beforeAutospacing="0" w:afterAutospacing="0" w:line="560" w:lineRule="exact"/>
              <w:ind w:right="-168" w:rightChars="-80"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9"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535"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1341"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c>
          <w:tcPr>
            <w:tcW w:w="836" w:type="pct"/>
            <w:noWrap w:val="0"/>
            <w:vAlign w:val="center"/>
          </w:tcPr>
          <w:p>
            <w:pPr>
              <w:spacing w:beforeAutospacing="0" w:afterAutospacing="0" w:line="560" w:lineRule="exact"/>
              <w:ind w:right="-168" w:rightChars="-80"/>
              <w:jc w:val="center"/>
              <w:rPr>
                <w:rFonts w:hint="eastAsia" w:ascii="宋体" w:hAnsi="宋体" w:eastAsia="宋体" w:cs="宋体"/>
                <w:color w:val="auto"/>
                <w:sz w:val="24"/>
                <w:highlight w:val="yellow"/>
              </w:rPr>
            </w:pPr>
          </w:p>
        </w:tc>
      </w:tr>
    </w:tbl>
    <w:p>
      <w:pPr>
        <w:autoSpaceDE w:val="0"/>
        <w:autoSpaceDN w:val="0"/>
        <w:spacing w:beforeAutospacing="0" w:afterAutospacing="0" w:line="360" w:lineRule="auto"/>
        <w:rPr>
          <w:rFonts w:hint="eastAsia" w:ascii="宋体" w:hAnsi="宋体" w:eastAsia="宋体" w:cs="宋体"/>
          <w:color w:val="auto"/>
          <w:sz w:val="24"/>
        </w:rPr>
      </w:pPr>
      <w:r>
        <w:rPr>
          <w:rFonts w:hint="eastAsia" w:ascii="宋体" w:hAnsi="宋体" w:eastAsia="宋体" w:cs="宋体"/>
          <w:color w:val="auto"/>
          <w:sz w:val="24"/>
        </w:rPr>
        <w:t>说明：</w:t>
      </w:r>
    </w:p>
    <w:p>
      <w:pPr>
        <w:autoSpaceDE w:val="0"/>
        <w:autoSpaceDN w:val="0"/>
        <w:spacing w:beforeAutospacing="0" w:afterAutospacing="0"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1、按照供应商须知前附表商务条款须如实填写（提供</w:t>
      </w:r>
      <w:r>
        <w:rPr>
          <w:rFonts w:hint="eastAsia" w:ascii="宋体" w:hAnsi="宋体" w:eastAsia="宋体" w:cs="宋体"/>
          <w:color w:val="auto"/>
          <w:sz w:val="24"/>
          <w:lang w:val="en-US" w:eastAsia="zh-CN"/>
        </w:rPr>
        <w:t>服务</w:t>
      </w:r>
      <w:r>
        <w:rPr>
          <w:rFonts w:hint="eastAsia" w:ascii="宋体" w:hAnsi="宋体" w:eastAsia="宋体" w:cs="宋体"/>
          <w:color w:val="auto"/>
          <w:sz w:val="24"/>
        </w:rPr>
        <w:t>的时间、地点、结算方式等）。</w:t>
      </w:r>
    </w:p>
    <w:p>
      <w:pPr>
        <w:pStyle w:val="23"/>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pPr>
        <w:pStyle w:val="23"/>
        <w:rPr>
          <w:rFonts w:hint="eastAsia" w:ascii="宋体" w:hAnsi="宋体" w:eastAsia="宋体" w:cs="宋体"/>
          <w:color w:val="auto"/>
          <w:sz w:val="24"/>
        </w:rPr>
      </w:pPr>
      <w:r>
        <w:rPr>
          <w:rFonts w:hint="eastAsia" w:ascii="宋体" w:hAnsi="宋体" w:eastAsia="宋体" w:cs="宋体"/>
          <w:color w:val="auto"/>
          <w:sz w:val="24"/>
        </w:rPr>
        <w:t>法定代表人或被授权人（签字或盖章）：</w:t>
      </w: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color w:val="auto"/>
          <w:sz w:val="24"/>
        </w:rPr>
      </w:pPr>
    </w:p>
    <w:p>
      <w:pPr>
        <w:pStyle w:val="23"/>
        <w:jc w:val="center"/>
        <w:rPr>
          <w:rFonts w:hint="eastAsia" w:ascii="宋体" w:hAnsi="宋体" w:eastAsia="宋体" w:cs="宋体"/>
          <w:b/>
          <w:color w:val="auto"/>
          <w:sz w:val="32"/>
          <w:szCs w:val="32"/>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年   月   日</w:t>
      </w: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3</w:t>
      </w:r>
      <w:r>
        <w:rPr>
          <w:rFonts w:hint="eastAsia" w:ascii="宋体" w:hAnsi="宋体" w:eastAsia="宋体" w:cs="宋体"/>
          <w:b/>
          <w:color w:val="auto"/>
          <w:sz w:val="32"/>
          <w:szCs w:val="32"/>
        </w:rPr>
        <w:t>部分   法定代表人证明书与授权书</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kern w:val="0"/>
          <w:sz w:val="32"/>
          <w:szCs w:val="32"/>
        </w:rPr>
        <w:t>法定代表人证明书</w:t>
      </w: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color w:val="auto"/>
        </w:rPr>
      </w:pPr>
    </w:p>
    <w:p>
      <w:pPr>
        <w:pStyle w:val="17"/>
        <w:rPr>
          <w:rFonts w:hint="eastAsia" w:ascii="宋体" w:hAnsi="宋体" w:eastAsia="宋体" w:cs="宋体"/>
          <w:color w:val="auto"/>
        </w:rPr>
      </w:pP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pPr>
        <w:spacing w:line="560" w:lineRule="exact"/>
        <w:ind w:firstLine="240" w:firstLineChars="100"/>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pPr>
        <w:spacing w:line="560" w:lineRule="exact"/>
        <w:ind w:firstLine="307" w:firstLineChars="128"/>
        <w:rPr>
          <w:rFonts w:hint="eastAsia" w:ascii="宋体" w:hAnsi="宋体" w:eastAsia="宋体" w:cs="宋体"/>
          <w:color w:val="auto"/>
          <w:sz w:val="24"/>
        </w:rPr>
      </w:pPr>
    </w:p>
    <w:p>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pPr>
        <w:pStyle w:val="9"/>
        <w:ind w:left="0" w:leftChars="0" w:firstLine="0" w:firstLineChars="0"/>
        <w:rPr>
          <w:rFonts w:hint="eastAsia" w:ascii="宋体" w:hAnsi="宋体" w:eastAsia="宋体" w:cs="宋体"/>
          <w:color w:val="auto"/>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附法定代表人身份证正反面</w:t>
      </w:r>
      <w:r>
        <w:rPr>
          <w:rFonts w:hint="eastAsia" w:ascii="宋体" w:hAnsi="宋体" w:eastAsia="宋体" w:cs="宋体"/>
          <w:color w:val="auto"/>
          <w:sz w:val="24"/>
          <w:lang w:eastAsia="zh-CN"/>
        </w:rPr>
        <w:t>）</w:t>
      </w:r>
    </w:p>
    <w:p>
      <w:pPr>
        <w:spacing w:line="560" w:lineRule="exact"/>
        <w:rPr>
          <w:rFonts w:hint="eastAsia" w:ascii="宋体" w:hAnsi="宋体" w:eastAsia="宋体" w:cs="宋体"/>
          <w:color w:val="auto"/>
          <w:sz w:val="24"/>
        </w:rPr>
      </w:pPr>
    </w:p>
    <w:p>
      <w:pPr>
        <w:pStyle w:val="17"/>
        <w:rPr>
          <w:rFonts w:hint="eastAsia" w:ascii="宋体" w:hAnsi="宋体" w:eastAsia="宋体" w:cs="宋体"/>
          <w:color w:val="auto"/>
        </w:rPr>
      </w:pPr>
    </w:p>
    <w:p>
      <w:pPr>
        <w:spacing w:line="560" w:lineRule="exact"/>
        <w:rPr>
          <w:rFonts w:hint="eastAsia" w:ascii="宋体" w:hAnsi="宋体" w:eastAsia="宋体" w:cs="宋体"/>
          <w:color w:val="auto"/>
          <w:sz w:val="24"/>
        </w:rPr>
      </w:pPr>
    </w:p>
    <w:p>
      <w:pPr>
        <w:autoSpaceDE w:val="0"/>
        <w:autoSpaceDN w:val="0"/>
        <w:adjustRightInd w:val="0"/>
        <w:jc w:val="center"/>
        <w:rPr>
          <w:rFonts w:hint="eastAsia" w:ascii="宋体" w:hAnsi="宋体" w:eastAsia="宋体" w:cs="宋体"/>
          <w:color w:val="auto"/>
          <w:sz w:val="24"/>
          <w:u w:val="single"/>
          <w:lang w:val="zh-CN"/>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pPr>
        <w:autoSpaceDE w:val="0"/>
        <w:autoSpaceDN w:val="0"/>
        <w:adjustRightInd w:val="0"/>
        <w:rPr>
          <w:rFonts w:hint="eastAsia" w:ascii="宋体" w:hAnsi="宋体" w:eastAsia="宋体" w:cs="宋体"/>
          <w:color w:val="auto"/>
          <w:sz w:val="24"/>
          <w:lang w:val="zh-CN"/>
        </w:rPr>
      </w:pPr>
    </w:p>
    <w:p>
      <w:pPr>
        <w:autoSpaceDE w:val="0"/>
        <w:autoSpaceDN w:val="0"/>
        <w:adjustRightInd w:val="0"/>
        <w:ind w:firstLine="2400" w:firstLineChars="10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lang w:val="zh-CN"/>
        </w:rPr>
        <w:t>盖章）</w:t>
      </w:r>
    </w:p>
    <w:p>
      <w:pPr>
        <w:autoSpaceDE w:val="0"/>
        <w:autoSpaceDN w:val="0"/>
        <w:adjustRightInd w:val="0"/>
        <w:jc w:val="right"/>
        <w:rPr>
          <w:rFonts w:hint="eastAsia" w:ascii="宋体" w:hAnsi="宋体" w:eastAsia="宋体" w:cs="宋体"/>
          <w:color w:val="auto"/>
          <w:sz w:val="24"/>
        </w:rPr>
      </w:pPr>
    </w:p>
    <w:p>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pPr>
        <w:tabs>
          <w:tab w:val="left" w:pos="210"/>
        </w:tabs>
        <w:spacing w:line="320" w:lineRule="exact"/>
        <w:jc w:val="center"/>
        <w:rPr>
          <w:rFonts w:hint="eastAsia" w:ascii="宋体" w:hAnsi="宋体" w:eastAsia="宋体" w:cs="宋体"/>
          <w:b/>
          <w:color w:val="auto"/>
          <w:kern w:val="0"/>
          <w:sz w:val="32"/>
          <w:szCs w:val="32"/>
        </w:rPr>
      </w:pPr>
    </w:p>
    <w:p>
      <w:pPr>
        <w:tabs>
          <w:tab w:val="left" w:pos="210"/>
        </w:tabs>
        <w:spacing w:line="320" w:lineRule="exact"/>
        <w:jc w:val="center"/>
        <w:rPr>
          <w:rFonts w:hint="eastAsia" w:ascii="宋体" w:hAnsi="宋体" w:eastAsia="宋体" w:cs="宋体"/>
          <w:b/>
          <w:color w:val="auto"/>
          <w:kern w:val="0"/>
          <w:sz w:val="32"/>
          <w:szCs w:val="32"/>
        </w:rPr>
      </w:pPr>
    </w:p>
    <w:p>
      <w:pPr>
        <w:pStyle w:val="17"/>
        <w:rPr>
          <w:rFonts w:hint="eastAsia" w:ascii="宋体" w:hAnsi="宋体" w:eastAsia="宋体" w:cs="宋体"/>
          <w:b/>
          <w:color w:val="auto"/>
          <w:sz w:val="32"/>
          <w:szCs w:val="32"/>
        </w:rPr>
      </w:pPr>
    </w:p>
    <w:p>
      <w:pPr>
        <w:pStyle w:val="17"/>
        <w:ind w:left="0" w:leftChars="0" w:firstLine="0" w:firstLineChars="0"/>
        <w:rPr>
          <w:rFonts w:hint="eastAsia" w:ascii="宋体" w:hAnsi="宋体" w:eastAsia="宋体" w:cs="宋体"/>
          <w:b/>
          <w:color w:val="auto"/>
          <w:sz w:val="32"/>
          <w:szCs w:val="32"/>
        </w:rPr>
      </w:pPr>
    </w:p>
    <w:p>
      <w:pPr>
        <w:tabs>
          <w:tab w:val="left" w:pos="210"/>
        </w:tabs>
        <w:spacing w:line="320" w:lineRule="exact"/>
        <w:jc w:val="left"/>
        <w:rPr>
          <w:rFonts w:hint="eastAsia" w:ascii="宋体" w:hAnsi="宋体" w:eastAsia="宋体" w:cs="宋体"/>
          <w:b/>
          <w:color w:val="auto"/>
          <w:kern w:val="0"/>
          <w:sz w:val="24"/>
        </w:rPr>
      </w:pPr>
      <w:r>
        <w:rPr>
          <w:rFonts w:hint="eastAsia" w:ascii="宋体" w:hAnsi="宋体" w:eastAsia="宋体" w:cs="宋体"/>
          <w:b/>
          <w:color w:val="auto"/>
          <w:kern w:val="0"/>
          <w:sz w:val="24"/>
        </w:rPr>
        <w:t xml:space="preserve">  </w:t>
      </w:r>
    </w:p>
    <w:p>
      <w:pPr>
        <w:tabs>
          <w:tab w:val="left" w:pos="210"/>
        </w:tabs>
        <w:spacing w:line="320" w:lineRule="exact"/>
        <w:jc w:val="center"/>
        <w:rPr>
          <w:rFonts w:hint="eastAsia" w:ascii="宋体" w:hAnsi="宋体" w:eastAsia="宋体" w:cs="宋体"/>
          <w:color w:val="auto"/>
          <w:spacing w:val="-6"/>
          <w:sz w:val="24"/>
        </w:rPr>
      </w:pPr>
      <w:r>
        <w:rPr>
          <w:rFonts w:hint="eastAsia" w:ascii="宋体" w:hAnsi="宋体" w:eastAsia="宋体" w:cs="宋体"/>
          <w:b/>
          <w:color w:val="auto"/>
          <w:kern w:val="0"/>
          <w:sz w:val="32"/>
          <w:szCs w:val="32"/>
        </w:rPr>
        <w:t>法定代表人授权委托书</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 xml:space="preserve">   （项目名称）（采购项目编号）   </w:t>
      </w:r>
      <w:r>
        <w:rPr>
          <w:rFonts w:hint="eastAsia" w:ascii="宋体" w:hAnsi="宋体" w:eastAsia="宋体" w:cs="宋体"/>
          <w:color w:val="auto"/>
          <w:sz w:val="24"/>
        </w:rPr>
        <w:t>的</w:t>
      </w:r>
      <w:r>
        <w:rPr>
          <w:rFonts w:hint="eastAsia" w:ascii="宋体" w:hAnsi="宋体" w:eastAsia="宋体" w:cs="宋体"/>
          <w:color w:val="auto"/>
          <w:sz w:val="24"/>
          <w:lang w:val="zh-CN"/>
        </w:rPr>
        <w:t>投标，以本公司名义处理一切与之有关的事务</w:t>
      </w:r>
      <w:r>
        <w:rPr>
          <w:rFonts w:hint="eastAsia" w:ascii="宋体" w:hAnsi="宋体" w:eastAsia="宋体" w:cs="宋体"/>
          <w:color w:val="auto"/>
          <w:sz w:val="24"/>
        </w:rPr>
        <w:t>。</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日签字生效，有效期文件在磋商之日计算有效为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日历天。</w:t>
      </w:r>
    </w:p>
    <w:p>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pPr>
        <w:adjustRightInd w:val="0"/>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身份证复印件粘贴处</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法</w:t>
            </w:r>
            <w:r>
              <w:rPr>
                <w:rFonts w:hint="eastAsia" w:ascii="宋体" w:hAnsi="宋体" w:eastAsia="宋体" w:cs="宋体"/>
                <w:color w:val="auto"/>
                <w:sz w:val="22"/>
                <w:szCs w:val="22"/>
                <w:lang w:val="en-US" w:eastAsia="zh-CN"/>
              </w:rPr>
              <w:t>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法定代表人</w:t>
            </w:r>
            <w:r>
              <w:rPr>
                <w:rFonts w:hint="eastAsia" w:ascii="宋体" w:hAnsi="宋体" w:eastAsia="宋体" w:cs="宋体"/>
                <w:color w:val="auto"/>
                <w:sz w:val="22"/>
                <w:szCs w:val="22"/>
              </w:rPr>
              <w:t>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0" w:hRule="atLeast"/>
        </w:trPr>
        <w:tc>
          <w:tcPr>
            <w:tcW w:w="3960" w:type="dxa"/>
            <w:noWrap w:val="0"/>
            <w:vAlign w:val="top"/>
          </w:tcPr>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rPr>
            </w:pPr>
          </w:p>
          <w:p>
            <w:pPr>
              <w:adjustRightInd w:val="0"/>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正面</w:t>
            </w:r>
            <w:r>
              <w:rPr>
                <w:rFonts w:hint="eastAsia" w:ascii="宋体" w:hAnsi="宋体" w:eastAsia="宋体" w:cs="宋体"/>
                <w:color w:val="auto"/>
                <w:sz w:val="22"/>
                <w:szCs w:val="22"/>
                <w:lang w:eastAsia="zh-CN"/>
              </w:rPr>
              <w:t>）</w:t>
            </w:r>
          </w:p>
        </w:tc>
        <w:tc>
          <w:tcPr>
            <w:tcW w:w="3983" w:type="dxa"/>
            <w:noWrap w:val="0"/>
            <w:vAlign w:val="top"/>
          </w:tcPr>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rPr>
            </w:pPr>
          </w:p>
          <w:p>
            <w:pPr>
              <w:widowControl/>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授权委托人身份证复印件</w:t>
            </w: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lang w:val="en-US" w:eastAsia="zh-CN"/>
              </w:rPr>
              <w:t>反面）</w:t>
            </w:r>
          </w:p>
        </w:tc>
      </w:tr>
    </w:tbl>
    <w:p>
      <w:pPr>
        <w:spacing w:line="560" w:lineRule="exact"/>
        <w:ind w:firstLine="1233" w:firstLineChars="514"/>
        <w:rPr>
          <w:rFonts w:hint="eastAsia" w:ascii="宋体" w:hAnsi="宋体" w:eastAsia="宋体" w:cs="宋体"/>
          <w:color w:val="auto"/>
          <w:sz w:val="24"/>
          <w:u w:val="single"/>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p>
    <w:p>
      <w:pPr>
        <w:spacing w:line="560" w:lineRule="exact"/>
        <w:ind w:firstLine="1233" w:firstLineChars="514"/>
        <w:rPr>
          <w:rFonts w:hint="eastAsia" w:ascii="宋体" w:hAnsi="宋体" w:eastAsia="宋体" w:cs="宋体"/>
          <w:color w:val="auto"/>
          <w:sz w:val="24"/>
        </w:rPr>
      </w:pPr>
    </w:p>
    <w:p>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并</w:t>
      </w:r>
      <w:r>
        <w:rPr>
          <w:rFonts w:hint="eastAsia" w:ascii="宋体" w:hAnsi="宋体" w:eastAsia="宋体" w:cs="宋体"/>
          <w:color w:val="auto"/>
          <w:sz w:val="24"/>
        </w:rPr>
        <w:t xml:space="preserve">盖章）      </w:t>
      </w:r>
    </w:p>
    <w:p>
      <w:pPr>
        <w:spacing w:line="560" w:lineRule="exact"/>
        <w:ind w:firstLine="1233" w:firstLineChars="514"/>
        <w:rPr>
          <w:rFonts w:hint="eastAsia" w:ascii="宋体" w:hAnsi="宋体" w:eastAsia="宋体" w:cs="宋体"/>
          <w:color w:val="auto"/>
          <w:sz w:val="24"/>
        </w:rPr>
      </w:pPr>
    </w:p>
    <w:p>
      <w:pPr>
        <w:spacing w:line="560" w:lineRule="exact"/>
        <w:rPr>
          <w:rFonts w:hint="eastAsia" w:ascii="宋体" w:hAnsi="宋体" w:eastAsia="宋体" w:cs="宋体"/>
          <w:b/>
          <w:color w:val="auto"/>
          <w:sz w:val="32"/>
          <w:szCs w:val="32"/>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numPr>
          <w:ilvl w:val="0"/>
          <w:numId w:val="5"/>
        </w:num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 供应商资质证明文件</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4</w:t>
      </w:r>
      <w:r>
        <w:rPr>
          <w:rFonts w:hint="eastAsia" w:ascii="宋体" w:hAnsi="宋体" w:eastAsia="宋体" w:cs="宋体"/>
          <w:color w:val="auto"/>
          <w:sz w:val="24"/>
          <w:szCs w:val="24"/>
          <w:lang w:val="en-US" w:eastAsia="zh-CN"/>
        </w:rPr>
        <w:t>.1具有独立承担民事责任能力的法人、其他组织或自然人，并出具合法有效的营业执照或事业单位法人证书等国家规定的相关证</w:t>
      </w:r>
      <w:r>
        <w:rPr>
          <w:rFonts w:hint="eastAsia" w:cs="宋体"/>
          <w:color w:val="auto"/>
          <w:sz w:val="24"/>
          <w:szCs w:val="24"/>
          <w:lang w:val="en-US" w:eastAsia="zh-CN"/>
        </w:rPr>
        <w:t>明</w:t>
      </w:r>
      <w:r>
        <w:rPr>
          <w:rFonts w:hint="eastAsia" w:ascii="宋体" w:hAnsi="宋体" w:eastAsia="宋体" w:cs="宋体"/>
          <w:color w:val="auto"/>
          <w:sz w:val="24"/>
          <w:szCs w:val="24"/>
          <w:lang w:val="en-US" w:eastAsia="zh-CN"/>
        </w:rPr>
        <w:t>，自然人参与的提供其身份证明</w:t>
      </w:r>
      <w:r>
        <w:rPr>
          <w:rFonts w:hint="eastAsia" w:cs="宋体"/>
          <w:color w:val="auto"/>
          <w:sz w:val="24"/>
          <w:szCs w:val="24"/>
          <w:lang w:val="en-US" w:eastAsia="zh-CN"/>
        </w:rPr>
        <w:t>。</w:t>
      </w:r>
    </w:p>
    <w:p>
      <w:pPr>
        <w:pStyle w:val="1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right="0" w:rightChars="0" w:firstLine="480" w:firstLineChars="200"/>
        <w:jc w:val="both"/>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4</w:t>
      </w:r>
      <w:r>
        <w:rPr>
          <w:rFonts w:hint="eastAsia" w:ascii="宋体" w:hAnsi="宋体" w:eastAsia="宋体" w:cs="宋体"/>
          <w:color w:val="auto"/>
          <w:sz w:val="24"/>
          <w:szCs w:val="24"/>
          <w:lang w:val="en-US" w:eastAsia="zh-CN"/>
        </w:rPr>
        <w:t>.2财务状况报告：提供</w:t>
      </w:r>
      <w:bookmarkStart w:id="17" w:name="_GoBack"/>
      <w:bookmarkEnd w:id="17"/>
      <w:r>
        <w:rPr>
          <w:rFonts w:hint="eastAsia" w:cs="宋体"/>
          <w:color w:val="auto"/>
          <w:sz w:val="24"/>
          <w:szCs w:val="24"/>
          <w:lang w:val="en-US" w:eastAsia="zh-CN"/>
        </w:rPr>
        <w:t>2025年度</w:t>
      </w:r>
      <w:r>
        <w:rPr>
          <w:rFonts w:hint="eastAsia" w:ascii="宋体" w:hAnsi="宋体" w:eastAsia="宋体" w:cs="宋体"/>
          <w:color w:val="auto"/>
          <w:sz w:val="24"/>
          <w:szCs w:val="24"/>
          <w:lang w:val="en-US" w:eastAsia="zh-CN"/>
        </w:rPr>
        <w:t>的供应商经审计的财务报告（至少包含资产负债表和利润表，成立时间至提交投标文件截止时间不足一年的可提供成立后任意时段的资产负债表）或开标前三个月内其基本账户银行出具的资信证明；</w:t>
      </w:r>
    </w:p>
    <w:p>
      <w:pPr>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.3社会保障资金缴纳证明：提供投标截止时间前1年内任意1个月的社会保障资金缴存单据或社保机构开具的社会保险参保缴费情况证明；依法不需要缴纳社会保障资金的应提供相关文件证明；</w:t>
      </w:r>
    </w:p>
    <w:p>
      <w:pPr>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.4税收缴纳证明：提供投标截止时间前1年内任意1个月完税凭证或税务机关开具的完税证明（任意税种）；依法免税的应提供相关文件证明；</w:t>
      </w:r>
    </w:p>
    <w:p>
      <w:pPr>
        <w:ind w:firstLine="480" w:firstLineChars="200"/>
        <w:rPr>
          <w:rFonts w:hint="eastAsia" w:ascii="仿宋_GB2312" w:hAnsi="仿宋_GB2312" w:eastAsia="仿宋_GB2312" w:cs="仿宋_GB2312"/>
          <w:color w:val="auto"/>
          <w:kern w:val="2"/>
          <w:sz w:val="32"/>
          <w:szCs w:val="32"/>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.5书面声明：提供《供应商信用记录书面声明函》（按</w:t>
      </w:r>
      <w:r>
        <w:rPr>
          <w:rFonts w:hint="default" w:ascii="宋体" w:hAnsi="宋体" w:eastAsia="宋体" w:cs="宋体"/>
          <w:color w:val="auto"/>
          <w:sz w:val="24"/>
          <w:szCs w:val="24"/>
          <w:lang w:val="en-US" w:eastAsia="zh-CN"/>
        </w:rPr>
        <w:t>格式填写，提供原件的扫描件）。经查，供应商未被列入“信用中国”网站记录的 “失信被执行人”或“重大税收违法失信主体”名单；不处于“中国政府采购网” 记录的“政府采购严重违法失信行为信息记录名单”中的禁止参加政府采购活动期间。</w:t>
      </w:r>
    </w:p>
    <w:p>
      <w:pPr>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6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pPr>
        <w:ind w:firstLine="480" w:firstLineChars="200"/>
        <w:rPr>
          <w:rFonts w:hint="eastAsia" w:ascii="宋体" w:hAnsi="宋体" w:eastAsia="宋体" w:cs="宋体"/>
          <w:color w:val="auto"/>
          <w:kern w:val="0"/>
          <w:sz w:val="24"/>
          <w:szCs w:val="24"/>
          <w:lang w:val="en-US" w:eastAsia="zh-CN" w:bidi="ar-SA"/>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w:t>
      </w:r>
      <w:r>
        <w:rPr>
          <w:rFonts w:hint="eastAsia" w:cs="宋体"/>
          <w:color w:val="auto"/>
          <w:sz w:val="24"/>
          <w:szCs w:val="24"/>
          <w:lang w:val="en-US" w:eastAsia="zh-CN"/>
        </w:rPr>
        <w:t>7</w:t>
      </w:r>
      <w:r>
        <w:rPr>
          <w:rFonts w:hint="eastAsia" w:ascii="宋体" w:hAnsi="宋体" w:eastAsia="宋体" w:cs="宋体"/>
          <w:color w:val="auto"/>
          <w:sz w:val="24"/>
          <w:szCs w:val="24"/>
          <w:lang w:val="en-US" w:eastAsia="zh-CN"/>
        </w:rPr>
        <w:t>单位负责人为同一人或者存在直接控股、管理关系的不同供应商，不得参加同一合同项下的政府采购活动；</w:t>
      </w:r>
    </w:p>
    <w:p>
      <w:pPr>
        <w:spacing w:line="360" w:lineRule="auto"/>
        <w:ind w:firstLine="480" w:firstLineChars="200"/>
        <w:rPr>
          <w:rFonts w:hint="eastAsia" w:ascii="宋体" w:hAnsi="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w:t>
      </w:r>
      <w:r>
        <w:rPr>
          <w:rFonts w:hint="eastAsia" w:ascii="宋体" w:hAnsi="宋体" w:cs="宋体"/>
          <w:color w:val="auto"/>
          <w:kern w:val="0"/>
          <w:sz w:val="24"/>
          <w:szCs w:val="24"/>
          <w:lang w:val="en-US" w:eastAsia="zh-CN" w:bidi="ar-SA"/>
        </w:rPr>
        <w:t>8供应商须需具备履行合同所必须的设备和专业技术能力。提供说明和承诺（格式自拟）。</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default" w:ascii="宋体" w:hAnsi="宋体" w:cs="宋体"/>
          <w:color w:val="auto"/>
          <w:kern w:val="0"/>
          <w:sz w:val="24"/>
          <w:szCs w:val="24"/>
          <w:lang w:val="en-US" w:eastAsia="zh-CN" w:bidi="ar-SA"/>
        </w:rPr>
      </w:pPr>
      <w:r>
        <w:rPr>
          <w:rFonts w:hint="eastAsia" w:ascii="宋体" w:hAnsi="宋体" w:cs="宋体"/>
          <w:color w:val="auto"/>
          <w:kern w:val="0"/>
          <w:sz w:val="24"/>
          <w:szCs w:val="24"/>
          <w:lang w:val="en-US" w:eastAsia="zh-CN" w:bidi="ar-SA"/>
        </w:rPr>
        <w:t>4.9</w:t>
      </w:r>
      <w:r>
        <w:rPr>
          <w:rFonts w:hint="eastAsia" w:ascii="宋体" w:hAnsi="宋体" w:eastAsia="宋体" w:cs="Times New Roman"/>
          <w:color w:val="auto"/>
          <w:sz w:val="24"/>
          <w:lang w:val="en-US" w:eastAsia="zh-CN"/>
        </w:rPr>
        <w:t>供应商须在“社会消防技术服务信息系统（https://shhxf.119.gov.cn/templet/index_7.jsp）”中可查询，且服务类型须包含“消防设施维护保养检测”及“消防安全评估”；</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Lines="0" w:beforeAutospacing="0" w:after="0" w:afterLines="0" w:afterAutospacing="0" w:line="440" w:lineRule="exact"/>
        <w:ind w:left="0" w:right="0" w:firstLine="480" w:firstLineChars="200"/>
        <w:jc w:val="left"/>
        <w:textAlignment w:val="auto"/>
        <w:rPr>
          <w:rFonts w:hint="eastAsia" w:ascii="宋体" w:hAnsi="宋体" w:eastAsia="宋体" w:cs="宋体"/>
          <w:b w:val="0"/>
          <w:bCs w:val="0"/>
          <w:color w:val="auto"/>
          <w:kern w:val="2"/>
          <w:sz w:val="24"/>
          <w:szCs w:val="24"/>
          <w:lang w:val="en-US" w:eastAsia="zh-CN" w:bidi="ar-SA"/>
        </w:rPr>
      </w:pPr>
      <w:r>
        <w:rPr>
          <w:rFonts w:hint="eastAsia" w:ascii="宋体" w:hAnsi="宋体" w:eastAsia="宋体" w:cs="宋体"/>
          <w:b w:val="0"/>
          <w:bCs w:val="0"/>
          <w:color w:val="auto"/>
          <w:kern w:val="0"/>
          <w:sz w:val="24"/>
          <w:szCs w:val="24"/>
          <w:lang w:val="en-US" w:eastAsia="zh-CN" w:bidi="ar-SA"/>
        </w:rPr>
        <w:t>4.10</w:t>
      </w:r>
      <w:r>
        <w:rPr>
          <w:rFonts w:hint="eastAsia" w:ascii="宋体" w:hAnsi="宋体" w:eastAsia="宋体" w:cs="宋体"/>
          <w:b w:val="0"/>
          <w:bCs w:val="0"/>
          <w:color w:val="auto"/>
          <w:kern w:val="2"/>
          <w:sz w:val="24"/>
          <w:szCs w:val="24"/>
          <w:lang w:val="en-US" w:eastAsia="zh-CN" w:bidi="ar-SA"/>
        </w:rPr>
        <w:t>本项目不接受联合体投标。（提供非联合体声明函）</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Lines="0" w:beforeAutospacing="0" w:after="0" w:afterLines="0" w:afterAutospacing="0" w:line="440" w:lineRule="exact"/>
        <w:ind w:left="0" w:right="0" w:firstLine="480"/>
        <w:jc w:val="left"/>
        <w:textAlignment w:val="auto"/>
        <w:rPr>
          <w:rFonts w:hint="default"/>
          <w:lang w:val="en-US" w:eastAsia="zh-CN"/>
        </w:rPr>
      </w:pPr>
      <w:r>
        <w:rPr>
          <w:rFonts w:hint="eastAsia" w:ascii="宋体" w:hAnsi="宋体" w:cs="宋体"/>
          <w:b w:val="0"/>
          <w:bCs w:val="0"/>
          <w:color w:val="auto"/>
          <w:kern w:val="2"/>
          <w:sz w:val="24"/>
          <w:szCs w:val="24"/>
          <w:lang w:val="en-US" w:eastAsia="zh-CN" w:bidi="ar-SA"/>
        </w:rPr>
        <w:t>4.11</w:t>
      </w:r>
      <w:r>
        <w:rPr>
          <w:rFonts w:hint="eastAsia" w:ascii="宋体" w:hAnsi="宋体" w:eastAsia="宋体" w:cs="宋体"/>
          <w:i w:val="0"/>
          <w:iCs w:val="0"/>
          <w:caps w:val="0"/>
          <w:spacing w:val="0"/>
          <w:sz w:val="24"/>
          <w:szCs w:val="24"/>
          <w:shd w:val="clear" w:color="auto" w:fill="FFFFFF"/>
          <w:lang w:val="en-US" w:eastAsia="zh-CN"/>
        </w:rPr>
        <w:t>本项目专门面向中小企业。</w:t>
      </w:r>
      <w:r>
        <w:rPr>
          <w:rFonts w:hint="eastAsia" w:ascii="宋体" w:hAnsi="宋体" w:eastAsia="宋体" w:cs="宋体"/>
          <w:b w:val="0"/>
          <w:bCs w:val="0"/>
          <w:color w:val="auto"/>
          <w:kern w:val="2"/>
          <w:sz w:val="24"/>
          <w:szCs w:val="24"/>
          <w:lang w:val="en-US" w:eastAsia="zh-CN" w:bidi="ar-SA"/>
        </w:rPr>
        <w:t>（提供中小企业声明函）</w:t>
      </w: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jc w:val="both"/>
        <w:textAlignment w:val="auto"/>
        <w:rPr>
          <w:rFonts w:hint="eastAsia" w:ascii="宋体" w:hAnsi="宋体" w:eastAsia="宋体" w:cs="宋体"/>
          <w:b/>
          <w:color w:val="auto"/>
          <w:sz w:val="32"/>
          <w:szCs w:val="32"/>
        </w:rPr>
      </w:pPr>
    </w:p>
    <w:p>
      <w:pPr>
        <w:pStyle w:val="29"/>
        <w:keepNext w:val="0"/>
        <w:keepLines w:val="0"/>
        <w:pageBreakBefore w:val="0"/>
        <w:widowControl w:val="0"/>
        <w:numPr>
          <w:ilvl w:val="0"/>
          <w:numId w:val="0"/>
        </w:numPr>
        <w:wordWrap/>
        <w:overflowPunct/>
        <w:topLinePunct w:val="0"/>
        <w:autoSpaceDE/>
        <w:autoSpaceDN/>
        <w:bidi w:val="0"/>
        <w:adjustRightInd/>
        <w:snapToGrid/>
        <w:spacing w:before="157" w:beforeLines="50" w:line="360" w:lineRule="auto"/>
        <w:ind w:firstLine="2570" w:firstLineChars="800"/>
        <w:jc w:val="both"/>
        <w:textAlignment w:val="auto"/>
        <w:rPr>
          <w:rFonts w:hint="eastAsia" w:ascii="宋体" w:hAnsi="宋体" w:eastAsia="宋体" w:cs="宋体"/>
          <w:color w:val="auto"/>
          <w:sz w:val="44"/>
        </w:rPr>
      </w:pP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5</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磋商响应</w:t>
      </w:r>
      <w:r>
        <w:rPr>
          <w:rFonts w:hint="eastAsia" w:ascii="宋体" w:hAnsi="宋体" w:eastAsia="宋体" w:cs="宋体"/>
          <w:b/>
          <w:color w:val="auto"/>
          <w:sz w:val="32"/>
          <w:szCs w:val="32"/>
          <w:lang w:eastAsia="zh-CN"/>
        </w:rPr>
        <w:t>技术</w:t>
      </w:r>
      <w:r>
        <w:rPr>
          <w:rFonts w:hint="eastAsia" w:ascii="宋体" w:hAnsi="宋体" w:eastAsia="宋体" w:cs="宋体"/>
          <w:b/>
          <w:color w:val="auto"/>
          <w:sz w:val="32"/>
          <w:szCs w:val="32"/>
        </w:rPr>
        <w:t>方案</w:t>
      </w:r>
    </w:p>
    <w:p>
      <w:pPr>
        <w:spacing w:line="480" w:lineRule="auto"/>
        <w:ind w:firstLine="480" w:firstLineChars="200"/>
        <w:outlineLvl w:val="2"/>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应按照</w:t>
      </w:r>
      <w:r>
        <w:rPr>
          <w:rFonts w:hint="eastAsia" w:ascii="宋体" w:hAnsi="宋体" w:eastAsia="宋体" w:cs="宋体"/>
          <w:color w:val="auto"/>
          <w:sz w:val="24"/>
          <w:szCs w:val="24"/>
          <w:lang w:eastAsia="zh-CN"/>
        </w:rPr>
        <w:t>磋商文件</w:t>
      </w:r>
      <w:r>
        <w:rPr>
          <w:rFonts w:hint="eastAsia" w:ascii="宋体" w:hAnsi="宋体" w:eastAsia="宋体" w:cs="宋体"/>
          <w:color w:val="auto"/>
          <w:sz w:val="24"/>
          <w:szCs w:val="24"/>
        </w:rPr>
        <w:t>要求，根据“</w:t>
      </w:r>
      <w:r>
        <w:rPr>
          <w:rFonts w:hint="eastAsia" w:ascii="宋体" w:hAnsi="宋体" w:eastAsia="宋体" w:cs="宋体"/>
          <w:color w:val="auto"/>
          <w:sz w:val="24"/>
          <w:szCs w:val="24"/>
          <w:lang w:eastAsia="zh-CN"/>
        </w:rPr>
        <w:t>第二部分</w:t>
      </w:r>
      <w:r>
        <w:rPr>
          <w:rFonts w:hint="eastAsia" w:ascii="宋体" w:hAnsi="宋体" w:eastAsia="宋体" w:cs="宋体"/>
          <w:color w:val="auto"/>
          <w:sz w:val="24"/>
          <w:szCs w:val="24"/>
          <w:lang w:val="en-US" w:eastAsia="zh-CN"/>
        </w:rPr>
        <w:t>磋商办法及</w:t>
      </w:r>
      <w:r>
        <w:rPr>
          <w:rFonts w:hint="eastAsia" w:ascii="宋体" w:hAnsi="宋体" w:eastAsia="宋体" w:cs="宋体"/>
          <w:color w:val="auto"/>
          <w:sz w:val="24"/>
          <w:szCs w:val="24"/>
        </w:rPr>
        <w:t>第三部分磋商内容及服务要</w:t>
      </w:r>
      <w:r>
        <w:rPr>
          <w:rFonts w:hint="eastAsia" w:ascii="宋体" w:hAnsi="宋体" w:eastAsia="宋体" w:cs="宋体"/>
          <w:color w:val="auto"/>
          <w:sz w:val="24"/>
          <w:szCs w:val="24"/>
          <w:lang w:eastAsia="zh-CN"/>
        </w:rPr>
        <w:t>求”内容作出全面响应。</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5.1、</w:t>
      </w:r>
      <w:r>
        <w:rPr>
          <w:rFonts w:hint="eastAsia" w:ascii="宋体" w:hAnsi="宋体" w:cs="宋体"/>
          <w:color w:val="auto"/>
          <w:sz w:val="24"/>
          <w:szCs w:val="24"/>
          <w:lang w:val="en-US" w:eastAsia="zh-CN"/>
        </w:rPr>
        <w:t>总体服务</w:t>
      </w:r>
      <w:r>
        <w:rPr>
          <w:rFonts w:hint="eastAsia" w:ascii="宋体" w:hAnsi="宋体" w:eastAsia="宋体" w:cs="宋体"/>
          <w:color w:val="auto"/>
          <w:sz w:val="24"/>
          <w:szCs w:val="24"/>
          <w:lang w:val="en-US" w:eastAsia="zh-CN"/>
        </w:rPr>
        <w:t>方案</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5.2、服务承诺</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5.3、质量保障措施</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5.4、</w:t>
      </w:r>
      <w:r>
        <w:rPr>
          <w:rFonts w:hint="eastAsia" w:ascii="宋体" w:hAnsi="宋体" w:cs="宋体"/>
          <w:color w:val="auto"/>
          <w:sz w:val="24"/>
          <w:szCs w:val="24"/>
          <w:lang w:val="en-US" w:eastAsia="zh-CN"/>
        </w:rPr>
        <w:t>安全生产及</w:t>
      </w:r>
      <w:r>
        <w:rPr>
          <w:rFonts w:hint="eastAsia" w:ascii="宋体" w:hAnsi="宋体" w:eastAsia="宋体" w:cs="宋体"/>
          <w:color w:val="auto"/>
          <w:sz w:val="24"/>
          <w:szCs w:val="24"/>
          <w:lang w:val="en-US" w:eastAsia="zh-CN"/>
        </w:rPr>
        <w:t>应急</w:t>
      </w:r>
      <w:r>
        <w:rPr>
          <w:rFonts w:hint="eastAsia" w:ascii="宋体" w:hAnsi="宋体" w:cs="宋体"/>
          <w:color w:val="auto"/>
          <w:sz w:val="24"/>
          <w:szCs w:val="24"/>
          <w:lang w:val="en-US" w:eastAsia="zh-CN"/>
        </w:rPr>
        <w:t>预案</w:t>
      </w:r>
    </w:p>
    <w:p>
      <w:pPr>
        <w:spacing w:line="480" w:lineRule="auto"/>
        <w:ind w:firstLine="480" w:firstLineChars="200"/>
        <w:outlineLvl w:val="2"/>
        <w:rPr>
          <w:rFonts w:hint="eastAsia" w:ascii="宋体" w:hAnsi="宋体" w:eastAsia="宋体" w:cs="宋体"/>
          <w:color w:val="auto"/>
          <w:sz w:val="24"/>
          <w:szCs w:val="24"/>
          <w:lang w:val="en-US" w:eastAsia="zh-CN"/>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spacing w:line="600" w:lineRule="exact"/>
        <w:jc w:val="both"/>
        <w:rPr>
          <w:rFonts w:hint="eastAsia" w:ascii="宋体" w:hAnsi="宋体" w:eastAsia="宋体" w:cs="宋体"/>
          <w:b/>
          <w:color w:val="auto"/>
        </w:rPr>
      </w:pPr>
    </w:p>
    <w:p>
      <w:pPr>
        <w:spacing w:line="600" w:lineRule="exact"/>
        <w:jc w:val="center"/>
        <w:rPr>
          <w:rFonts w:hint="eastAsia" w:ascii="宋体" w:hAnsi="宋体" w:eastAsia="宋体" w:cs="宋体"/>
          <w:b/>
          <w:color w:val="auto"/>
        </w:rPr>
      </w:pPr>
      <w:r>
        <w:rPr>
          <w:rFonts w:hint="eastAsia" w:ascii="宋体" w:hAnsi="宋体" w:eastAsia="宋体" w:cs="宋体"/>
          <w:b/>
          <w:color w:val="auto"/>
        </w:rPr>
        <w:t xml:space="preserve"> </w:t>
      </w:r>
    </w:p>
    <w:p>
      <w:pPr>
        <w:spacing w:line="600" w:lineRule="exact"/>
        <w:jc w:val="center"/>
        <w:rPr>
          <w:rFonts w:hint="eastAsia" w:ascii="宋体" w:hAnsi="宋体" w:eastAsia="宋体" w:cs="宋体"/>
          <w:b/>
          <w:color w:val="auto"/>
        </w:rPr>
      </w:pPr>
      <w:r>
        <w:rPr>
          <w:rFonts w:hint="eastAsia" w:ascii="宋体" w:hAnsi="宋体" w:eastAsia="宋体" w:cs="宋体"/>
          <w:b/>
          <w:color w:val="auto"/>
        </w:rPr>
        <w:br w:type="page"/>
      </w:r>
    </w:p>
    <w:p>
      <w:pPr>
        <w:spacing w:line="600" w:lineRule="exact"/>
        <w:jc w:val="center"/>
        <w:rPr>
          <w:rFonts w:hint="eastAsia" w:ascii="宋体" w:hAnsi="宋体" w:eastAsia="宋体" w:cs="宋体"/>
          <w:b/>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6</w:t>
      </w:r>
      <w:r>
        <w:rPr>
          <w:rFonts w:hint="eastAsia" w:ascii="宋体" w:hAnsi="宋体" w:eastAsia="宋体" w:cs="宋体"/>
          <w:b/>
          <w:color w:val="auto"/>
          <w:sz w:val="32"/>
          <w:szCs w:val="32"/>
        </w:rPr>
        <w:t>部分</w:t>
      </w:r>
      <w:r>
        <w:rPr>
          <w:rFonts w:hint="eastAsia" w:ascii="宋体" w:hAnsi="宋体" w:eastAsia="宋体" w:cs="宋体"/>
          <w:b/>
          <w:color w:val="auto"/>
        </w:rPr>
        <w:t xml:space="preserve"> </w:t>
      </w:r>
      <w:r>
        <w:rPr>
          <w:rFonts w:hint="eastAsia" w:ascii="宋体" w:hAnsi="宋体" w:eastAsia="宋体" w:cs="宋体"/>
          <w:b/>
          <w:color w:val="auto"/>
          <w:sz w:val="32"/>
          <w:szCs w:val="32"/>
        </w:rPr>
        <w:t xml:space="preserve"> 商务响应方案</w:t>
      </w:r>
    </w:p>
    <w:p>
      <w:pPr>
        <w:spacing w:line="760" w:lineRule="exact"/>
        <w:rPr>
          <w:rFonts w:hint="eastAsia" w:ascii="宋体" w:hAnsi="宋体" w:eastAsia="宋体" w:cs="宋体"/>
          <w:color w:val="auto"/>
          <w:sz w:val="24"/>
        </w:rPr>
      </w:pPr>
      <w:r>
        <w:rPr>
          <w:rFonts w:hint="eastAsia" w:ascii="宋体" w:hAnsi="宋体" w:eastAsia="宋体" w:cs="宋体"/>
          <w:color w:val="auto"/>
          <w:sz w:val="24"/>
        </w:rPr>
        <w:t>商务响应方案的主要内容</w:t>
      </w:r>
      <w:r>
        <w:rPr>
          <w:rFonts w:hint="eastAsia" w:ascii="宋体" w:hAnsi="宋体" w:eastAsia="宋体" w:cs="宋体"/>
          <w:color w:val="auto"/>
          <w:sz w:val="24"/>
          <w:lang w:eastAsia="zh-CN"/>
        </w:rPr>
        <w:t>：</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6.1、</w:t>
      </w:r>
      <w:r>
        <w:rPr>
          <w:rFonts w:hint="eastAsia" w:ascii="宋体" w:hAnsi="宋体" w:eastAsia="宋体" w:cs="宋体"/>
          <w:color w:val="auto"/>
          <w:sz w:val="24"/>
        </w:rPr>
        <w:t>企业简介；</w:t>
      </w:r>
    </w:p>
    <w:p>
      <w:pPr>
        <w:spacing w:line="480" w:lineRule="auto"/>
        <w:ind w:firstLine="480" w:firstLineChars="200"/>
        <w:outlineLvl w:val="2"/>
        <w:rPr>
          <w:rFonts w:hint="eastAsia" w:ascii="宋体" w:hAnsi="宋体" w:eastAsia="宋体" w:cs="宋体"/>
          <w:color w:val="auto"/>
          <w:sz w:val="24"/>
        </w:rPr>
      </w:pPr>
      <w:r>
        <w:rPr>
          <w:rFonts w:hint="eastAsia" w:ascii="宋体" w:hAnsi="宋体" w:eastAsia="宋体" w:cs="宋体"/>
          <w:color w:val="auto"/>
          <w:sz w:val="24"/>
          <w:lang w:val="en-US" w:eastAsia="zh-CN"/>
        </w:rPr>
        <w:t>6.2、</w:t>
      </w:r>
      <w:r>
        <w:rPr>
          <w:rFonts w:hint="eastAsia" w:ascii="宋体" w:hAnsi="宋体" w:eastAsia="宋体" w:cs="宋体"/>
          <w:color w:val="auto"/>
          <w:sz w:val="24"/>
        </w:rPr>
        <w:t>供应商商务响应与合同条款说明（参照《商务及合同主要条款》）；</w:t>
      </w: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6.3、业绩；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6.4、</w:t>
      </w:r>
      <w:r>
        <w:rPr>
          <w:rFonts w:hint="eastAsia" w:ascii="宋体" w:hAnsi="宋体" w:cs="宋体"/>
          <w:color w:val="auto"/>
          <w:sz w:val="24"/>
          <w:szCs w:val="24"/>
          <w:lang w:val="en-US" w:eastAsia="zh-CN"/>
        </w:rPr>
        <w:t>服务团队；</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6.5、</w:t>
      </w:r>
      <w:r>
        <w:rPr>
          <w:rFonts w:hint="eastAsia" w:ascii="宋体" w:hAnsi="宋体" w:eastAsia="宋体" w:cs="宋体"/>
          <w:color w:val="auto"/>
          <w:sz w:val="24"/>
        </w:rPr>
        <w:t>有必要说明的商务事宜。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spacing w:line="480" w:lineRule="auto"/>
        <w:ind w:firstLine="480" w:firstLineChars="200"/>
        <w:outlineLvl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注：包含但不限于以上内容，详细方案编制参见评分办法相关内容。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color w:val="auto"/>
          <w:sz w:val="24"/>
          <w:szCs w:val="24"/>
          <w:lang w:val="en-US" w:eastAsia="zh-CN"/>
        </w:rPr>
      </w:pPr>
    </w:p>
    <w:p>
      <w:pPr>
        <w:spacing w:line="360" w:lineRule="atLeas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r>
        <w:rPr>
          <w:rFonts w:hint="eastAsia" w:ascii="宋体" w:hAnsi="宋体" w:eastAsia="宋体" w:cs="宋体"/>
          <w:b/>
          <w:color w:val="auto"/>
          <w:sz w:val="32"/>
          <w:szCs w:val="32"/>
        </w:rPr>
        <w:t>第</w:t>
      </w:r>
      <w:r>
        <w:rPr>
          <w:rFonts w:hint="eastAsia" w:ascii="宋体" w:hAnsi="宋体" w:eastAsia="宋体" w:cs="宋体"/>
          <w:b/>
          <w:color w:val="auto"/>
          <w:sz w:val="32"/>
          <w:szCs w:val="32"/>
          <w:lang w:val="en-US" w:eastAsia="zh-CN"/>
        </w:rPr>
        <w:t>7</w:t>
      </w:r>
      <w:r>
        <w:rPr>
          <w:rFonts w:hint="eastAsia" w:ascii="宋体" w:hAnsi="宋体" w:eastAsia="宋体" w:cs="宋体"/>
          <w:b/>
          <w:color w:val="auto"/>
          <w:sz w:val="32"/>
          <w:szCs w:val="32"/>
        </w:rPr>
        <w:t>部分  供应商承诺书</w:t>
      </w:r>
    </w:p>
    <w:p>
      <w:pPr>
        <w:pStyle w:val="10"/>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szCs w:val="32"/>
        </w:rPr>
        <w:t>Ⅰ</w:t>
      </w:r>
    </w:p>
    <w:p>
      <w:pPr>
        <w:rPr>
          <w:rFonts w:hint="eastAsia" w:ascii="宋体" w:hAnsi="宋体" w:eastAsia="宋体" w:cs="宋体"/>
          <w:color w:val="auto"/>
        </w:rPr>
      </w:pPr>
    </w:p>
    <w:p>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pPr>
        <w:spacing w:line="360" w:lineRule="auto"/>
        <w:ind w:firstLine="480" w:firstLineChars="20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szCs w:val="28"/>
        </w:rPr>
        <w:t>：</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（签字）</w:t>
      </w:r>
    </w:p>
    <w:p>
      <w:pPr>
        <w:spacing w:line="440" w:lineRule="exact"/>
        <w:ind w:firstLine="360" w:firstLineChars="150"/>
        <w:rPr>
          <w:rFonts w:hint="eastAsia" w:ascii="宋体" w:hAnsi="宋体" w:eastAsia="宋体" w:cs="宋体"/>
          <w:color w:val="auto"/>
          <w:sz w:val="24"/>
          <w:szCs w:val="28"/>
        </w:rPr>
      </w:pP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p>
    <w:p>
      <w:pPr>
        <w:spacing w:line="440" w:lineRule="exact"/>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pPr>
        <w:spacing w:line="440" w:lineRule="exact"/>
        <w:ind w:firstLine="480" w:firstLineChars="200"/>
        <w:rPr>
          <w:rFonts w:hint="eastAsia" w:ascii="宋体" w:hAnsi="宋体" w:eastAsia="宋体" w:cs="宋体"/>
          <w:color w:val="auto"/>
          <w:sz w:val="24"/>
          <w:szCs w:val="28"/>
        </w:rPr>
      </w:pPr>
    </w:p>
    <w:p>
      <w:pPr>
        <w:spacing w:line="360" w:lineRule="auto"/>
        <w:ind w:firstLine="360" w:firstLineChars="150"/>
        <w:rPr>
          <w:rFonts w:hint="eastAsia" w:ascii="宋体" w:hAnsi="宋体" w:eastAsia="宋体" w:cs="宋体"/>
          <w:color w:val="auto"/>
          <w:sz w:val="24"/>
          <w:szCs w:val="28"/>
        </w:rPr>
      </w:pPr>
    </w:p>
    <w:p>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承诺书Ⅱ</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42"/>
          <w:szCs w:val="4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承诺书Ⅲ</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作为参加贵单位组织的磋商采购项目的供应商，本公司郑重申告并承诺：近三年受到有关行政主管部门的行政处理、不良行为记录为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spacing w:line="360" w:lineRule="atLeast"/>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p>
    <w:p>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承诺书Ⅳ</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eastAsia="宋体" w:cs="宋体"/>
                <w:color w:val="auto"/>
                <w:spacing w:val="-6"/>
                <w:sz w:val="24"/>
                <w:lang w:val="en-US" w:eastAsia="zh-CN"/>
              </w:rPr>
              <w:t>富县政府采购管理中心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pPr>
              <w:spacing w:line="360" w:lineRule="atLeast"/>
              <w:ind w:firstLine="480" w:firstLineChars="200"/>
              <w:rPr>
                <w:rFonts w:hint="eastAsia" w:ascii="宋体" w:hAnsi="宋体" w:eastAsia="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noWrap w:val="0"/>
            <w:vAlign w:val="center"/>
          </w:tcPr>
          <w:p>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noWrap w:val="0"/>
            <w:vAlign w:val="center"/>
          </w:tcPr>
          <w:p>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firstLine="2570" w:firstLineChars="800"/>
        <w:rPr>
          <w:rFonts w:hint="eastAsia" w:ascii="宋体" w:hAnsi="宋体" w:eastAsia="宋体" w:cs="宋体"/>
          <w:b/>
          <w:bCs/>
          <w:color w:val="auto"/>
          <w:sz w:val="32"/>
        </w:rPr>
      </w:pPr>
    </w:p>
    <w:p>
      <w:pPr>
        <w:wordWrap w:val="0"/>
        <w:spacing w:line="360" w:lineRule="auto"/>
        <w:ind w:right="456"/>
        <w:rPr>
          <w:rFonts w:hint="eastAsia" w:ascii="宋体" w:hAnsi="宋体" w:eastAsia="宋体" w:cs="宋体"/>
          <w:b/>
          <w:bCs/>
          <w:color w:val="auto"/>
          <w:sz w:val="32"/>
        </w:rPr>
      </w:pPr>
    </w:p>
    <w:p>
      <w:pPr>
        <w:tabs>
          <w:tab w:val="left" w:pos="1755"/>
        </w:tabs>
        <w:spacing w:line="500" w:lineRule="atLeast"/>
        <w:jc w:val="center"/>
        <w:outlineLvl w:val="1"/>
        <w:rPr>
          <w:rFonts w:hint="eastAsia" w:ascii="宋体" w:hAnsi="宋体" w:eastAsia="宋体" w:cs="宋体"/>
          <w:b/>
          <w:bCs/>
          <w:color w:val="auto"/>
          <w:sz w:val="32"/>
          <w:szCs w:val="32"/>
        </w:rPr>
      </w:pPr>
      <w:bookmarkStart w:id="12" w:name="OLE_LINK2"/>
      <w:r>
        <w:rPr>
          <w:rFonts w:hint="eastAsia" w:ascii="宋体" w:hAnsi="宋体" w:eastAsia="宋体" w:cs="宋体"/>
          <w:b/>
          <w:bCs/>
          <w:color w:val="auto"/>
          <w:sz w:val="32"/>
          <w:szCs w:val="32"/>
        </w:rPr>
        <w:t>第</w:t>
      </w:r>
      <w:r>
        <w:rPr>
          <w:rFonts w:hint="eastAsia" w:ascii="宋体" w:hAnsi="宋体" w:eastAsia="宋体" w:cs="宋体"/>
          <w:b/>
          <w:bCs/>
          <w:color w:val="auto"/>
          <w:sz w:val="32"/>
          <w:szCs w:val="32"/>
          <w:lang w:val="en-US" w:eastAsia="zh-CN"/>
        </w:rPr>
        <w:t>8</w:t>
      </w:r>
      <w:r>
        <w:rPr>
          <w:rFonts w:hint="eastAsia" w:ascii="宋体" w:hAnsi="宋体" w:eastAsia="宋体" w:cs="宋体"/>
          <w:b/>
          <w:bCs/>
          <w:color w:val="auto"/>
          <w:sz w:val="32"/>
          <w:szCs w:val="32"/>
        </w:rPr>
        <w:t>部分  附件</w:t>
      </w:r>
    </w:p>
    <w:p>
      <w:pPr>
        <w:spacing w:line="500" w:lineRule="atLeast"/>
        <w:jc w:val="center"/>
        <w:outlineLvl w:val="2"/>
        <w:rPr>
          <w:rFonts w:hint="eastAsia" w:ascii="宋体" w:hAnsi="宋体" w:eastAsia="宋体" w:cs="宋体"/>
          <w:b/>
          <w:bCs/>
          <w:color w:val="auto"/>
          <w:kern w:val="0"/>
          <w:sz w:val="28"/>
          <w:szCs w:val="28"/>
        </w:rPr>
      </w:pPr>
      <w:bookmarkStart w:id="13" w:name="_Toc17249"/>
      <w:bookmarkStart w:id="14" w:name="_Toc20607"/>
      <w:r>
        <w:rPr>
          <w:rFonts w:hint="eastAsia" w:ascii="宋体" w:hAnsi="宋体" w:eastAsia="宋体" w:cs="宋体"/>
          <w:b/>
          <w:bCs/>
          <w:color w:val="auto"/>
          <w:kern w:val="0"/>
          <w:sz w:val="28"/>
          <w:szCs w:val="28"/>
        </w:rPr>
        <w:t>一.</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企业声明函</w:t>
      </w:r>
      <w:bookmarkEnd w:id="13"/>
      <w:bookmarkEnd w:id="14"/>
      <w:r>
        <w:rPr>
          <w:rFonts w:hint="eastAsia" w:ascii="宋体" w:hAnsi="宋体" w:eastAsia="宋体" w:cs="宋体"/>
          <w:b/>
          <w:bCs/>
          <w:color w:val="auto"/>
          <w:kern w:val="0"/>
          <w:sz w:val="28"/>
          <w:szCs w:val="28"/>
        </w:rPr>
        <w:t>(非</w:t>
      </w:r>
      <w:r>
        <w:rPr>
          <w:rFonts w:hint="eastAsia" w:ascii="宋体" w:hAnsi="宋体" w:eastAsia="宋体" w:cs="宋体"/>
          <w:b/>
          <w:bCs/>
          <w:color w:val="auto"/>
          <w:kern w:val="0"/>
          <w:sz w:val="28"/>
          <w:szCs w:val="28"/>
          <w:lang w:val="en-US" w:eastAsia="zh-CN"/>
        </w:rPr>
        <w:t>中小</w:t>
      </w:r>
      <w:r>
        <w:rPr>
          <w:rFonts w:hint="eastAsia" w:ascii="宋体" w:hAnsi="宋体" w:eastAsia="宋体" w:cs="宋体"/>
          <w:b/>
          <w:bCs/>
          <w:color w:val="auto"/>
          <w:kern w:val="0"/>
          <w:sz w:val="28"/>
          <w:szCs w:val="28"/>
        </w:rPr>
        <w:t>企业不填写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bCs/>
          <w:color w:val="auto"/>
          <w:kern w:val="0"/>
          <w:sz w:val="28"/>
          <w:szCs w:val="28"/>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本公司（联合体）郑重声明，根据《政府采购促进中小企业发展管理办法》（财库﹝2020﹞46 号）的规定，本公司 （联合体）参加</w:t>
      </w:r>
      <w:r>
        <w:rPr>
          <w:rFonts w:hint="eastAsia" w:ascii="宋体" w:hAnsi="宋体" w:eastAsia="宋体" w:cs="宋体"/>
          <w:bCs/>
          <w:color w:val="auto"/>
          <w:sz w:val="24"/>
          <w:szCs w:val="24"/>
          <w:highlight w:val="none"/>
          <w:u w:val="single"/>
        </w:rPr>
        <w:t>（单位名称）</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u w:val="single"/>
        </w:rPr>
        <w:t>（项目名称）</w:t>
      </w:r>
      <w:r>
        <w:rPr>
          <w:rFonts w:hint="eastAsia" w:ascii="宋体" w:hAnsi="宋体" w:eastAsia="宋体" w:cs="宋体"/>
          <w:bCs/>
          <w:color w:val="auto"/>
          <w:sz w:val="24"/>
          <w:szCs w:val="24"/>
          <w:highlight w:val="none"/>
        </w:rPr>
        <w:t>采购活动，服务的单位全部由符合政策要求的中小企业承接。相关企业（含联合体中的中小企业、签订分包意向协议的中小企业）的具体情况如下：</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w:t>
      </w:r>
      <w:r>
        <w:rPr>
          <w:rFonts w:hint="eastAsia" w:ascii="宋体" w:hAnsi="宋体" w:eastAsia="宋体" w:cs="宋体"/>
          <w:bCs/>
          <w:color w:val="auto"/>
          <w:sz w:val="24"/>
          <w:szCs w:val="24"/>
          <w:highlight w:val="none"/>
          <w:u w:val="single"/>
        </w:rPr>
        <w:t>于（</w:t>
      </w:r>
      <w:r>
        <w:rPr>
          <w:rFonts w:hint="eastAsia" w:ascii="宋体" w:hAnsi="宋体" w:cs="宋体"/>
          <w:kern w:val="0"/>
          <w:sz w:val="24"/>
          <w:u w:val="single"/>
          <w:lang w:eastAsia="zh-CN"/>
        </w:rPr>
        <w:t>采购文件中明确的所属行业</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万元¹，属于【（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 xml:space="preserve">】； </w:t>
      </w:r>
    </w:p>
    <w:p>
      <w:pPr>
        <w:numPr>
          <w:ilvl w:val="0"/>
          <w:numId w:val="6"/>
        </w:num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（标的名称） </w:t>
      </w:r>
      <w:r>
        <w:rPr>
          <w:rFonts w:hint="eastAsia" w:ascii="宋体" w:hAnsi="宋体" w:eastAsia="宋体" w:cs="宋体"/>
          <w:bCs/>
          <w:color w:val="auto"/>
          <w:sz w:val="24"/>
          <w:szCs w:val="24"/>
          <w:highlight w:val="none"/>
        </w:rPr>
        <w:t>，属于</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 承建（承接）企业为</w:t>
      </w:r>
      <w:r>
        <w:rPr>
          <w:rFonts w:hint="eastAsia" w:ascii="宋体" w:hAnsi="宋体" w:eastAsia="宋体" w:cs="宋体"/>
          <w:bCs/>
          <w:color w:val="auto"/>
          <w:sz w:val="24"/>
          <w:szCs w:val="24"/>
          <w:highlight w:val="none"/>
          <w:u w:val="single"/>
        </w:rPr>
        <w:t>（企业名称）</w:t>
      </w:r>
      <w:r>
        <w:rPr>
          <w:rFonts w:hint="eastAsia" w:ascii="宋体" w:hAnsi="宋体" w:eastAsia="宋体" w:cs="宋体"/>
          <w:bCs/>
          <w:color w:val="auto"/>
          <w:sz w:val="24"/>
          <w:szCs w:val="24"/>
          <w:highlight w:val="none"/>
        </w:rPr>
        <w:t>，从业人员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万元，资产总额为</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万元，属于【（  ）</w:t>
      </w:r>
      <w:r>
        <w:rPr>
          <w:rFonts w:hint="eastAsia" w:ascii="宋体" w:hAnsi="宋体" w:eastAsia="宋体" w:cs="宋体"/>
          <w:bCs/>
          <w:color w:val="auto"/>
          <w:sz w:val="24"/>
          <w:szCs w:val="24"/>
          <w:highlight w:val="none"/>
          <w:u w:val="single"/>
        </w:rPr>
        <w:t>中型企业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小型企业</w:t>
      </w:r>
      <w:r>
        <w:rPr>
          <w:rFonts w:hint="eastAsia" w:ascii="宋体" w:hAnsi="宋体" w:eastAsia="宋体" w:cs="宋体"/>
          <w:bCs/>
          <w:color w:val="auto"/>
          <w:sz w:val="24"/>
          <w:szCs w:val="24"/>
          <w:highlight w:val="none"/>
        </w:rPr>
        <w:t>、（  ）</w:t>
      </w:r>
      <w:r>
        <w:rPr>
          <w:rFonts w:hint="eastAsia" w:ascii="宋体" w:hAnsi="宋体" w:eastAsia="宋体" w:cs="宋体"/>
          <w:bCs/>
          <w:color w:val="auto"/>
          <w:sz w:val="24"/>
          <w:szCs w:val="24"/>
          <w:highlight w:val="none"/>
          <w:u w:val="single"/>
        </w:rPr>
        <w:t>微型企业</w:t>
      </w: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以上企业，不属于大企业的分支机构，不存在控股股东为大企业的情形，也不存在与大企业的负责人为同一人的情形。</w:t>
      </w:r>
    </w:p>
    <w:p>
      <w:pPr>
        <w:spacing w:line="360" w:lineRule="auto"/>
        <w:ind w:firstLine="475" w:firstLineChars="1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本企业对上述声明内容的真实性负责。如有虚假，将依法承担相应责任。</w:t>
      </w:r>
    </w:p>
    <w:p>
      <w:pPr>
        <w:spacing w:line="360" w:lineRule="auto"/>
        <w:ind w:firstLine="480" w:firstLineChars="200"/>
        <w:jc w:val="right"/>
        <w:rPr>
          <w:rFonts w:hint="eastAsia" w:ascii="宋体" w:hAnsi="宋体" w:eastAsia="宋体" w:cs="宋体"/>
          <w:bCs/>
          <w:color w:val="auto"/>
          <w:sz w:val="24"/>
          <w:szCs w:val="24"/>
          <w:highlight w:val="none"/>
        </w:rPr>
      </w:pP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企业名称（盖章）：</w:t>
      </w:r>
    </w:p>
    <w:p>
      <w:pPr>
        <w:spacing w:line="360" w:lineRule="auto"/>
        <w:ind w:firstLine="480" w:firstLineChars="200"/>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期：</w:t>
      </w: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p>
    <w:p>
      <w:pPr>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注：从业人员、营业收入、资产总额填报上一年度数据，无上一年度数据的新成立企业可不填报。</w:t>
      </w:r>
    </w:p>
    <w:p>
      <w:pPr>
        <w:spacing w:line="500" w:lineRule="atLeast"/>
        <w:ind w:firstLine="480" w:firstLineChars="200"/>
        <w:rPr>
          <w:rFonts w:hint="eastAsia" w:ascii="宋体" w:hAnsi="宋体" w:eastAsia="宋体" w:cs="宋体"/>
          <w:color w:val="auto"/>
          <w:kern w:val="0"/>
          <w:sz w:val="24"/>
        </w:rPr>
      </w:pPr>
      <w:r>
        <w:rPr>
          <w:rFonts w:hint="eastAsia" w:ascii="宋体" w:hAnsi="宋体" w:eastAsia="宋体" w:cs="宋体"/>
          <w:color w:val="auto"/>
          <w:kern w:val="0"/>
          <w:sz w:val="24"/>
        </w:rPr>
        <w:t>备注：供应商提供的《</w:t>
      </w:r>
      <w:r>
        <w:rPr>
          <w:rFonts w:hint="eastAsia" w:ascii="宋体" w:hAnsi="宋体" w:eastAsia="宋体" w:cs="宋体"/>
          <w:color w:val="auto"/>
          <w:kern w:val="0"/>
          <w:sz w:val="24"/>
          <w:lang w:val="en-US" w:eastAsia="zh-CN"/>
        </w:rPr>
        <w:t>中小</w:t>
      </w:r>
      <w:r>
        <w:rPr>
          <w:rFonts w:hint="eastAsia" w:ascii="宋体" w:hAnsi="宋体" w:eastAsia="宋体" w:cs="宋体"/>
          <w:color w:val="auto"/>
          <w:kern w:val="0"/>
          <w:sz w:val="24"/>
        </w:rPr>
        <w:t>企业声明函》必须真实有效，如果被举报经查实出具虚假声明函的，将被取消磋商资格，并按有关规定予以处理。</w:t>
      </w:r>
    </w:p>
    <w:p>
      <w:pPr>
        <w:tabs>
          <w:tab w:val="left" w:pos="1755"/>
        </w:tabs>
        <w:spacing w:line="500" w:lineRule="atLeast"/>
        <w:jc w:val="center"/>
        <w:rPr>
          <w:rFonts w:hint="eastAsia" w:ascii="宋体" w:hAnsi="宋体" w:eastAsia="宋体" w:cs="宋体"/>
          <w:b/>
          <w:bCs/>
          <w:color w:val="auto"/>
          <w:sz w:val="32"/>
          <w:szCs w:val="32"/>
        </w:rPr>
      </w:pPr>
    </w:p>
    <w:p>
      <w:pPr>
        <w:pStyle w:val="26"/>
        <w:rPr>
          <w:rFonts w:hint="eastAsia" w:ascii="宋体" w:hAnsi="宋体" w:eastAsia="宋体" w:cs="宋体"/>
          <w:b/>
          <w:bCs/>
          <w:color w:val="auto"/>
          <w:sz w:val="32"/>
        </w:rPr>
      </w:pPr>
    </w:p>
    <w:p>
      <w:pPr>
        <w:tabs>
          <w:tab w:val="left" w:pos="1755"/>
        </w:tabs>
        <w:spacing w:line="360" w:lineRule="auto"/>
        <w:jc w:val="center"/>
        <w:outlineLvl w:val="2"/>
        <w:rPr>
          <w:rFonts w:hint="eastAsia" w:ascii="宋体" w:hAnsi="宋体" w:eastAsia="宋体" w:cs="宋体"/>
          <w:b/>
          <w:bCs/>
          <w:color w:val="auto"/>
          <w:sz w:val="28"/>
          <w:szCs w:val="28"/>
        </w:rPr>
      </w:pPr>
      <w:bookmarkStart w:id="15" w:name="_Toc32499"/>
      <w:bookmarkStart w:id="16" w:name="_Toc26990"/>
    </w:p>
    <w:bookmarkEnd w:id="15"/>
    <w:bookmarkEnd w:id="16"/>
    <w:p>
      <w:pPr>
        <w:numPr>
          <w:ilvl w:val="0"/>
          <w:numId w:val="7"/>
        </w:numPr>
        <w:tabs>
          <w:tab w:val="left" w:pos="1755"/>
        </w:tabs>
        <w:spacing w:line="360" w:lineRule="auto"/>
        <w:ind w:left="0" w:leftChars="0" w:firstLine="0" w:firstLineChars="0"/>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pPr>
        <w:numPr>
          <w:ilvl w:val="0"/>
          <w:numId w:val="0"/>
        </w:numPr>
        <w:tabs>
          <w:tab w:val="left" w:pos="1755"/>
        </w:tabs>
        <w:spacing w:line="360" w:lineRule="auto"/>
        <w:ind w:leftChars="0" w:firstLine="2249" w:firstLineChars="800"/>
        <w:jc w:val="both"/>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uto"/>
        <w:rPr>
          <w:rFonts w:hint="eastAsia" w:ascii="宋体" w:hAnsi="宋体" w:eastAsia="宋体" w:cs="宋体"/>
          <w:b/>
          <w:color w:val="auto"/>
          <w:spacing w:val="6"/>
          <w:sz w:val="32"/>
          <w:szCs w:val="32"/>
          <w:shd w:val="pct10" w:color="auto" w:fill="FFFFFF"/>
        </w:rPr>
      </w:pP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pPr>
        <w:spacing w:line="360" w:lineRule="auto"/>
        <w:ind w:firstLine="480" w:firstLineChars="200"/>
        <w:rPr>
          <w:rFonts w:hint="eastAsia" w:ascii="宋体" w:hAnsi="宋体" w:eastAsia="宋体" w:cs="宋体"/>
          <w:color w:val="auto"/>
          <w:sz w:val="24"/>
        </w:rPr>
      </w:pPr>
    </w:p>
    <w:p>
      <w:pPr>
        <w:spacing w:line="360" w:lineRule="auto"/>
        <w:ind w:firstLine="480" w:firstLineChars="200"/>
        <w:rPr>
          <w:rFonts w:hint="eastAsia" w:ascii="宋体" w:hAnsi="宋体" w:eastAsia="宋体" w:cs="宋体"/>
          <w:color w:val="auto"/>
          <w:sz w:val="24"/>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Pr>
        <w:spacing w:line="360" w:lineRule="auto"/>
        <w:ind w:firstLine="506" w:firstLineChars="200"/>
        <w:rPr>
          <w:rFonts w:hint="eastAsia" w:ascii="宋体" w:hAnsi="宋体" w:eastAsia="宋体" w:cs="宋体"/>
          <w:b/>
          <w:color w:val="auto"/>
          <w:spacing w:val="6"/>
          <w:sz w:val="24"/>
          <w:shd w:val="pct10" w:color="auto" w:fill="FFFFFF"/>
        </w:rPr>
      </w:pPr>
    </w:p>
    <w:p>
      <w:pPr>
        <w:spacing w:line="360" w:lineRule="auto"/>
        <w:ind w:firstLine="506" w:firstLineChars="200"/>
        <w:rPr>
          <w:rFonts w:hint="eastAsia" w:ascii="宋体" w:hAnsi="宋体" w:eastAsia="宋体" w:cs="宋体"/>
          <w:b/>
          <w:color w:val="auto"/>
          <w:spacing w:val="6"/>
          <w:sz w:val="24"/>
          <w:shd w:val="pct10" w:color="auto" w:fill="FFFFFF"/>
        </w:rPr>
      </w:pPr>
    </w:p>
    <w:p>
      <w:pPr>
        <w:kinsoku w:val="0"/>
        <w:spacing w:line="360" w:lineRule="auto"/>
        <w:ind w:firstLine="480" w:firstLineChars="200"/>
        <w:rPr>
          <w:rFonts w:hint="eastAsia" w:ascii="宋体" w:hAnsi="宋体" w:eastAsia="宋体" w:cs="宋体"/>
          <w:color w:val="auto"/>
          <w:kern w:val="0"/>
          <w:sz w:val="24"/>
          <w:lang w:val="zh-CN"/>
        </w:rPr>
        <w:sectPr>
          <w:footerReference r:id="rId18" w:type="default"/>
          <w:pgSz w:w="11906" w:h="16838"/>
          <w:pgMar w:top="1418" w:right="1134" w:bottom="1418" w:left="1321" w:header="851" w:footer="992" w:gutter="0"/>
          <w:pgNumType w:fmt="decimal"/>
          <w:cols w:space="720" w:num="1"/>
          <w:docGrid w:type="lines" w:linePitch="312" w:charSpace="0"/>
        </w:sectPr>
      </w:pPr>
      <w:r>
        <w:rPr>
          <w:rFonts w:hint="eastAsia" w:ascii="宋体" w:hAnsi="宋体" w:eastAsia="宋体" w:cs="宋体"/>
          <w:color w:val="auto"/>
          <w:kern w:val="0"/>
          <w:sz w:val="24"/>
          <w:lang w:val="zh-CN"/>
        </w:rPr>
        <w:t>备注：投标人提供的《残疾人福利性单位声明函》必须真实有效，如果被举报经查实出具虚假声明函的，将被取消投标资格，并按有关规定予以处理。</w:t>
      </w:r>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p>
    <w:p>
      <w:pPr>
        <w:numPr>
          <w:ilvl w:val="0"/>
          <w:numId w:val="0"/>
        </w:numPr>
        <w:tabs>
          <w:tab w:val="left" w:pos="1755"/>
        </w:tabs>
        <w:spacing w:line="360" w:lineRule="auto"/>
        <w:jc w:val="center"/>
        <w:outlineLvl w:val="2"/>
        <w:rPr>
          <w:rFonts w:hint="eastAsia" w:ascii="宋体" w:hAnsi="宋体" w:eastAsia="宋体" w:cs="宋体"/>
          <w:b/>
          <w:color w:val="auto"/>
          <w:kern w:val="0"/>
          <w:sz w:val="24"/>
          <w:szCs w:val="24"/>
          <w:lang w:val="zh-CN"/>
        </w:rPr>
      </w:pPr>
      <w:r>
        <w:rPr>
          <w:rFonts w:hint="eastAsia" w:ascii="宋体" w:hAnsi="宋体" w:eastAsia="宋体" w:cs="宋体"/>
          <w:b/>
          <w:bCs/>
          <w:color w:val="auto"/>
          <w:kern w:val="2"/>
          <w:sz w:val="28"/>
          <w:szCs w:val="28"/>
          <w:highlight w:val="none"/>
          <w:lang w:val="en-US" w:eastAsia="zh-CN" w:bidi="ar-SA"/>
        </w:rPr>
        <w:t>三、</w:t>
      </w:r>
      <w:r>
        <w:rPr>
          <w:rFonts w:hint="eastAsia" w:ascii="宋体" w:hAnsi="宋体" w:eastAsia="宋体" w:cs="宋体"/>
          <w:b/>
          <w:bCs/>
          <w:color w:val="auto"/>
          <w:kern w:val="2"/>
          <w:sz w:val="28"/>
          <w:szCs w:val="28"/>
          <w:highlight w:val="none"/>
          <w:lang w:val="zh-CN" w:eastAsia="zh-CN" w:bidi="ar-SA"/>
        </w:rPr>
        <w:t>监狱企业声明函</w:t>
      </w:r>
    </w:p>
    <w:p>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pPr>
        <w:spacing w:line="360" w:lineRule="atLeast"/>
        <w:rPr>
          <w:rFonts w:hint="eastAsia" w:ascii="宋体" w:hAnsi="宋体" w:eastAsia="宋体" w:cs="宋体"/>
          <w:color w:val="auto"/>
          <w:sz w:val="32"/>
          <w:szCs w:val="32"/>
        </w:rPr>
      </w:pPr>
    </w:p>
    <w:p>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pPr>
        <w:spacing w:line="360" w:lineRule="atLeast"/>
        <w:rPr>
          <w:rFonts w:hint="eastAsia" w:ascii="宋体" w:hAnsi="宋体" w:eastAsia="宋体" w:cs="宋体"/>
          <w:color w:val="auto"/>
          <w:sz w:val="32"/>
          <w:szCs w:val="32"/>
        </w:rPr>
      </w:pPr>
    </w:p>
    <w:p>
      <w:pPr>
        <w:pStyle w:val="18"/>
        <w:rPr>
          <w:rFonts w:hint="eastAsia" w:ascii="宋体" w:hAnsi="宋体" w:eastAsia="宋体" w:cs="宋体"/>
          <w:color w:val="auto"/>
        </w:rPr>
      </w:pPr>
    </w:p>
    <w:p>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pPr>
        <w:spacing w:beforeLines="50" w:afterLines="100"/>
        <w:rPr>
          <w:rFonts w:hint="eastAsia" w:ascii="宋体" w:hAnsi="宋体" w:eastAsia="宋体" w:cs="宋体"/>
          <w:b/>
          <w:color w:val="auto"/>
          <w:szCs w:val="21"/>
          <w:lang w:val="en-GB"/>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p/>
    <w:p/>
    <w:p/>
    <w:p/>
    <w:p/>
    <w:p/>
    <w:p/>
    <w:p/>
    <w:p/>
    <w:p/>
    <w:p/>
    <w:p/>
    <w:p/>
    <w:p/>
    <w:p/>
    <w:p/>
    <w:p/>
    <w:p/>
    <w:p/>
    <w:p/>
    <w:p/>
    <w:p/>
    <w:p/>
    <w:p/>
    <w:p/>
    <w:p/>
    <w:p/>
    <w:p/>
    <w:p/>
    <w:p/>
    <w:p/>
    <w:p>
      <w:pPr>
        <w:spacing w:before="262" w:line="229" w:lineRule="auto"/>
        <w:ind w:left="2743"/>
        <w:rPr>
          <w:rFonts w:hint="eastAsia" w:asciiTheme="minorEastAsia" w:hAnsiTheme="minorEastAsia" w:eastAsiaTheme="minorEastAsia" w:cstheme="minorEastAsia"/>
          <w:color w:val="auto"/>
          <w:sz w:val="31"/>
          <w:szCs w:val="31"/>
        </w:rPr>
      </w:pPr>
      <w:r>
        <w:rPr>
          <w:rFonts w:hint="eastAsia" w:ascii="宋体" w:hAnsi="宋体" w:cs="宋体"/>
          <w:b/>
          <w:bCs/>
          <w:color w:val="auto"/>
          <w:kern w:val="2"/>
          <w:sz w:val="28"/>
          <w:szCs w:val="28"/>
          <w:highlight w:val="none"/>
          <w:lang w:val="en-US" w:eastAsia="zh-CN" w:bidi="ar-SA"/>
        </w:rPr>
        <w:t>四、</w:t>
      </w:r>
      <w:r>
        <w:rPr>
          <w:rFonts w:hint="eastAsia" w:asciiTheme="minorEastAsia" w:hAnsiTheme="minorEastAsia" w:eastAsiaTheme="minorEastAsia" w:cstheme="minorEastAsia"/>
          <w:b/>
          <w:bCs/>
          <w:color w:val="auto"/>
          <w:spacing w:val="5"/>
          <w:sz w:val="31"/>
          <w:szCs w:val="31"/>
        </w:rPr>
        <w:t>控股管理关系承诺函</w:t>
      </w:r>
    </w:p>
    <w:p>
      <w:pPr>
        <w:pStyle w:val="7"/>
        <w:spacing w:line="259"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pStyle w:val="7"/>
        <w:spacing w:line="260" w:lineRule="auto"/>
        <w:rPr>
          <w:rFonts w:hint="eastAsia" w:asciiTheme="minorEastAsia" w:hAnsiTheme="minorEastAsia" w:eastAsiaTheme="minorEastAsia" w:cstheme="minorEastAsia"/>
          <w:color w:val="auto"/>
        </w:rPr>
      </w:pP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致：</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lang w:val="en-US" w:eastAsia="zh-CN"/>
        </w:rPr>
        <w:t>（采购人名称）</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我公司参加贵单位组织的           (项目名称及编号)招标活动，郑重承诺:在参加本次采购活动不存在与参加本项目的其它供应商单位负责人为同一人或者存在直接控股、管理关系。</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本公司对上述承诺的真实性负责。如有虚假，将依法承担相应责任。 </w:t>
      </w:r>
    </w:p>
    <w:p>
      <w:pPr>
        <w:spacing w:line="360" w:lineRule="auto"/>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特此承诺！</w:t>
      </w:r>
    </w:p>
    <w:p>
      <w:pPr>
        <w:spacing w:line="360" w:lineRule="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 </w:t>
      </w:r>
    </w:p>
    <w:p>
      <w:pPr>
        <w:pStyle w:val="7"/>
        <w:spacing w:line="264" w:lineRule="auto"/>
        <w:rPr>
          <w:rFonts w:hint="eastAsia" w:asciiTheme="minorEastAsia" w:hAnsiTheme="minorEastAsia" w:eastAsiaTheme="minorEastAsia" w:cstheme="minorEastAsia"/>
          <w:color w:val="auto"/>
        </w:rPr>
      </w:pPr>
    </w:p>
    <w:p/>
    <w:p>
      <w:pPr>
        <w:pStyle w:val="7"/>
        <w:spacing w:line="264" w:lineRule="auto"/>
        <w:rPr>
          <w:rFonts w:hint="eastAsia" w:asciiTheme="minorEastAsia" w:hAnsiTheme="minorEastAsia" w:eastAsiaTheme="minorEastAsia" w:cstheme="minorEastAsia"/>
          <w:color w:val="auto"/>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月     日</w:t>
      </w:r>
    </w:p>
    <w:p>
      <w:pPr>
        <w:spacing w:line="222" w:lineRule="auto"/>
        <w:rPr>
          <w:rFonts w:hint="eastAsia" w:asciiTheme="minorEastAsia" w:hAnsiTheme="minorEastAsia" w:eastAsiaTheme="minorEastAsia" w:cstheme="minorEastAsia"/>
          <w:color w:val="auto"/>
          <w:sz w:val="24"/>
          <w:szCs w:val="24"/>
        </w:rPr>
        <w:sectPr>
          <w:footerReference r:id="rId19" w:type="default"/>
          <w:pgSz w:w="11906" w:h="16839"/>
          <w:pgMar w:top="400" w:right="1785" w:bottom="1242" w:left="1785" w:header="0" w:footer="1028" w:gutter="0"/>
          <w:pgNumType w:fmt="decimal"/>
          <w:cols w:space="720" w:num="1"/>
        </w:sectPr>
      </w:pPr>
    </w:p>
    <w:p/>
    <w:p/>
    <w:p/>
    <w:p/>
    <w:p>
      <w:pPr>
        <w:numPr>
          <w:ilvl w:val="0"/>
          <w:numId w:val="0"/>
        </w:numPr>
        <w:tabs>
          <w:tab w:val="left" w:pos="1755"/>
        </w:tabs>
        <w:spacing w:line="360" w:lineRule="auto"/>
        <w:jc w:val="center"/>
        <w:outlineLvl w:val="2"/>
        <w:rPr>
          <w:rFonts w:hint="eastAsia" w:ascii="宋体" w:hAnsi="宋体" w:eastAsia="宋体" w:cs="宋体"/>
          <w:b/>
          <w:bCs/>
          <w:color w:val="auto"/>
          <w:kern w:val="2"/>
          <w:sz w:val="28"/>
          <w:szCs w:val="28"/>
          <w:highlight w:val="none"/>
          <w:lang w:val="en-US" w:eastAsia="zh-CN" w:bidi="ar-SA"/>
        </w:rPr>
      </w:pPr>
      <w:r>
        <w:rPr>
          <w:rFonts w:hint="eastAsia" w:ascii="宋体" w:hAnsi="宋体" w:cs="宋体"/>
          <w:b/>
          <w:bCs/>
          <w:color w:val="auto"/>
          <w:kern w:val="2"/>
          <w:sz w:val="28"/>
          <w:szCs w:val="28"/>
          <w:highlight w:val="none"/>
          <w:lang w:val="en-US" w:eastAsia="zh-CN" w:bidi="ar-SA"/>
        </w:rPr>
        <w:t>五、</w:t>
      </w:r>
      <w:r>
        <w:rPr>
          <w:rFonts w:hint="eastAsia" w:ascii="宋体" w:hAnsi="宋体" w:eastAsia="宋体" w:cs="宋体"/>
          <w:b/>
          <w:bCs/>
          <w:color w:val="auto"/>
          <w:kern w:val="2"/>
          <w:sz w:val="28"/>
          <w:szCs w:val="28"/>
          <w:highlight w:val="none"/>
          <w:lang w:val="en-US" w:eastAsia="zh-CN" w:bidi="ar-SA"/>
        </w:rPr>
        <w:t>供应商信用记录书面声明函</w:t>
      </w:r>
    </w:p>
    <w:p>
      <w:pPr>
        <w:spacing w:line="360" w:lineRule="auto"/>
        <w:ind w:firstLine="480" w:firstLineChars="200"/>
        <w:rPr>
          <w:rFonts w:hint="default" w:ascii="宋体" w:hAnsi="宋体" w:eastAsia="宋体" w:cs="宋体"/>
          <w:color w:val="auto"/>
          <w:sz w:val="24"/>
          <w:szCs w:val="22"/>
          <w:lang w:val="en-US" w:eastAsia="zh-CN"/>
        </w:rPr>
      </w:pPr>
    </w:p>
    <w:p>
      <w:pPr>
        <w:spacing w:line="36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w:t>
      </w:r>
      <w:r>
        <w:rPr>
          <w:rFonts w:hint="default" w:ascii="宋体" w:hAnsi="宋体" w:eastAsia="宋体" w:cs="宋体"/>
          <w:color w:val="auto"/>
          <w:sz w:val="24"/>
          <w:szCs w:val="22"/>
          <w:lang w:val="en-US" w:eastAsia="zh-CN"/>
        </w:rPr>
        <w:t>政府采购</w:t>
      </w:r>
      <w:r>
        <w:rPr>
          <w:rFonts w:hint="eastAsia" w:ascii="宋体" w:hAnsi="宋体" w:eastAsia="宋体" w:cs="宋体"/>
          <w:color w:val="auto"/>
          <w:sz w:val="24"/>
          <w:szCs w:val="22"/>
          <w:lang w:val="en-US" w:eastAsia="zh-CN"/>
        </w:rPr>
        <w:t>管理</w:t>
      </w:r>
      <w:r>
        <w:rPr>
          <w:rFonts w:hint="default" w:ascii="宋体" w:hAnsi="宋体" w:eastAsia="宋体" w:cs="宋体"/>
          <w:color w:val="auto"/>
          <w:sz w:val="24"/>
          <w:szCs w:val="22"/>
          <w:lang w:val="en-US" w:eastAsia="zh-CN"/>
        </w:rPr>
        <w:t xml:space="preserve">中心：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我方作为</w:t>
      </w:r>
      <w:r>
        <w:rPr>
          <w:rFonts w:hint="default" w:ascii="宋体" w:hAnsi="宋体" w:eastAsia="宋体" w:cs="宋体"/>
          <w:color w:val="auto"/>
          <w:sz w:val="24"/>
          <w:szCs w:val="22"/>
          <w:lang w:val="en-US" w:eastAsia="zh-CN"/>
        </w:rPr>
        <w:t>《项目名称》</w:t>
      </w:r>
      <w:r>
        <w:rPr>
          <w:rFonts w:hint="eastAsia" w:ascii="宋体" w:hAnsi="宋体" w:eastAsia="宋体" w:cs="宋体"/>
          <w:color w:val="auto"/>
          <w:sz w:val="24"/>
          <w:szCs w:val="22"/>
          <w:lang w:val="en-US" w:eastAsia="zh-CN"/>
        </w:rPr>
        <w:t xml:space="preserve">（项目编号： ）第 标段的供应商，在 此郑重声明：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1.在参加本次政府采购活动前 3 年内的经营活动中（填“没有”或“有”）重大违法记录。供应商在参加政府采购活动前 3 年内因违法经营被禁止在一定期限内参加政府采购活动，期限届满的，可以参加政府采购活动，但应提供期限届满的证明材料。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2.我方（填“未被列入”或“被列入”）失信被执行人名单。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3.我方（填“未被列入”或“被列入”）重大税收违法失信主体名单。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4.我方（填“未被列入”或“被列入”）政府采购严重违法失信行为记录名单。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如有不实，我方将无条件地退出本项目的采购活动，并遵照《政府采购法》有关“提供虚假材料的规定”接受处罚。 </w:t>
      </w:r>
    </w:p>
    <w:p>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 xml:space="preserve">特此声明。 </w:t>
      </w:r>
    </w:p>
    <w:p>
      <w:pPr>
        <w:spacing w:line="360" w:lineRule="auto"/>
        <w:ind w:firstLine="480" w:firstLineChars="200"/>
        <w:rPr>
          <w:rFonts w:hint="eastAsia" w:ascii="宋体" w:hAnsi="宋体" w:eastAsia="宋体" w:cs="宋体"/>
          <w:color w:val="auto"/>
          <w:sz w:val="24"/>
          <w:szCs w:val="22"/>
          <w:lang w:val="en-US" w:eastAsia="zh-CN"/>
        </w:rPr>
      </w:pPr>
    </w:p>
    <w:p>
      <w:pPr>
        <w:pStyle w:val="7"/>
        <w:spacing w:line="265" w:lineRule="auto"/>
        <w:rPr>
          <w:rFonts w:hint="eastAsia" w:asciiTheme="minorEastAsia" w:hAnsiTheme="minorEastAsia" w:eastAsiaTheme="minorEastAsia" w:cstheme="minorEastAsia"/>
          <w:color w:val="auto"/>
        </w:rPr>
      </w:pPr>
    </w:p>
    <w:p>
      <w:pPr>
        <w:spacing w:before="79" w:line="222" w:lineRule="auto"/>
        <w:ind w:left="410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8" w:line="222" w:lineRule="auto"/>
        <w:ind w:left="411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lang w:eastAsia="zh-CN"/>
        </w:rPr>
        <w:t>法定代表人（负责人）</w:t>
      </w:r>
      <w:r>
        <w:rPr>
          <w:rFonts w:hint="eastAsia" w:asciiTheme="minorEastAsia" w:hAnsiTheme="minorEastAsia" w:eastAsiaTheme="minorEastAsia" w:cstheme="minorEastAsia"/>
          <w:color w:val="auto"/>
          <w:spacing w:val="-2"/>
          <w:sz w:val="24"/>
          <w:szCs w:val="24"/>
        </w:rPr>
        <w:t>/被授权人（签字</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pPr>
        <w:pStyle w:val="7"/>
        <w:spacing w:line="255" w:lineRule="auto"/>
        <w:rPr>
          <w:rFonts w:hint="eastAsia" w:asciiTheme="minorEastAsia" w:hAnsiTheme="minorEastAsia" w:eastAsiaTheme="minorEastAsia" w:cstheme="minorEastAsia"/>
          <w:color w:val="auto"/>
        </w:rPr>
      </w:pPr>
    </w:p>
    <w:p>
      <w:pPr>
        <w:spacing w:before="79" w:line="222" w:lineRule="auto"/>
        <w:ind w:left="4160"/>
        <w:rPr>
          <w:rFonts w:hint="eastAsia" w:asciiTheme="minorEastAsia" w:hAnsiTheme="minorEastAsia" w:eastAsiaTheme="minorEastAsia" w:cstheme="minorEastAsia"/>
          <w:color w:val="auto"/>
          <w:sz w:val="24"/>
          <w:szCs w:val="24"/>
          <w:lang w:eastAsia="zh-CN"/>
        </w:rPr>
        <w:sectPr>
          <w:footerReference r:id="rId20" w:type="default"/>
          <w:pgSz w:w="11906" w:h="16839"/>
          <w:pgMar w:top="400" w:right="1785" w:bottom="1242" w:left="1785" w:header="0" w:footer="1028" w:gutter="0"/>
          <w:pgNumType w:fmt="decimal"/>
          <w:cols w:space="720" w:num="1"/>
        </w:sectPr>
      </w:pPr>
      <w:r>
        <w:rPr>
          <w:rFonts w:hint="eastAsia" w:asciiTheme="minorEastAsia" w:hAnsiTheme="minorEastAsia" w:eastAsiaTheme="minorEastAsia" w:cstheme="minorEastAsia"/>
          <w:color w:val="auto"/>
          <w:spacing w:val="-20"/>
          <w:sz w:val="24"/>
          <w:szCs w:val="24"/>
        </w:rPr>
        <w:t>日</w:t>
      </w:r>
      <w:r>
        <w:rPr>
          <w:rFonts w:hint="eastAsia" w:asciiTheme="minorEastAsia" w:hAnsiTheme="minorEastAsia" w:eastAsiaTheme="minorEastAsia" w:cstheme="minorEastAsia"/>
          <w:color w:val="auto"/>
          <w:spacing w:val="5"/>
          <w:sz w:val="24"/>
          <w:szCs w:val="24"/>
        </w:rPr>
        <w:t xml:space="preserve">   </w:t>
      </w:r>
      <w:r>
        <w:rPr>
          <w:rFonts w:hint="eastAsia" w:asciiTheme="minorEastAsia" w:hAnsiTheme="minorEastAsia" w:eastAsiaTheme="minorEastAsia" w:cstheme="minorEastAsia"/>
          <w:color w:val="auto"/>
          <w:spacing w:val="-20"/>
          <w:sz w:val="24"/>
          <w:szCs w:val="24"/>
        </w:rPr>
        <w:t>期</w:t>
      </w:r>
      <w:r>
        <w:rPr>
          <w:rFonts w:hint="eastAsia" w:asciiTheme="minorEastAsia" w:hAnsiTheme="minorEastAsia" w:eastAsiaTheme="minorEastAsia" w:cstheme="minorEastAsia"/>
          <w:color w:val="auto"/>
          <w:spacing w:val="-84"/>
          <w:sz w:val="24"/>
          <w:szCs w:val="24"/>
        </w:rPr>
        <w:t xml:space="preserve"> </w:t>
      </w:r>
      <w:r>
        <w:rPr>
          <w:rFonts w:hint="eastAsia" w:asciiTheme="minorEastAsia" w:hAnsiTheme="minorEastAsia" w:eastAsiaTheme="minorEastAsia" w:cstheme="minorEastAsia"/>
          <w:color w:val="auto"/>
          <w:spacing w:val="-20"/>
          <w:sz w:val="24"/>
          <w:szCs w:val="24"/>
        </w:rPr>
        <w:t>：</w:t>
      </w:r>
      <w:r>
        <w:rPr>
          <w:rFonts w:hint="eastAsia" w:asciiTheme="minorEastAsia" w:hAnsiTheme="minorEastAsia" w:eastAsiaTheme="minorEastAsia" w:cstheme="minorEastAsia"/>
          <w:color w:val="auto"/>
          <w:spacing w:val="3"/>
          <w:sz w:val="24"/>
          <w:szCs w:val="24"/>
        </w:rPr>
        <w:t xml:space="preserve">      </w:t>
      </w:r>
      <w:r>
        <w:rPr>
          <w:rFonts w:hint="eastAsia" w:asciiTheme="minorEastAsia" w:hAnsiTheme="minorEastAsia" w:eastAsiaTheme="minorEastAsia" w:cstheme="minorEastAsia"/>
          <w:color w:val="auto"/>
          <w:spacing w:val="-20"/>
          <w:sz w:val="24"/>
          <w:szCs w:val="24"/>
        </w:rPr>
        <w:t>年</w:t>
      </w:r>
      <w:r>
        <w:rPr>
          <w:rFonts w:hint="eastAsia" w:asciiTheme="minorEastAsia" w:hAnsiTheme="minorEastAsia" w:eastAsiaTheme="minorEastAsia" w:cstheme="minorEastAsia"/>
          <w:color w:val="auto"/>
          <w:spacing w:val="7"/>
          <w:sz w:val="24"/>
          <w:szCs w:val="24"/>
        </w:rPr>
        <w:t xml:space="preserve">    </w:t>
      </w:r>
      <w:r>
        <w:rPr>
          <w:rFonts w:hint="eastAsia" w:asciiTheme="minorEastAsia" w:hAnsiTheme="minorEastAsia" w:eastAsiaTheme="minorEastAsia" w:cstheme="minorEastAsia"/>
          <w:color w:val="auto"/>
          <w:spacing w:val="-20"/>
          <w:sz w:val="24"/>
          <w:szCs w:val="24"/>
        </w:rPr>
        <w:t xml:space="preserve">月     </w:t>
      </w:r>
      <w:r>
        <w:rPr>
          <w:rFonts w:hint="eastAsia" w:asciiTheme="minorEastAsia" w:hAnsiTheme="minorEastAsia" w:eastAsiaTheme="minorEastAsia" w:cstheme="minorEastAsia"/>
          <w:color w:val="auto"/>
          <w:spacing w:val="-20"/>
          <w:sz w:val="24"/>
          <w:szCs w:val="24"/>
          <w:lang w:eastAsia="zh-CN"/>
        </w:rPr>
        <w:t>日</w:t>
      </w:r>
    </w:p>
    <w:bookmarkEnd w:id="12"/>
    <w:p/>
    <w:sectPr>
      <w:pgSz w:w="11906" w:h="16838"/>
      <w:pgMar w:top="1418" w:right="1134" w:bottom="1418" w:left="1321"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PMingLiU-ExtB"/>
    <w:panose1 w:val="02020500000000000000"/>
    <w:charset w:val="88"/>
    <w:family w:val="roman"/>
    <w:pitch w:val="default"/>
    <w:sig w:usb0="00000000" w:usb1="00000000" w:usb2="00000016" w:usb3="00000000" w:csb0="00100001"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PMingLiU-ExtB">
    <w:panose1 w:val="02020500000000000000"/>
    <w:charset w:val="88"/>
    <w:family w:val="auto"/>
    <w:pitch w:val="default"/>
    <w:sig w:usb0="8000002F" w:usb1="02000008"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8" w:lineRule="auto"/>
      <w:ind w:left="7407"/>
      <w:rPr>
        <w:rFonts w:ascii="Calibri" w:hAnsi="Calibri" w:eastAsia="Calibri" w:cs="Calibri"/>
        <w:sz w:val="18"/>
        <w:szCs w:val="18"/>
      </w:rPr>
    </w:pPr>
    <w:r>
      <w:rPr>
        <w:rFonts w:ascii="Calibri" w:hAnsi="Calibri" w:eastAsia="Calibri" w:cs="Calibri"/>
        <w:spacing w:val="-8"/>
        <w:sz w:val="18"/>
        <w:szCs w:val="18"/>
      </w:rPr>
      <w:t>17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7407"/>
      <w:rPr>
        <w:rFonts w:ascii="Calibri" w:hAnsi="Calibri" w:eastAsia="Calibri" w:cs="Calibri"/>
        <w:sz w:val="18"/>
        <w:szCs w:val="18"/>
      </w:rPr>
    </w:pPr>
    <w:r>
      <w:rPr>
        <w:rFonts w:ascii="Calibri" w:hAnsi="Calibri" w:eastAsia="Calibri" w:cs="Calibri"/>
        <w:spacing w:val="-8"/>
        <w:sz w:val="18"/>
        <w:szCs w:val="18"/>
      </w:rPr>
      <w:t>18</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7407"/>
      <w:rPr>
        <w:rFonts w:ascii="Calibri" w:hAnsi="Calibri" w:eastAsia="Calibri" w:cs="Calibri"/>
        <w:sz w:val="18"/>
        <w:szCs w:val="18"/>
      </w:rPr>
    </w:pPr>
    <w:r>
      <w:rPr>
        <w:rFonts w:ascii="Calibri" w:hAnsi="Calibri" w:eastAsia="Calibri" w:cs="Calibri"/>
        <w:spacing w:val="-8"/>
        <w:sz w:val="18"/>
        <w:szCs w:val="18"/>
      </w:rPr>
      <w:t>19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7401"/>
      <w:rPr>
        <w:rFonts w:ascii="Calibri" w:hAnsi="Calibri" w:eastAsia="Calibri" w:cs="Calibri"/>
        <w:sz w:val="18"/>
        <w:szCs w:val="18"/>
      </w:rPr>
    </w:pPr>
    <w:r>
      <w:rPr>
        <w:rFonts w:ascii="Calibri" w:hAnsi="Calibri" w:eastAsia="Calibri" w:cs="Calibri"/>
        <w:spacing w:val="-6"/>
        <w:sz w:val="18"/>
        <w:szCs w:val="18"/>
      </w:rPr>
      <w:t>20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7401"/>
      <w:rPr>
        <w:rFonts w:ascii="Calibri" w:hAnsi="Calibri" w:eastAsia="Calibri" w:cs="Calibri"/>
        <w:sz w:val="18"/>
        <w:szCs w:val="18"/>
      </w:rPr>
    </w:pPr>
    <w:r>
      <w:rPr>
        <w:rFonts w:ascii="Calibri" w:hAnsi="Calibri" w:eastAsia="Calibri" w:cs="Calibri"/>
        <w:spacing w:val="-6"/>
        <w:sz w:val="18"/>
        <w:szCs w:val="18"/>
      </w:rPr>
      <w:t>21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69" w:lineRule="auto"/>
      <w:ind w:left="7401"/>
      <w:rPr>
        <w:rFonts w:ascii="Calibri" w:hAnsi="Calibri" w:eastAsia="Calibri" w:cs="Calibri"/>
        <w:sz w:val="18"/>
        <w:szCs w:val="18"/>
      </w:rPr>
    </w:pPr>
    <w:r>
      <w:rPr>
        <w:rFonts w:ascii="Calibri" w:hAnsi="Calibri" w:eastAsia="Calibri" w:cs="Calibri"/>
        <w:spacing w:val="-6"/>
        <w:sz w:val="18"/>
        <w:szCs w:val="18"/>
      </w:rPr>
      <w:t>22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u w:val="single"/>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1</w:t>
                    </w:r>
                    <w:r>
                      <w:fldChar w:fldCharType="end"/>
                    </w:r>
                  </w:p>
                </w:txbxContent>
              </v:textbox>
            </v:shape>
          </w:pict>
        </mc:Fallback>
      </mc:AlternateContent>
    </w:r>
  </w:p>
  <w:p>
    <w:pPr>
      <w:pStyle w:val="13"/>
      <w:bidi w:val="0"/>
      <w:rPr>
        <w:rFonts w:hint="eastAsia"/>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34</w:t>
                    </w:r>
                    <w:r>
                      <w:fldChar w:fldCharType="end"/>
                    </w:r>
                  </w:p>
                </w:txbxContent>
              </v:textbox>
            </v:shape>
          </w:pict>
        </mc:Fallback>
      </mc:AlternateContent>
    </w:r>
  </w:p>
  <w:p>
    <w:pPr>
      <w:pStyle w:val="13"/>
      <w:jc w:val="center"/>
      <w:rPr>
        <w:rFonts w:hint="eastAsi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38"/>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27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27</w:t>
                    </w:r>
                    <w:r>
                      <w:fldChar w:fldCharType="end"/>
                    </w:r>
                    <w:r>
                      <w:t xml:space="preserve"> —</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hint="eastAsia"/>
        <w:u w:val="single"/>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3"/>
                    </w:pPr>
                    <w:r>
                      <w:fldChar w:fldCharType="begin"/>
                    </w:r>
                    <w:r>
                      <w:instrText xml:space="preserve"> PAGE  \* MERGEFORMAT </w:instrText>
                    </w:r>
                    <w:r>
                      <w:fldChar w:fldCharType="separate"/>
                    </w:r>
                    <w:r>
                      <w:t>36</w:t>
                    </w:r>
                    <w:r>
                      <w:fldChar w:fldCharType="end"/>
                    </w:r>
                  </w:p>
                </w:txbxContent>
              </v:textbox>
            </v:shape>
          </w:pict>
        </mc:Fallback>
      </mc:AlternateContent>
    </w:r>
  </w:p>
  <w:p>
    <w:pPr>
      <w:pStyle w:val="13"/>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3"/>
                    </w:pPr>
                    <w:r>
                      <w:t xml:space="preserve">— </w:t>
                    </w:r>
                    <w:r>
                      <w:fldChar w:fldCharType="begin"/>
                    </w:r>
                    <w:r>
                      <w:instrText xml:space="preserve"> PAGE  \* MERGEFORMAT </w:instrText>
                    </w:r>
                    <w:r>
                      <w:fldChar w:fldCharType="separate"/>
                    </w:r>
                    <w:r>
                      <w:t>39</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2"/>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20EDD3"/>
    <w:multiLevelType w:val="singleLevel"/>
    <w:tmpl w:val="1520EDD3"/>
    <w:lvl w:ilvl="0" w:tentative="0">
      <w:start w:val="3"/>
      <w:numFmt w:val="decimal"/>
      <w:suff w:val="nothing"/>
      <w:lvlText w:val="（%1）"/>
      <w:lvlJc w:val="left"/>
    </w:lvl>
  </w:abstractNum>
  <w:abstractNum w:abstractNumId="1">
    <w:nsid w:val="276CF46B"/>
    <w:multiLevelType w:val="singleLevel"/>
    <w:tmpl w:val="276CF46B"/>
    <w:lvl w:ilvl="0" w:tentative="0">
      <w:start w:val="4"/>
      <w:numFmt w:val="decimal"/>
      <w:suff w:val="space"/>
      <w:lvlText w:val="第%1部分"/>
      <w:lvlJc w:val="left"/>
    </w:lvl>
  </w:abstractNum>
  <w:abstractNum w:abstractNumId="2">
    <w:nsid w:val="488C6FAD"/>
    <w:multiLevelType w:val="multilevel"/>
    <w:tmpl w:val="488C6FAD"/>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DD8A1CF"/>
    <w:multiLevelType w:val="singleLevel"/>
    <w:tmpl w:val="4DD8A1CF"/>
    <w:lvl w:ilvl="0" w:tentative="0">
      <w:start w:val="2"/>
      <w:numFmt w:val="chineseCounting"/>
      <w:suff w:val="nothing"/>
      <w:lvlText w:val="%1、"/>
      <w:lvlJc w:val="left"/>
      <w:rPr>
        <w:rFonts w:hint="eastAsia"/>
      </w:rPr>
    </w:lvl>
  </w:abstractNum>
  <w:abstractNum w:abstractNumId="4">
    <w:nsid w:val="5D51548C"/>
    <w:multiLevelType w:val="singleLevel"/>
    <w:tmpl w:val="5D51548C"/>
    <w:lvl w:ilvl="0" w:tentative="0">
      <w:start w:val="1"/>
      <w:numFmt w:val="chineseCounting"/>
      <w:suff w:val="nothing"/>
      <w:lvlText w:val="（%1）"/>
      <w:lvlJc w:val="left"/>
      <w:rPr>
        <w:rFonts w:hint="eastAsia"/>
      </w:rPr>
    </w:lvl>
  </w:abstractNum>
  <w:abstractNum w:abstractNumId="5">
    <w:nsid w:val="5E4284CA"/>
    <w:multiLevelType w:val="singleLevel"/>
    <w:tmpl w:val="5E4284CA"/>
    <w:lvl w:ilvl="0" w:tentative="0">
      <w:start w:val="1"/>
      <w:numFmt w:val="chineseCounting"/>
      <w:suff w:val="nothing"/>
      <w:lvlText w:val="（%1）"/>
      <w:lvlJc w:val="left"/>
      <w:rPr>
        <w:rFonts w:hint="eastAsia"/>
      </w:rPr>
    </w:lvl>
  </w:abstractNum>
  <w:abstractNum w:abstractNumId="6">
    <w:nsid w:val="6EC771C0"/>
    <w:multiLevelType w:val="singleLevel"/>
    <w:tmpl w:val="6EC771C0"/>
    <w:lvl w:ilvl="0" w:tentative="0">
      <w:start w:val="1"/>
      <w:numFmt w:val="decimal"/>
      <w:suff w:val="space"/>
      <w:lvlText w:val="%1."/>
      <w:lvlJc w:val="left"/>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wZmZmOWM5YzZlNzAyM2JkNmJlYzUzNWQ5M2NkYmIifQ=="/>
  </w:docVars>
  <w:rsids>
    <w:rsidRoot w:val="157115E9"/>
    <w:rsid w:val="00DA5C53"/>
    <w:rsid w:val="00EE2336"/>
    <w:rsid w:val="00F1191B"/>
    <w:rsid w:val="018F475E"/>
    <w:rsid w:val="01B82438"/>
    <w:rsid w:val="029E2E94"/>
    <w:rsid w:val="03060F81"/>
    <w:rsid w:val="04041965"/>
    <w:rsid w:val="042C0EBC"/>
    <w:rsid w:val="048B7990"/>
    <w:rsid w:val="04EB340E"/>
    <w:rsid w:val="050944C0"/>
    <w:rsid w:val="05465FAD"/>
    <w:rsid w:val="05A52CD4"/>
    <w:rsid w:val="05C92573"/>
    <w:rsid w:val="05CA098C"/>
    <w:rsid w:val="068154EF"/>
    <w:rsid w:val="07224C2D"/>
    <w:rsid w:val="0763222E"/>
    <w:rsid w:val="07BC2556"/>
    <w:rsid w:val="07C73BD3"/>
    <w:rsid w:val="08393BA7"/>
    <w:rsid w:val="08BF40AC"/>
    <w:rsid w:val="08CF2907"/>
    <w:rsid w:val="093525C0"/>
    <w:rsid w:val="09A6230F"/>
    <w:rsid w:val="09CD0A4B"/>
    <w:rsid w:val="09ED5836"/>
    <w:rsid w:val="0A9F4195"/>
    <w:rsid w:val="0AB03BF9"/>
    <w:rsid w:val="0B554854"/>
    <w:rsid w:val="0BA367B7"/>
    <w:rsid w:val="0C0D15D3"/>
    <w:rsid w:val="0C197F77"/>
    <w:rsid w:val="0CEC743A"/>
    <w:rsid w:val="0CF55810"/>
    <w:rsid w:val="0DAE60CA"/>
    <w:rsid w:val="0DF447F8"/>
    <w:rsid w:val="0E2C21E4"/>
    <w:rsid w:val="0E9D4E90"/>
    <w:rsid w:val="0F025835"/>
    <w:rsid w:val="0F7200CA"/>
    <w:rsid w:val="0F7554C5"/>
    <w:rsid w:val="0FE663C2"/>
    <w:rsid w:val="105C0433"/>
    <w:rsid w:val="109220A6"/>
    <w:rsid w:val="110C00AB"/>
    <w:rsid w:val="11EB52CA"/>
    <w:rsid w:val="12135469"/>
    <w:rsid w:val="125B488D"/>
    <w:rsid w:val="12723F3D"/>
    <w:rsid w:val="129406BA"/>
    <w:rsid w:val="13533434"/>
    <w:rsid w:val="13596EAB"/>
    <w:rsid w:val="13734411"/>
    <w:rsid w:val="137C501C"/>
    <w:rsid w:val="13F76DF0"/>
    <w:rsid w:val="1432607A"/>
    <w:rsid w:val="14795A57"/>
    <w:rsid w:val="148655CA"/>
    <w:rsid w:val="14902FBC"/>
    <w:rsid w:val="14BF5434"/>
    <w:rsid w:val="154C37F7"/>
    <w:rsid w:val="157115E9"/>
    <w:rsid w:val="158521DA"/>
    <w:rsid w:val="159F14ED"/>
    <w:rsid w:val="15DE3A69"/>
    <w:rsid w:val="16832BBD"/>
    <w:rsid w:val="16A82624"/>
    <w:rsid w:val="16B5427B"/>
    <w:rsid w:val="173C0FBE"/>
    <w:rsid w:val="18DE057F"/>
    <w:rsid w:val="192D6E10"/>
    <w:rsid w:val="19AA09DE"/>
    <w:rsid w:val="1C0C0F5F"/>
    <w:rsid w:val="1C8E2574"/>
    <w:rsid w:val="1CEB14BC"/>
    <w:rsid w:val="1CF02ADF"/>
    <w:rsid w:val="1D1C3424"/>
    <w:rsid w:val="1D594678"/>
    <w:rsid w:val="1D954F84"/>
    <w:rsid w:val="1D9726BB"/>
    <w:rsid w:val="1DB400E5"/>
    <w:rsid w:val="1DD26D6F"/>
    <w:rsid w:val="1E8D2E73"/>
    <w:rsid w:val="1EC35228"/>
    <w:rsid w:val="1F1D3483"/>
    <w:rsid w:val="20455DD1"/>
    <w:rsid w:val="20BA367F"/>
    <w:rsid w:val="20D34410"/>
    <w:rsid w:val="21156B08"/>
    <w:rsid w:val="22CF0F38"/>
    <w:rsid w:val="230A01C2"/>
    <w:rsid w:val="238241FC"/>
    <w:rsid w:val="23D732B4"/>
    <w:rsid w:val="23EF2142"/>
    <w:rsid w:val="242A66C9"/>
    <w:rsid w:val="245636BF"/>
    <w:rsid w:val="249935AC"/>
    <w:rsid w:val="25A249E3"/>
    <w:rsid w:val="25A466AC"/>
    <w:rsid w:val="26046F41"/>
    <w:rsid w:val="263B7010"/>
    <w:rsid w:val="264E4807"/>
    <w:rsid w:val="26630315"/>
    <w:rsid w:val="267F67D1"/>
    <w:rsid w:val="26C568DA"/>
    <w:rsid w:val="26F4010A"/>
    <w:rsid w:val="277870D8"/>
    <w:rsid w:val="2826784C"/>
    <w:rsid w:val="2849353B"/>
    <w:rsid w:val="286F223B"/>
    <w:rsid w:val="28B0314E"/>
    <w:rsid w:val="28C4452E"/>
    <w:rsid w:val="29D62BAC"/>
    <w:rsid w:val="2A047719"/>
    <w:rsid w:val="2BA573BA"/>
    <w:rsid w:val="2C2E153C"/>
    <w:rsid w:val="2C342851"/>
    <w:rsid w:val="2DB43204"/>
    <w:rsid w:val="2E0D7FA5"/>
    <w:rsid w:val="2E60513A"/>
    <w:rsid w:val="2E8B665B"/>
    <w:rsid w:val="2F407445"/>
    <w:rsid w:val="2FA838B9"/>
    <w:rsid w:val="2FE14059"/>
    <w:rsid w:val="302C5C1C"/>
    <w:rsid w:val="30E738F1"/>
    <w:rsid w:val="31044BCF"/>
    <w:rsid w:val="312132A7"/>
    <w:rsid w:val="31C0486E"/>
    <w:rsid w:val="31D43E75"/>
    <w:rsid w:val="31DA0D78"/>
    <w:rsid w:val="33FA3584"/>
    <w:rsid w:val="34480B4A"/>
    <w:rsid w:val="346534AA"/>
    <w:rsid w:val="35493093"/>
    <w:rsid w:val="36513CE6"/>
    <w:rsid w:val="368D1DFA"/>
    <w:rsid w:val="36940077"/>
    <w:rsid w:val="36B94DDA"/>
    <w:rsid w:val="370F76FD"/>
    <w:rsid w:val="373D070E"/>
    <w:rsid w:val="37A8595C"/>
    <w:rsid w:val="37D526F5"/>
    <w:rsid w:val="37F30777"/>
    <w:rsid w:val="385950D4"/>
    <w:rsid w:val="385E6107"/>
    <w:rsid w:val="38FF085A"/>
    <w:rsid w:val="39C944DB"/>
    <w:rsid w:val="39FC21BB"/>
    <w:rsid w:val="3A74459B"/>
    <w:rsid w:val="3AE93FA9"/>
    <w:rsid w:val="3B5129DA"/>
    <w:rsid w:val="3C011D0B"/>
    <w:rsid w:val="3CDD1D4D"/>
    <w:rsid w:val="3CE04016"/>
    <w:rsid w:val="3D346110"/>
    <w:rsid w:val="3D453E79"/>
    <w:rsid w:val="3EA47326"/>
    <w:rsid w:val="3EDF52FC"/>
    <w:rsid w:val="3EEB4A45"/>
    <w:rsid w:val="3F982986"/>
    <w:rsid w:val="401031B3"/>
    <w:rsid w:val="40147E62"/>
    <w:rsid w:val="417D0085"/>
    <w:rsid w:val="418C4461"/>
    <w:rsid w:val="41CF073A"/>
    <w:rsid w:val="426562AB"/>
    <w:rsid w:val="42D40179"/>
    <w:rsid w:val="43234C5C"/>
    <w:rsid w:val="435C1F1C"/>
    <w:rsid w:val="43943464"/>
    <w:rsid w:val="440A1978"/>
    <w:rsid w:val="44A8366B"/>
    <w:rsid w:val="44C91833"/>
    <w:rsid w:val="456D3396"/>
    <w:rsid w:val="456E4C88"/>
    <w:rsid w:val="463D7DE3"/>
    <w:rsid w:val="46565FB2"/>
    <w:rsid w:val="46B76631"/>
    <w:rsid w:val="4725530C"/>
    <w:rsid w:val="47777325"/>
    <w:rsid w:val="4787272C"/>
    <w:rsid w:val="481C1C7A"/>
    <w:rsid w:val="49026D73"/>
    <w:rsid w:val="49163AD1"/>
    <w:rsid w:val="49892799"/>
    <w:rsid w:val="499F1A8F"/>
    <w:rsid w:val="49FD4156"/>
    <w:rsid w:val="4A6C513B"/>
    <w:rsid w:val="4A83026E"/>
    <w:rsid w:val="4B072810"/>
    <w:rsid w:val="4B895879"/>
    <w:rsid w:val="4C2D4456"/>
    <w:rsid w:val="4DB137F4"/>
    <w:rsid w:val="4DBC1F35"/>
    <w:rsid w:val="4E404914"/>
    <w:rsid w:val="4FD71DD8"/>
    <w:rsid w:val="4FEA0190"/>
    <w:rsid w:val="4FEE65F2"/>
    <w:rsid w:val="505B38F6"/>
    <w:rsid w:val="520F1F31"/>
    <w:rsid w:val="529945F3"/>
    <w:rsid w:val="52A33A2B"/>
    <w:rsid w:val="52A419D8"/>
    <w:rsid w:val="52D715BF"/>
    <w:rsid w:val="53054505"/>
    <w:rsid w:val="53C41B44"/>
    <w:rsid w:val="5426635A"/>
    <w:rsid w:val="547E05C3"/>
    <w:rsid w:val="54E67898"/>
    <w:rsid w:val="5559450E"/>
    <w:rsid w:val="569C51DA"/>
    <w:rsid w:val="569E3A76"/>
    <w:rsid w:val="572648C3"/>
    <w:rsid w:val="57325526"/>
    <w:rsid w:val="599E0A6A"/>
    <w:rsid w:val="59AC5554"/>
    <w:rsid w:val="59AC7302"/>
    <w:rsid w:val="5B782231"/>
    <w:rsid w:val="5C557D30"/>
    <w:rsid w:val="5C990127"/>
    <w:rsid w:val="5D810AA5"/>
    <w:rsid w:val="5D9B1B67"/>
    <w:rsid w:val="5E056FE1"/>
    <w:rsid w:val="5F6309CC"/>
    <w:rsid w:val="602F6597"/>
    <w:rsid w:val="60EF5D26"/>
    <w:rsid w:val="61047A23"/>
    <w:rsid w:val="613C2F6B"/>
    <w:rsid w:val="61C54068"/>
    <w:rsid w:val="6223212B"/>
    <w:rsid w:val="624125B1"/>
    <w:rsid w:val="62DE4368"/>
    <w:rsid w:val="640921BA"/>
    <w:rsid w:val="64287ECD"/>
    <w:rsid w:val="64923598"/>
    <w:rsid w:val="64D63485"/>
    <w:rsid w:val="659C2CDE"/>
    <w:rsid w:val="65F8567D"/>
    <w:rsid w:val="662D17CA"/>
    <w:rsid w:val="66344907"/>
    <w:rsid w:val="664D59C9"/>
    <w:rsid w:val="66C832A1"/>
    <w:rsid w:val="67D1388A"/>
    <w:rsid w:val="68417D30"/>
    <w:rsid w:val="68B97345"/>
    <w:rsid w:val="69C2222A"/>
    <w:rsid w:val="6B702FFE"/>
    <w:rsid w:val="6BB2450F"/>
    <w:rsid w:val="6BC60A82"/>
    <w:rsid w:val="6D0668D1"/>
    <w:rsid w:val="6D982EEF"/>
    <w:rsid w:val="6D9914F3"/>
    <w:rsid w:val="6E38049E"/>
    <w:rsid w:val="6E4640FE"/>
    <w:rsid w:val="6E82642B"/>
    <w:rsid w:val="6ED36C87"/>
    <w:rsid w:val="6F54322D"/>
    <w:rsid w:val="6FB76354"/>
    <w:rsid w:val="6FDC1B6B"/>
    <w:rsid w:val="700417EE"/>
    <w:rsid w:val="70422316"/>
    <w:rsid w:val="706C2EE2"/>
    <w:rsid w:val="70947F48"/>
    <w:rsid w:val="70AB266E"/>
    <w:rsid w:val="715C11B6"/>
    <w:rsid w:val="71B306CB"/>
    <w:rsid w:val="729F75AC"/>
    <w:rsid w:val="72BA734A"/>
    <w:rsid w:val="72CC5EC7"/>
    <w:rsid w:val="73F456D6"/>
    <w:rsid w:val="746C5BB4"/>
    <w:rsid w:val="74F02341"/>
    <w:rsid w:val="75175B20"/>
    <w:rsid w:val="75BD65F1"/>
    <w:rsid w:val="76612B8D"/>
    <w:rsid w:val="775D3C4A"/>
    <w:rsid w:val="77ED700C"/>
    <w:rsid w:val="788334CC"/>
    <w:rsid w:val="789D27E0"/>
    <w:rsid w:val="78A81ACF"/>
    <w:rsid w:val="7927654D"/>
    <w:rsid w:val="79490272"/>
    <w:rsid w:val="7A505630"/>
    <w:rsid w:val="7AD26045"/>
    <w:rsid w:val="7B454A69"/>
    <w:rsid w:val="7C8141C6"/>
    <w:rsid w:val="7D553689"/>
    <w:rsid w:val="7E2766A8"/>
    <w:rsid w:val="7E2E7A36"/>
    <w:rsid w:val="7E81736B"/>
    <w:rsid w:val="7EF134EF"/>
    <w:rsid w:val="7EFE38AC"/>
    <w:rsid w:val="7EFE565A"/>
    <w:rsid w:val="7F371E68"/>
    <w:rsid w:val="7F715230"/>
    <w:rsid w:val="7F9D30C5"/>
    <w:rsid w:val="7FC05006"/>
    <w:rsid w:val="7FCE13C8"/>
    <w:rsid w:val="7FE568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paragraph" w:styleId="6">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color w:val="993300"/>
      <w:sz w:val="24"/>
    </w:rPr>
  </w:style>
  <w:style w:type="paragraph" w:styleId="8">
    <w:name w:val="Body Text Indent"/>
    <w:basedOn w:val="1"/>
    <w:next w:val="1"/>
    <w:qFormat/>
    <w:uiPriority w:val="0"/>
    <w:pPr>
      <w:ind w:firstLine="480"/>
    </w:pPr>
    <w:rPr>
      <w:rFonts w:ascii="宋体" w:hAnsi="宋体"/>
    </w:rPr>
  </w:style>
  <w:style w:type="paragraph" w:styleId="9">
    <w:name w:val="Block Text"/>
    <w:basedOn w:val="1"/>
    <w:qFormat/>
    <w:uiPriority w:val="0"/>
    <w:pPr>
      <w:spacing w:line="240" w:lineRule="auto"/>
      <w:ind w:left="1077" w:leftChars="513" w:right="382" w:rightChars="182" w:firstLine="420" w:firstLineChars="200"/>
    </w:pPr>
    <w:rPr>
      <w:rFonts w:hAnsi="Calibri"/>
    </w:rPr>
  </w:style>
  <w:style w:type="paragraph" w:styleId="10">
    <w:name w:val="Plain Text"/>
    <w:basedOn w:val="1"/>
    <w:qFormat/>
    <w:uiPriority w:val="0"/>
    <w:rPr>
      <w:rFonts w:ascii="宋体" w:hAnsi="Courier New" w:cs="Courier New"/>
      <w:szCs w:val="21"/>
    </w:rPr>
  </w:style>
  <w:style w:type="paragraph" w:styleId="11">
    <w:name w:val="Date"/>
    <w:basedOn w:val="1"/>
    <w:next w:val="1"/>
    <w:qFormat/>
    <w:uiPriority w:val="0"/>
    <w:pPr>
      <w:spacing w:line="360" w:lineRule="auto"/>
    </w:pPr>
    <w:rPr>
      <w:rFonts w:ascii="宋体"/>
      <w:sz w:val="24"/>
      <w:szCs w:val="20"/>
    </w:rPr>
  </w:style>
  <w:style w:type="paragraph" w:styleId="12">
    <w:name w:val="Body Text Indent 2"/>
    <w:basedOn w:val="1"/>
    <w:qFormat/>
    <w:uiPriority w:val="0"/>
    <w:pPr>
      <w:spacing w:after="120" w:afterLines="0" w:line="480" w:lineRule="auto"/>
      <w:ind w:left="420" w:leftChars="200"/>
    </w:p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5">
    <w:name w:val="Body Text 2"/>
    <w:basedOn w:val="1"/>
    <w:next w:val="7"/>
    <w:qFormat/>
    <w:uiPriority w:val="0"/>
    <w:pPr>
      <w:spacing w:line="340" w:lineRule="exact"/>
      <w:jc w:val="center"/>
    </w:pPr>
    <w:rPr>
      <w:rFonts w:ascii="宋体" w:hAnsi="Calibri"/>
      <w:sz w:val="24"/>
    </w:rPr>
  </w:style>
  <w:style w:type="paragraph" w:styleId="16">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7">
    <w:name w:val="Body Text First Indent"/>
    <w:basedOn w:val="7"/>
    <w:next w:val="18"/>
    <w:qFormat/>
    <w:uiPriority w:val="0"/>
    <w:pPr>
      <w:adjustRightInd w:val="0"/>
      <w:spacing w:after="120" w:line="312" w:lineRule="atLeast"/>
      <w:ind w:firstLine="420"/>
      <w:textAlignment w:val="baseline"/>
    </w:pPr>
    <w:rPr>
      <w:color w:val="auto"/>
      <w:kern w:val="0"/>
      <w:sz w:val="21"/>
      <w:szCs w:val="20"/>
    </w:rPr>
  </w:style>
  <w:style w:type="paragraph" w:styleId="18">
    <w:name w:val="Body Text First Indent 2"/>
    <w:basedOn w:val="8"/>
    <w:next w:val="1"/>
    <w:qFormat/>
    <w:uiPriority w:val="0"/>
    <w:pPr>
      <w:ind w:firstLine="420"/>
    </w:pPr>
  </w:style>
  <w:style w:type="character" w:styleId="21">
    <w:name w:val="Strong"/>
    <w:basedOn w:val="20"/>
    <w:qFormat/>
    <w:uiPriority w:val="0"/>
    <w:rPr>
      <w:b/>
      <w:bCs/>
    </w:rPr>
  </w:style>
  <w:style w:type="paragraph" w:customStyle="1" w:styleId="22">
    <w:name w:val="null3"/>
    <w:qFormat/>
    <w:uiPriority w:val="0"/>
    <w:rPr>
      <w:rFonts w:hint="eastAsia" w:ascii="Calibri" w:hAnsi="Calibri" w:eastAsia="宋体" w:cs="Times New Roman"/>
      <w:lang w:val="en-US" w:eastAsia="zh-Hans"/>
    </w:rPr>
  </w:style>
  <w:style w:type="paragraph" w:customStyle="1" w:styleId="23">
    <w:name w:val="纯文本1"/>
    <w:basedOn w:val="1"/>
    <w:qFormat/>
    <w:uiPriority w:val="0"/>
    <w:rPr>
      <w:rFonts w:ascii="宋体" w:hAnsi="Courier New"/>
      <w:szCs w:val="21"/>
    </w:rPr>
  </w:style>
  <w:style w:type="paragraph" w:customStyle="1" w:styleId="24">
    <w:name w:val="普通(网站)1"/>
    <w:basedOn w:val="1"/>
    <w:qFormat/>
    <w:uiPriority w:val="0"/>
    <w:pPr>
      <w:spacing w:before="100" w:beforeAutospacing="1" w:after="100" w:afterAutospacing="1" w:line="240" w:lineRule="auto"/>
      <w:jc w:val="left"/>
    </w:pPr>
    <w:rPr>
      <w:rFonts w:ascii="宋体" w:hAnsi="宋体"/>
      <w:kern w:val="0"/>
      <w:sz w:val="24"/>
    </w:rPr>
  </w:style>
  <w:style w:type="paragraph" w:customStyle="1" w:styleId="25">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2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27">
    <w:name w:val="Table Normal"/>
    <w:semiHidden/>
    <w:unhideWhenUsed/>
    <w:qFormat/>
    <w:uiPriority w:val="0"/>
    <w:tblPr>
      <w:tblCellMar>
        <w:top w:w="0" w:type="dxa"/>
        <w:left w:w="0" w:type="dxa"/>
        <w:bottom w:w="0" w:type="dxa"/>
        <w:right w:w="0" w:type="dxa"/>
      </w:tblCellMar>
    </w:tblPr>
  </w:style>
  <w:style w:type="paragraph" w:customStyle="1" w:styleId="28">
    <w:name w:val="Table Text"/>
    <w:basedOn w:val="1"/>
    <w:semiHidden/>
    <w:qFormat/>
    <w:uiPriority w:val="0"/>
    <w:rPr>
      <w:rFonts w:ascii="仿宋" w:hAnsi="仿宋" w:eastAsia="仿宋" w:cs="仿宋"/>
      <w:sz w:val="24"/>
      <w:szCs w:val="24"/>
      <w:lang w:val="en-US" w:eastAsia="en-US" w:bidi="ar-SA"/>
    </w:rPr>
  </w:style>
  <w:style w:type="paragraph" w:styleId="2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18940</Words>
  <Characters>19699</Characters>
  <Lines>0</Lines>
  <Paragraphs>0</Paragraphs>
  <TotalTime>57</TotalTime>
  <ScaleCrop>false</ScaleCrop>
  <LinksUpToDate>false</LinksUpToDate>
  <CharactersWithSpaces>20002</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2025-11-10T06:45:00Z</dcterms:created>
  <dc:creator>微信用户</dc:creator>
  <cp:lastModifiedBy>微信用户</cp:lastModifiedBy>
  <cp:lastPrinted>2025-11-13T05:47:00Z</cp:lastPrinted>
  <dcterms:modified xsi:type="dcterms:W3CDTF">2026-06-23T00:46:49Z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E95006E93B2449F4A87C56443F2EEAB6_13</vt:lpwstr>
  </property>
  <property fmtid="{D5CDD505-2E9C-101B-9397-08002B2CF9AE}" pid="4" name="KSOTemplateDocerSaveRecord">
    <vt:lpwstr>eyJoZGlkIjoiYjE2OGM0OGI4YzA3NDNhZjFiNjc3ZThkMTUxYWU5YWQiLCJ1c2VySWQiOiIzNzg1NjIxOTcifQ==</vt:lpwstr>
  </property>
</Properties>
</file>