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70D22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63B1B995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、项目实现的目标和绩效</w:t>
      </w:r>
    </w:p>
    <w:p w14:paraId="4326CC3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本项目旨在建设校园网第二链路，纳入学校统一出口集中管理体系，通过引入不同物理路由及链路资源，实现校园网出向流量的多路径负载均衡与智能调度。项目将彻底改变单链路或“冷备”模式的局限性，使第二出口在日常运行中实际承担教学、科研、多媒体、考务等业务的出向流量分担，并在主出口拥塞或故障时实现毫秒级自动切换与业务无缝接续。</w:t>
      </w:r>
    </w:p>
    <w:p w14:paraId="185CB5B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项目建成后，将有效提升校园网出口带宽总容量与高可用性，满足等保2.0对核心网络冗余的要求，保障NCRE等国家级考试、在线教学、科研协作等关键业务的网络体验，为智慧校园建设提供坚实的网络基础设施支撑。以下是该项目政策依据：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3995"/>
        <w:gridCol w:w="3728"/>
      </w:tblGrid>
      <w:tr w14:paraId="2EDB6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pct"/>
            <w:shd w:val="clear" w:color="auto" w:fill="D9E1F2"/>
            <w:noWrap w:val="0"/>
            <w:vAlign w:val="center"/>
          </w:tcPr>
          <w:p w14:paraId="3C1611D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2344" w:type="pct"/>
            <w:shd w:val="clear" w:color="auto" w:fill="D9E1F2"/>
            <w:noWrap w:val="0"/>
            <w:vAlign w:val="center"/>
          </w:tcPr>
          <w:p w14:paraId="5BE99DC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政策/文件名称</w:t>
            </w:r>
          </w:p>
        </w:tc>
        <w:tc>
          <w:tcPr>
            <w:tcW w:w="2187" w:type="pct"/>
            <w:shd w:val="clear" w:color="auto" w:fill="D9E1F2"/>
            <w:noWrap w:val="0"/>
            <w:vAlign w:val="center"/>
          </w:tcPr>
          <w:p w14:paraId="4A56547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支撑要点</w:t>
            </w:r>
          </w:p>
        </w:tc>
      </w:tr>
      <w:tr w14:paraId="35A57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pct"/>
            <w:noWrap w:val="0"/>
            <w:vAlign w:val="center"/>
          </w:tcPr>
          <w:p w14:paraId="649BBC4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</w:t>
            </w:r>
          </w:p>
        </w:tc>
        <w:tc>
          <w:tcPr>
            <w:tcW w:w="2344" w:type="pct"/>
            <w:noWrap w:val="0"/>
            <w:vAlign w:val="center"/>
          </w:tcPr>
          <w:p w14:paraId="7D639DA8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《关于提高高等学校网络管理和服务质量的通知》（教育部办公厅、工信部办公厅，2021）</w:t>
            </w:r>
          </w:p>
        </w:tc>
        <w:tc>
          <w:tcPr>
            <w:tcW w:w="2187" w:type="pct"/>
            <w:noWrap w:val="0"/>
            <w:vAlign w:val="center"/>
          </w:tcPr>
          <w:p w14:paraId="536E6A70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建立校园网出口集中管理机制、网络流量监测机制，鼓励引入外部带宽资源</w:t>
            </w:r>
          </w:p>
        </w:tc>
      </w:tr>
      <w:tr w14:paraId="3DA9E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pct"/>
            <w:noWrap w:val="0"/>
            <w:vAlign w:val="center"/>
          </w:tcPr>
          <w:p w14:paraId="376DB16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</w:p>
        </w:tc>
        <w:tc>
          <w:tcPr>
            <w:tcW w:w="2344" w:type="pct"/>
            <w:noWrap w:val="0"/>
            <w:vAlign w:val="center"/>
          </w:tcPr>
          <w:p w14:paraId="38A409AC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《高等学校数字校园建设规范（试行）》</w:t>
            </w:r>
          </w:p>
        </w:tc>
        <w:tc>
          <w:tcPr>
            <w:tcW w:w="2187" w:type="pct"/>
            <w:noWrap w:val="0"/>
            <w:vAlign w:val="center"/>
          </w:tcPr>
          <w:p w14:paraId="2AE2BFA5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校园网出口、主干网建设，核心节点与主干链路冗余，保证可靠性</w:t>
            </w:r>
          </w:p>
        </w:tc>
      </w:tr>
      <w:tr w14:paraId="366B5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pct"/>
            <w:noWrap w:val="0"/>
            <w:vAlign w:val="center"/>
          </w:tcPr>
          <w:p w14:paraId="609EAA8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3</w:t>
            </w:r>
          </w:p>
        </w:tc>
        <w:tc>
          <w:tcPr>
            <w:tcW w:w="2344" w:type="pct"/>
            <w:noWrap w:val="0"/>
            <w:vAlign w:val="center"/>
          </w:tcPr>
          <w:p w14:paraId="1C60FB4B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《网络安全法》及等保2.0《信息安全技术 网络安全等级保护基本要求》（GB/T 22239-2019）</w:t>
            </w:r>
          </w:p>
        </w:tc>
        <w:tc>
          <w:tcPr>
            <w:tcW w:w="2187" w:type="pct"/>
            <w:noWrap w:val="0"/>
            <w:vAlign w:val="center"/>
          </w:tcPr>
          <w:p w14:paraId="7D6F4AF2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网络架构冗余、双归上联、边界安全防护，满足定级系统高可用要求</w:t>
            </w:r>
          </w:p>
        </w:tc>
      </w:tr>
      <w:tr w14:paraId="22D24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pct"/>
            <w:noWrap w:val="0"/>
            <w:vAlign w:val="center"/>
          </w:tcPr>
          <w:p w14:paraId="5C3FA5D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4</w:t>
            </w:r>
          </w:p>
        </w:tc>
        <w:tc>
          <w:tcPr>
            <w:tcW w:w="2344" w:type="pct"/>
            <w:noWrap w:val="0"/>
            <w:vAlign w:val="center"/>
          </w:tcPr>
          <w:p w14:paraId="56C074DA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宝鸡文理学院《校园网络基础设施建设及管理办法（试行）》（宝文理党政办字〔2020〕18号）</w:t>
            </w:r>
          </w:p>
        </w:tc>
        <w:tc>
          <w:tcPr>
            <w:tcW w:w="2187" w:type="pct"/>
            <w:noWrap w:val="0"/>
            <w:vAlign w:val="center"/>
          </w:tcPr>
          <w:p w14:paraId="3B830922">
            <w:pPr>
              <w:spacing w:after="0" w:line="360" w:lineRule="auto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统筹规划、统一管理，运营商入校线路须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网络信息中心</w:t>
            </w:r>
            <w:r>
              <w:rPr>
                <w:rFonts w:hint="eastAsia" w:ascii="宋体" w:hAnsi="宋体" w:eastAsia="宋体" w:cs="宋体"/>
                <w:sz w:val="20"/>
                <w:highlight w:val="none"/>
              </w:rPr>
              <w:t>技术论证，避免重复建设</w:t>
            </w:r>
          </w:p>
        </w:tc>
      </w:tr>
    </w:tbl>
    <w:p w14:paraId="438A63FE"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4"/>
          <w:highlight w:val="none"/>
        </w:rPr>
        <w:t>采购数量及单价、总价</w:t>
      </w:r>
    </w:p>
    <w:p w14:paraId="3861A3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本项目采购预算 300000元，供应商提供带宽≥20Gbps，服务期限一年。仅计校园网出口侧实际交付给学校的可用带宽，不计运营商骨干网内部容量。服务内容包括互联网专线接入服务、公网IP地址服务、安全与管理、运维保障。报价为含税全包价，含一切费用（设备、施工、税费、运维）。</w:t>
      </w:r>
    </w:p>
    <w:p w14:paraId="471393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highlight w:val="none"/>
        </w:rPr>
        <w:t>、主要技术参数</w:t>
      </w:r>
    </w:p>
    <w:p w14:paraId="56C79B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（1）接入方式与带宽</w:t>
      </w:r>
    </w:p>
    <w:tbl>
      <w:tblPr>
        <w:tblStyle w:val="3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1136"/>
        <w:gridCol w:w="6776"/>
      </w:tblGrid>
      <w:tr w14:paraId="173EC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shd w:val="clear" w:color="auto" w:fill="D9E1F2"/>
            <w:noWrap w:val="0"/>
            <w:vAlign w:val="center"/>
          </w:tcPr>
          <w:p w14:paraId="4D44EE87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667" w:type="pct"/>
            <w:shd w:val="clear" w:color="auto" w:fill="D9E1F2"/>
            <w:noWrap w:val="0"/>
            <w:vAlign w:val="center"/>
          </w:tcPr>
          <w:p w14:paraId="5A35C07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3978" w:type="pct"/>
            <w:shd w:val="clear" w:color="auto" w:fill="D9E1F2"/>
            <w:noWrap w:val="0"/>
            <w:vAlign w:val="center"/>
          </w:tcPr>
          <w:p w14:paraId="7CB29F9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73387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noWrap w:val="0"/>
            <w:vAlign w:val="center"/>
          </w:tcPr>
          <w:p w14:paraId="326ABF58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</w:t>
            </w:r>
          </w:p>
        </w:tc>
        <w:tc>
          <w:tcPr>
            <w:tcW w:w="667" w:type="pct"/>
            <w:noWrap w:val="0"/>
            <w:vAlign w:val="center"/>
          </w:tcPr>
          <w:p w14:paraId="6C9E132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接入方式</w:t>
            </w:r>
          </w:p>
        </w:tc>
        <w:tc>
          <w:tcPr>
            <w:tcW w:w="3978" w:type="pct"/>
            <w:noWrap w:val="0"/>
            <w:vAlign w:val="center"/>
          </w:tcPr>
          <w:p w14:paraId="5D08C37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全光纤直连，自有城域/骨干核心设备直接熔接至校方指定机房，不得经GPON/EPON分光、小区共享或无线桥接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;乙方提供高新、石鼓校区之间裸光纤一对，链路衰耗符合YD/T行业标准要求；</w:t>
            </w:r>
          </w:p>
        </w:tc>
      </w:tr>
      <w:tr w14:paraId="6C1E3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noWrap w:val="0"/>
            <w:vAlign w:val="center"/>
          </w:tcPr>
          <w:p w14:paraId="56C0BEA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</w:p>
        </w:tc>
        <w:tc>
          <w:tcPr>
            <w:tcW w:w="667" w:type="pct"/>
            <w:noWrap w:val="0"/>
            <w:vAlign w:val="center"/>
          </w:tcPr>
          <w:p w14:paraId="22A1B69A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带宽类型</w:t>
            </w:r>
          </w:p>
        </w:tc>
        <w:tc>
          <w:tcPr>
            <w:tcW w:w="3978" w:type="pct"/>
            <w:noWrap w:val="0"/>
            <w:vAlign w:val="center"/>
          </w:tcPr>
          <w:p w14:paraId="08704B7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独享对称带宽≥20Gbps，上下行速率一致，不得以非对称链路冒充</w:t>
            </w:r>
          </w:p>
        </w:tc>
      </w:tr>
      <w:tr w14:paraId="4DECF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noWrap w:val="0"/>
            <w:vAlign w:val="center"/>
          </w:tcPr>
          <w:p w14:paraId="07868E2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3</w:t>
            </w:r>
          </w:p>
        </w:tc>
        <w:tc>
          <w:tcPr>
            <w:tcW w:w="667" w:type="pct"/>
            <w:noWrap w:val="0"/>
            <w:vAlign w:val="center"/>
          </w:tcPr>
          <w:p w14:paraId="3FD73B4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禁止超售</w:t>
            </w:r>
          </w:p>
        </w:tc>
        <w:tc>
          <w:tcPr>
            <w:tcW w:w="3978" w:type="pct"/>
            <w:noWrap w:val="0"/>
            <w:vAlign w:val="center"/>
          </w:tcPr>
          <w:p w14:paraId="4A6DAB5A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非共享、非超售专线，不与任何其他政企客户共享物理端口/PON口</w:t>
            </w:r>
          </w:p>
        </w:tc>
      </w:tr>
      <w:tr w14:paraId="69E06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noWrap w:val="0"/>
            <w:vAlign w:val="center"/>
          </w:tcPr>
          <w:p w14:paraId="2CB5480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4</w:t>
            </w:r>
          </w:p>
        </w:tc>
        <w:tc>
          <w:tcPr>
            <w:tcW w:w="667" w:type="pct"/>
            <w:noWrap w:val="0"/>
            <w:vAlign w:val="center"/>
          </w:tcPr>
          <w:p w14:paraId="7B61394C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光衰指标</w:t>
            </w:r>
          </w:p>
        </w:tc>
        <w:tc>
          <w:tcPr>
            <w:tcW w:w="3978" w:type="pct"/>
            <w:noWrap w:val="0"/>
            <w:vAlign w:val="center"/>
          </w:tcPr>
          <w:p w14:paraId="77709C5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成端光功率衰减 -3dBm～-20dBm，提供OTDR测试报告</w:t>
            </w:r>
          </w:p>
        </w:tc>
      </w:tr>
      <w:tr w14:paraId="7EE8F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4" w:type="pct"/>
            <w:noWrap w:val="0"/>
            <w:vAlign w:val="center"/>
          </w:tcPr>
          <w:p w14:paraId="58D3315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5</w:t>
            </w:r>
          </w:p>
        </w:tc>
        <w:tc>
          <w:tcPr>
            <w:tcW w:w="667" w:type="pct"/>
            <w:noWrap w:val="0"/>
            <w:vAlign w:val="center"/>
          </w:tcPr>
          <w:p w14:paraId="35D8905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sz w:val="20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端口速率</w:t>
            </w:r>
          </w:p>
          <w:p w14:paraId="2C0E1EF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匹配</w:t>
            </w:r>
          </w:p>
        </w:tc>
        <w:tc>
          <w:tcPr>
            <w:tcW w:w="3978" w:type="pct"/>
            <w:noWrap w:val="0"/>
            <w:vAlign w:val="center"/>
          </w:tcPr>
          <w:p w14:paraId="5BD8500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提供与承诺带宽匹配的光模块（1G→SFP、10G→SFP+），兼容校方核心交换机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H3C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0"/>
                <w:highlight w:val="none"/>
              </w:rPr>
              <w:t>，免费提供</w:t>
            </w:r>
          </w:p>
        </w:tc>
      </w:tr>
    </w:tbl>
    <w:p w14:paraId="3001C8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（2）物理路由与高可用冗余</w:t>
      </w:r>
    </w:p>
    <w:tbl>
      <w:tblPr>
        <w:tblStyle w:val="3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683"/>
        <w:gridCol w:w="6219"/>
      </w:tblGrid>
      <w:tr w14:paraId="4BE71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shd w:val="clear" w:color="auto" w:fill="D9E1F2"/>
            <w:noWrap w:val="0"/>
            <w:vAlign w:val="center"/>
          </w:tcPr>
          <w:p w14:paraId="3DD36CC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988" w:type="pct"/>
            <w:shd w:val="clear" w:color="auto" w:fill="D9E1F2"/>
            <w:noWrap w:val="0"/>
            <w:vAlign w:val="center"/>
          </w:tcPr>
          <w:p w14:paraId="78938387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3650" w:type="pct"/>
            <w:shd w:val="clear" w:color="auto" w:fill="D9E1F2"/>
            <w:noWrap w:val="0"/>
            <w:vAlign w:val="center"/>
          </w:tcPr>
          <w:p w14:paraId="7D32D94A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71D1D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noWrap w:val="0"/>
            <w:vAlign w:val="center"/>
          </w:tcPr>
          <w:p w14:paraId="1E26DFB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7</w:t>
            </w:r>
          </w:p>
        </w:tc>
        <w:tc>
          <w:tcPr>
            <w:tcW w:w="988" w:type="pct"/>
            <w:noWrap w:val="0"/>
            <w:vAlign w:val="center"/>
          </w:tcPr>
          <w:p w14:paraId="1B7D92E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双物理路由</w:t>
            </w:r>
          </w:p>
        </w:tc>
        <w:tc>
          <w:tcPr>
            <w:tcW w:w="3650" w:type="pct"/>
            <w:noWrap w:val="0"/>
            <w:vAlign w:val="center"/>
          </w:tcPr>
          <w:p w14:paraId="582E3EF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与第一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主</w:t>
            </w:r>
            <w:r>
              <w:rPr>
                <w:rFonts w:hint="eastAsia" w:ascii="宋体" w:hAnsi="宋体" w:eastAsia="宋体" w:cs="宋体"/>
                <w:sz w:val="20"/>
                <w:highlight w:val="none"/>
              </w:rPr>
              <w:t>出口完全不同物理路由（不同局向、管道/杆路、光交箱、进楼路由），提供《物理路由独立性说明图》</w:t>
            </w:r>
          </w:p>
        </w:tc>
      </w:tr>
      <w:tr w14:paraId="7909B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noWrap w:val="0"/>
            <w:vAlign w:val="center"/>
          </w:tcPr>
          <w:p w14:paraId="5E38EB0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8</w:t>
            </w:r>
          </w:p>
        </w:tc>
        <w:tc>
          <w:tcPr>
            <w:tcW w:w="988" w:type="pct"/>
            <w:noWrap w:val="0"/>
            <w:vAlign w:val="center"/>
          </w:tcPr>
          <w:p w14:paraId="7138634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双归接入</w:t>
            </w:r>
          </w:p>
        </w:tc>
        <w:tc>
          <w:tcPr>
            <w:tcW w:w="3650" w:type="pct"/>
            <w:noWrap w:val="0"/>
            <w:vAlign w:val="center"/>
          </w:tcPr>
          <w:p w14:paraId="43A4238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供应商侧双PE/双上联，校方侧支持双端口LACP聚合，单节点/单纤故障业务不中断</w:t>
            </w:r>
          </w:p>
        </w:tc>
      </w:tr>
      <w:tr w14:paraId="4CC86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noWrap w:val="0"/>
            <w:vAlign w:val="center"/>
          </w:tcPr>
          <w:p w14:paraId="0364ED1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9</w:t>
            </w:r>
          </w:p>
        </w:tc>
        <w:tc>
          <w:tcPr>
            <w:tcW w:w="988" w:type="pct"/>
            <w:noWrap w:val="0"/>
            <w:vAlign w:val="center"/>
          </w:tcPr>
          <w:p w14:paraId="298C1BE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自动倒换</w:t>
            </w:r>
          </w:p>
        </w:tc>
        <w:tc>
          <w:tcPr>
            <w:tcW w:w="3650" w:type="pct"/>
            <w:noWrap w:val="0"/>
            <w:vAlign w:val="center"/>
          </w:tcPr>
          <w:p w14:paraId="23C42B1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主链路故障/拥塞时自动切换至本链路，倒换时间≤1秒</w:t>
            </w:r>
          </w:p>
        </w:tc>
      </w:tr>
      <w:tr w14:paraId="17B8E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noWrap w:val="0"/>
            <w:vAlign w:val="center"/>
          </w:tcPr>
          <w:p w14:paraId="7473DC1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10</w:t>
            </w:r>
          </w:p>
        </w:tc>
        <w:tc>
          <w:tcPr>
            <w:tcW w:w="988" w:type="pct"/>
            <w:noWrap w:val="0"/>
            <w:vAlign w:val="center"/>
          </w:tcPr>
          <w:p w14:paraId="6237936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全年可用率</w:t>
            </w:r>
          </w:p>
        </w:tc>
        <w:tc>
          <w:tcPr>
            <w:tcW w:w="3650" w:type="pct"/>
            <w:noWrap w:val="0"/>
            <w:vAlign w:val="center"/>
          </w:tcPr>
          <w:p w14:paraId="5A1D9F4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≥99.9%（年中断≤8.76小时）</w:t>
            </w:r>
          </w:p>
        </w:tc>
      </w:tr>
      <w:tr w14:paraId="63CB8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0" w:type="pct"/>
            <w:noWrap w:val="0"/>
            <w:vAlign w:val="center"/>
          </w:tcPr>
          <w:p w14:paraId="6C99B05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11</w:t>
            </w:r>
          </w:p>
        </w:tc>
        <w:tc>
          <w:tcPr>
            <w:tcW w:w="988" w:type="pct"/>
            <w:noWrap w:val="0"/>
            <w:vAlign w:val="center"/>
          </w:tcPr>
          <w:p w14:paraId="2720E5F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割接保障</w:t>
            </w:r>
          </w:p>
        </w:tc>
        <w:tc>
          <w:tcPr>
            <w:tcW w:w="3650" w:type="pct"/>
            <w:noWrap w:val="0"/>
            <w:vAlign w:val="center"/>
          </w:tcPr>
          <w:p w14:paraId="1058878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提前5个工作日书面通知，安排在22:00-6:00或寒暑假；考试期间禁止非紧急割接</w:t>
            </w:r>
          </w:p>
        </w:tc>
      </w:tr>
    </w:tbl>
    <w:p w14:paraId="7F60A9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（3）IP地址与路由协议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555"/>
        <w:gridCol w:w="6220"/>
      </w:tblGrid>
      <w:tr w14:paraId="5F3B6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shd w:val="clear" w:color="auto" w:fill="D9E1F2"/>
            <w:noWrap w:val="0"/>
            <w:vAlign w:val="center"/>
          </w:tcPr>
          <w:p w14:paraId="1C358A9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912" w:type="pct"/>
            <w:shd w:val="clear" w:color="auto" w:fill="D9E1F2"/>
            <w:noWrap w:val="0"/>
            <w:vAlign w:val="center"/>
          </w:tcPr>
          <w:p w14:paraId="5A58F726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3649" w:type="pct"/>
            <w:shd w:val="clear" w:color="auto" w:fill="D9E1F2"/>
            <w:noWrap w:val="0"/>
            <w:vAlign w:val="center"/>
          </w:tcPr>
          <w:p w14:paraId="7FA9143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2CFDA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18C38A0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12</w:t>
            </w:r>
          </w:p>
        </w:tc>
        <w:tc>
          <w:tcPr>
            <w:tcW w:w="912" w:type="pct"/>
            <w:noWrap w:val="0"/>
            <w:vAlign w:val="center"/>
          </w:tcPr>
          <w:p w14:paraId="4B45F51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IPv4地址</w:t>
            </w:r>
          </w:p>
        </w:tc>
        <w:tc>
          <w:tcPr>
            <w:tcW w:w="3649" w:type="pct"/>
            <w:noWrap w:val="0"/>
            <w:vAlign w:val="center"/>
          </w:tcPr>
          <w:p w14:paraId="43494616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不少于32个连续公网静态IPv4，支持子网划分、NAT、端口映射、反向DNS</w:t>
            </w:r>
          </w:p>
        </w:tc>
      </w:tr>
      <w:tr w14:paraId="3EBC7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57E4208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13</w:t>
            </w:r>
          </w:p>
        </w:tc>
        <w:tc>
          <w:tcPr>
            <w:tcW w:w="912" w:type="pct"/>
            <w:noWrap w:val="0"/>
            <w:vAlign w:val="center"/>
          </w:tcPr>
          <w:p w14:paraId="2AEF214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IPv6支持</w:t>
            </w:r>
          </w:p>
        </w:tc>
        <w:tc>
          <w:tcPr>
            <w:tcW w:w="3649" w:type="pct"/>
            <w:noWrap w:val="0"/>
            <w:vAlign w:val="center"/>
          </w:tcPr>
          <w:p w14:paraId="29E5BC8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提供公网IPv6前缀（/48或/56），支持双栈，与教育网互联互通</w:t>
            </w:r>
          </w:p>
        </w:tc>
      </w:tr>
      <w:tr w14:paraId="34789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497127E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14</w:t>
            </w:r>
          </w:p>
        </w:tc>
        <w:tc>
          <w:tcPr>
            <w:tcW w:w="912" w:type="pct"/>
            <w:noWrap w:val="0"/>
            <w:vAlign w:val="center"/>
          </w:tcPr>
          <w:p w14:paraId="2DA6F67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路由协议</w:t>
            </w:r>
          </w:p>
        </w:tc>
        <w:tc>
          <w:tcPr>
            <w:tcW w:w="3649" w:type="pct"/>
            <w:noWrap w:val="0"/>
            <w:vAlign w:val="center"/>
          </w:tcPr>
          <w:p w14:paraId="1AFCE09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支持静态路由及BGP动态路由，路由策略调优</w:t>
            </w:r>
          </w:p>
        </w:tc>
      </w:tr>
      <w:tr w14:paraId="6C45C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5FB51DC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15</w:t>
            </w:r>
          </w:p>
        </w:tc>
        <w:tc>
          <w:tcPr>
            <w:tcW w:w="912" w:type="pct"/>
            <w:noWrap w:val="0"/>
            <w:vAlign w:val="center"/>
          </w:tcPr>
          <w:p w14:paraId="69752AC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路由通告</w:t>
            </w:r>
          </w:p>
        </w:tc>
        <w:tc>
          <w:tcPr>
            <w:tcW w:w="3649" w:type="pct"/>
            <w:noWrap w:val="0"/>
            <w:vAlign w:val="center"/>
          </w:tcPr>
          <w:p w14:paraId="5D848F4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配合将分配地址段通过BGP向互联网通告，确保全球可达</w:t>
            </w:r>
          </w:p>
        </w:tc>
      </w:tr>
    </w:tbl>
    <w:p w14:paraId="7FAAAD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（4）网络性能与质量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555"/>
        <w:gridCol w:w="6220"/>
      </w:tblGrid>
      <w:tr w14:paraId="32DE3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shd w:val="clear" w:color="auto" w:fill="D9E1F2"/>
            <w:noWrap w:val="0"/>
            <w:vAlign w:val="center"/>
          </w:tcPr>
          <w:p w14:paraId="393CE0E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912" w:type="pct"/>
            <w:shd w:val="clear" w:color="auto" w:fill="D9E1F2"/>
            <w:noWrap w:val="0"/>
            <w:vAlign w:val="center"/>
          </w:tcPr>
          <w:p w14:paraId="3320548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3649" w:type="pct"/>
            <w:shd w:val="clear" w:color="auto" w:fill="D9E1F2"/>
            <w:noWrap w:val="0"/>
            <w:vAlign w:val="center"/>
          </w:tcPr>
          <w:p w14:paraId="08D15E9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3F802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579E498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16</w:t>
            </w:r>
          </w:p>
        </w:tc>
        <w:tc>
          <w:tcPr>
            <w:tcW w:w="912" w:type="pct"/>
            <w:noWrap w:val="0"/>
            <w:vAlign w:val="center"/>
          </w:tcPr>
          <w:p w14:paraId="74415F8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时延</w:t>
            </w:r>
          </w:p>
        </w:tc>
        <w:tc>
          <w:tcPr>
            <w:tcW w:w="3649" w:type="pct"/>
            <w:noWrap w:val="0"/>
            <w:vAlign w:val="center"/>
          </w:tcPr>
          <w:p w14:paraId="3F3BCA6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95%负载：至供应商骨干节点≤10ms；至国内主流教育/科研节点≤30ms</w:t>
            </w:r>
          </w:p>
        </w:tc>
      </w:tr>
      <w:tr w14:paraId="6D349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522F34B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17</w:t>
            </w:r>
          </w:p>
        </w:tc>
        <w:tc>
          <w:tcPr>
            <w:tcW w:w="912" w:type="pct"/>
            <w:noWrap w:val="0"/>
            <w:vAlign w:val="center"/>
          </w:tcPr>
          <w:p w14:paraId="148EF41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丢包率</w:t>
            </w:r>
          </w:p>
        </w:tc>
        <w:tc>
          <w:tcPr>
            <w:tcW w:w="3649" w:type="pct"/>
            <w:noWrap w:val="0"/>
            <w:vAlign w:val="center"/>
          </w:tcPr>
          <w:p w14:paraId="2C09C132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连续24小时Ping（1472字节，间隔1秒），丢包率≤0.1%</w:t>
            </w:r>
          </w:p>
        </w:tc>
      </w:tr>
      <w:tr w14:paraId="40E49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6B6EFDF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18</w:t>
            </w:r>
          </w:p>
        </w:tc>
        <w:tc>
          <w:tcPr>
            <w:tcW w:w="912" w:type="pct"/>
            <w:noWrap w:val="0"/>
            <w:vAlign w:val="center"/>
          </w:tcPr>
          <w:p w14:paraId="3F703EF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抖动</w:t>
            </w:r>
          </w:p>
        </w:tc>
        <w:tc>
          <w:tcPr>
            <w:tcW w:w="3649" w:type="pct"/>
            <w:noWrap w:val="0"/>
            <w:vAlign w:val="center"/>
          </w:tcPr>
          <w:p w14:paraId="41DF4308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连续24小时测试，网络抖动≤5ms（多媒体场景建议≤2ms）</w:t>
            </w:r>
          </w:p>
        </w:tc>
      </w:tr>
      <w:tr w14:paraId="2212B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268A7CC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19</w:t>
            </w:r>
          </w:p>
        </w:tc>
        <w:tc>
          <w:tcPr>
            <w:tcW w:w="912" w:type="pct"/>
            <w:noWrap w:val="0"/>
            <w:vAlign w:val="center"/>
          </w:tcPr>
          <w:p w14:paraId="78F567A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误码率</w:t>
            </w:r>
          </w:p>
        </w:tc>
        <w:tc>
          <w:tcPr>
            <w:tcW w:w="3649" w:type="pct"/>
            <w:noWrap w:val="0"/>
            <w:vAlign w:val="center"/>
          </w:tcPr>
          <w:p w14:paraId="68A66CC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误码率≤1×10⁻⁷（RFC 2544标准）</w:t>
            </w:r>
          </w:p>
        </w:tc>
      </w:tr>
    </w:tbl>
    <w:p w14:paraId="7F274F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（5）安全与管理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555"/>
        <w:gridCol w:w="6220"/>
      </w:tblGrid>
      <w:tr w14:paraId="461BB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shd w:val="clear" w:color="auto" w:fill="D9E1F2"/>
            <w:noWrap w:val="0"/>
            <w:vAlign w:val="center"/>
          </w:tcPr>
          <w:p w14:paraId="47C9666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912" w:type="pct"/>
            <w:shd w:val="clear" w:color="auto" w:fill="D9E1F2"/>
            <w:noWrap w:val="0"/>
            <w:vAlign w:val="center"/>
          </w:tcPr>
          <w:p w14:paraId="55A8C33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3649" w:type="pct"/>
            <w:shd w:val="clear" w:color="auto" w:fill="D9E1F2"/>
            <w:noWrap w:val="0"/>
            <w:vAlign w:val="center"/>
          </w:tcPr>
          <w:p w14:paraId="17A947B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3A3D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58B65CD1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0</w:t>
            </w:r>
          </w:p>
        </w:tc>
        <w:tc>
          <w:tcPr>
            <w:tcW w:w="912" w:type="pct"/>
            <w:noWrap w:val="0"/>
            <w:vAlign w:val="center"/>
          </w:tcPr>
          <w:p w14:paraId="778F4D6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DDoS防护</w:t>
            </w:r>
          </w:p>
        </w:tc>
        <w:tc>
          <w:tcPr>
            <w:tcW w:w="3649" w:type="pct"/>
            <w:noWrap w:val="0"/>
            <w:vAlign w:val="center"/>
          </w:tcPr>
          <w:p w14:paraId="3E01E50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免费清洗阈值≥2Gbps，攻击流量就近清洗，不引流至校方</w:t>
            </w:r>
          </w:p>
        </w:tc>
      </w:tr>
      <w:tr w14:paraId="1306E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49F83A6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1</w:t>
            </w:r>
          </w:p>
        </w:tc>
        <w:tc>
          <w:tcPr>
            <w:tcW w:w="912" w:type="pct"/>
            <w:noWrap w:val="0"/>
            <w:vAlign w:val="center"/>
          </w:tcPr>
          <w:p w14:paraId="2ECF3084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流量监控</w:t>
            </w:r>
          </w:p>
        </w:tc>
        <w:tc>
          <w:tcPr>
            <w:tcW w:w="3649" w:type="pct"/>
            <w:noWrap w:val="0"/>
            <w:vAlign w:val="center"/>
          </w:tcPr>
          <w:p w14:paraId="397E1A4A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提供SNMP v2c/v3或NetFlow/sFlow接口，允许校方网管采集</w:t>
            </w:r>
          </w:p>
        </w:tc>
      </w:tr>
      <w:tr w14:paraId="32535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37FA913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2</w:t>
            </w:r>
          </w:p>
        </w:tc>
        <w:tc>
          <w:tcPr>
            <w:tcW w:w="912" w:type="pct"/>
            <w:noWrap w:val="0"/>
            <w:vAlign w:val="center"/>
          </w:tcPr>
          <w:p w14:paraId="1B8EB6F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日志审计</w:t>
            </w:r>
          </w:p>
        </w:tc>
        <w:tc>
          <w:tcPr>
            <w:tcW w:w="3649" w:type="pct"/>
            <w:noWrap w:val="0"/>
            <w:vAlign w:val="center"/>
          </w:tcPr>
          <w:p w14:paraId="611F2636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配合落实日志留存≥6个月（NAT/URL），开放必要镜像端口</w:t>
            </w:r>
          </w:p>
        </w:tc>
      </w:tr>
      <w:tr w14:paraId="393C4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7" w:type="pct"/>
            <w:noWrap w:val="0"/>
            <w:vAlign w:val="center"/>
          </w:tcPr>
          <w:p w14:paraId="4F4D826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3</w:t>
            </w:r>
          </w:p>
        </w:tc>
        <w:tc>
          <w:tcPr>
            <w:tcW w:w="912" w:type="pct"/>
            <w:noWrap w:val="0"/>
            <w:vAlign w:val="center"/>
          </w:tcPr>
          <w:p w14:paraId="76F92325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等保合规</w:t>
            </w:r>
          </w:p>
        </w:tc>
        <w:tc>
          <w:tcPr>
            <w:tcW w:w="3649" w:type="pct"/>
            <w:noWrap w:val="0"/>
            <w:vAlign w:val="center"/>
          </w:tcPr>
          <w:p w14:paraId="46E51A3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满足等保二级/三级网络架构冗余、边界防护要求，配合测评</w:t>
            </w:r>
          </w:p>
        </w:tc>
      </w:tr>
    </w:tbl>
    <w:p w14:paraId="33105A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（6）运维保障</w:t>
      </w:r>
    </w:p>
    <w:tbl>
      <w:tblPr>
        <w:tblStyle w:val="3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1"/>
        <w:gridCol w:w="1082"/>
        <w:gridCol w:w="6842"/>
      </w:tblGrid>
      <w:tr w14:paraId="41BB6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" w:type="pct"/>
            <w:shd w:val="clear" w:color="auto" w:fill="D9E1F2"/>
            <w:noWrap w:val="0"/>
            <w:vAlign w:val="center"/>
          </w:tcPr>
          <w:p w14:paraId="29CF4D2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序号</w:t>
            </w:r>
          </w:p>
        </w:tc>
        <w:tc>
          <w:tcPr>
            <w:tcW w:w="635" w:type="pct"/>
            <w:shd w:val="clear" w:color="auto" w:fill="D9E1F2"/>
            <w:noWrap w:val="0"/>
            <w:vAlign w:val="center"/>
          </w:tcPr>
          <w:p w14:paraId="5A04880C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参数名称</w:t>
            </w:r>
          </w:p>
        </w:tc>
        <w:tc>
          <w:tcPr>
            <w:tcW w:w="4016" w:type="pct"/>
            <w:shd w:val="clear" w:color="auto" w:fill="D9E1F2"/>
            <w:noWrap w:val="0"/>
            <w:vAlign w:val="center"/>
          </w:tcPr>
          <w:p w14:paraId="375D9967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highlight w:val="none"/>
              </w:rPr>
              <w:t>技术规格要求</w:t>
            </w:r>
          </w:p>
        </w:tc>
      </w:tr>
      <w:tr w14:paraId="753F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" w:type="pct"/>
            <w:noWrap w:val="0"/>
            <w:vAlign w:val="center"/>
          </w:tcPr>
          <w:p w14:paraId="59C4AF39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4</w:t>
            </w:r>
          </w:p>
        </w:tc>
        <w:tc>
          <w:tcPr>
            <w:tcW w:w="635" w:type="pct"/>
            <w:noWrap w:val="0"/>
            <w:vAlign w:val="center"/>
          </w:tcPr>
          <w:p w14:paraId="3CB286C3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故障响应</w:t>
            </w:r>
          </w:p>
        </w:tc>
        <w:tc>
          <w:tcPr>
            <w:tcW w:w="4016" w:type="pct"/>
            <w:noWrap w:val="0"/>
            <w:vAlign w:val="center"/>
          </w:tcPr>
          <w:p w14:paraId="5799EF8B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7×24受理热线；申告后30分钟内响应并定位，4小时内恢复一般故障</w:t>
            </w:r>
          </w:p>
        </w:tc>
      </w:tr>
      <w:tr w14:paraId="497D3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" w:type="pct"/>
            <w:noWrap w:val="0"/>
            <w:vAlign w:val="center"/>
          </w:tcPr>
          <w:p w14:paraId="5F06FC6D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5</w:t>
            </w:r>
          </w:p>
        </w:tc>
        <w:tc>
          <w:tcPr>
            <w:tcW w:w="635" w:type="pct"/>
            <w:noWrap w:val="0"/>
            <w:vAlign w:val="center"/>
          </w:tcPr>
          <w:p w14:paraId="218DDD9F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考试重保</w:t>
            </w:r>
          </w:p>
        </w:tc>
        <w:tc>
          <w:tcPr>
            <w:tcW w:w="4016" w:type="pct"/>
            <w:noWrap w:val="0"/>
            <w:vAlign w:val="center"/>
          </w:tcPr>
          <w:p w14:paraId="76CC73F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NCRE、四六级、研考等国家级考试期间现场值守或30分钟到场，提前3天提交保障方案</w:t>
            </w:r>
          </w:p>
        </w:tc>
      </w:tr>
      <w:tr w14:paraId="70F2D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" w:type="pct"/>
            <w:noWrap w:val="0"/>
            <w:vAlign w:val="center"/>
          </w:tcPr>
          <w:p w14:paraId="6DF7C2B0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  <w:lang w:val="en-US" w:eastAsia="zh-CN"/>
              </w:rPr>
              <w:t>26</w:t>
            </w:r>
          </w:p>
        </w:tc>
        <w:tc>
          <w:tcPr>
            <w:tcW w:w="635" w:type="pct"/>
            <w:noWrap w:val="0"/>
            <w:vAlign w:val="center"/>
          </w:tcPr>
          <w:p w14:paraId="2EC7736E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季度巡检</w:t>
            </w:r>
          </w:p>
        </w:tc>
        <w:tc>
          <w:tcPr>
            <w:tcW w:w="4016" w:type="pct"/>
            <w:noWrap w:val="0"/>
            <w:vAlign w:val="center"/>
          </w:tcPr>
          <w:p w14:paraId="1FAC54E6">
            <w:pPr>
              <w:spacing w:after="0" w:line="360" w:lineRule="auto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0"/>
                <w:highlight w:val="none"/>
              </w:rPr>
              <w:t>每季度≥1次现场巡检，提交光衰、误码、流量分析及优化报告</w:t>
            </w:r>
          </w:p>
        </w:tc>
      </w:tr>
    </w:tbl>
    <w:p w14:paraId="4E9E1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0" w:firstLineChars="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（7）技术要求：</w:t>
      </w:r>
    </w:p>
    <w:p w14:paraId="6AC1F3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光纤类型：ITU-T G.652.D单模光纤（或优于），支持10G/40G/100G传输；光模块：与承诺带宽匹配，全新原厂正品，兼容华为/华三/锐捷等主流设备，提供质保承诺；尾纤跳线：LSZH（低烟无卤）阻燃尾纤，弯曲半径≥30mm；配线设备：ODF配线架、耦合器、终端盒等，材质为冷轧钢板或不锈钢，表面防静电喷涂；光纤标签：每根光纤两端有防水防脱落标签，标注：起点-终点-芯数-波长，打印清晰；布线规整：机房内光纤走桥架，绑扎整齐，无飞线；配线架端口标识与跳线一一对应；负载均衡：配合校方配置策略路由，实现教学、科研、办公、考务等业务差异化出向调度;乙方提供高新、石鼓校区之间裸光纤一对，链路衰耗符合YD/T行业标准要求。</w:t>
      </w:r>
    </w:p>
    <w:p w14:paraId="46CBB3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highlight w:val="none"/>
          <w:lang w:val="en-US" w:eastAsia="zh-CN"/>
        </w:rPr>
        <w:t>四、其他要求</w:t>
      </w:r>
    </w:p>
    <w:p w14:paraId="64C274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1、交付范围：含光纤布放、光模块提供、设备配置、路由对接、测试验收、人员培训等全部工作；</w:t>
      </w:r>
    </w:p>
    <w:p w14:paraId="5D7D2B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2、售后服务：① 提供7×24小时技术支持热线；② 故障响应≤30分钟，一般故障恢复≤4小时；③ 每季度现场巡检1次；</w:t>
      </w:r>
    </w:p>
    <w:p w14:paraId="277BB8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3、培训要求：开通验收时，供应商须对校方网络管理人员进行不少于1次现场培训，内容包括：链路运维、故障排查、流量监控平台使用等；</w:t>
      </w:r>
    </w:p>
    <w:p w14:paraId="0A42E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4、保密要求：供应商须对接触到的校方网络拓扑、IP规划、业务数据等严格保密，未经书面许可不得向第三方披露。</w:t>
      </w:r>
    </w:p>
    <w:p w14:paraId="68B0E2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highlight w:val="none"/>
          <w:lang w:val="en-US" w:eastAsia="zh-CN"/>
        </w:rPr>
        <w:t>5.验收要求</w:t>
      </w:r>
    </w:p>
    <w:p w14:paraId="1AF29D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（1）开通测试报告（含光衰、带宽、倒换、时延/丢包原始数据） </w:t>
      </w:r>
    </w:p>
    <w:p w14:paraId="006CDF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（2）连续30天流量监控截图（证明实际承载业务） </w:t>
      </w:r>
    </w:p>
    <w:p w14:paraId="0ED91B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（3）物理路由独立性说明图（运营商盖章） </w:t>
      </w:r>
    </w:p>
    <w:p w14:paraId="3F88AF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（4）季度巡检报告（至少1份） </w:t>
      </w:r>
    </w:p>
    <w:p w14:paraId="0EB521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（5）故障工单处理记录（如有） </w:t>
      </w:r>
    </w:p>
    <w:p w14:paraId="63DCAF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（6）培训签到表及培训材料 </w:t>
      </w:r>
    </w:p>
    <w:p w14:paraId="5363A1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（7）等保合规检查记录 </w:t>
      </w:r>
    </w:p>
    <w:p w14:paraId="03C82A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（8）供应商资质文件复印件（加盖公章） </w:t>
      </w:r>
    </w:p>
    <w:p w14:paraId="294CF8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（9）验收结论单（三方签字盖章）</w:t>
      </w:r>
    </w:p>
    <w:p w14:paraId="78945B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6.针对项目要求对应技术指标、性能功能做出相应作出响应方案，内容包括：</w:t>
      </w:r>
    </w:p>
    <w:p w14:paraId="7C5801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（1）实施方案 </w:t>
      </w:r>
    </w:p>
    <w:p w14:paraId="40E3FD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针对采购人需求，提出服务实施方案，内容包含①带宽服务方案设计 </w:t>
      </w:r>
    </w:p>
    <w:p w14:paraId="53963B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②有线和无线网络服务方案设计③其他服务方案设计。 </w:t>
      </w:r>
    </w:p>
    <w:p w14:paraId="40B28A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（2）工期进度及保障措施 </w:t>
      </w:r>
    </w:p>
    <w:p w14:paraId="74D900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提供工期进度及保障措施，内容包括： </w:t>
      </w:r>
    </w:p>
    <w:p w14:paraId="5E5F4A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1、工期进度：①工作路线②工作方法； </w:t>
      </w:r>
    </w:p>
    <w:p w14:paraId="25C640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2、保障措施：①管理组织②技术工艺③资源物资。</w:t>
      </w:r>
    </w:p>
    <w:p w14:paraId="03E5DB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（3）故障报修方案 </w:t>
      </w:r>
    </w:p>
    <w:p w14:paraId="442AA1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针对本项目提出故障申告方案，内容包括：①故障申告处理方案：服务时间、首问责任制②绿色通道：及时解决采购人使用网络中遇到的问题，为采购人提供快速、优质的解决方案。 </w:t>
      </w:r>
    </w:p>
    <w:p w14:paraId="457198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（4）服务保障方案 </w:t>
      </w:r>
    </w:p>
    <w:p w14:paraId="018DA1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投标人针对本项目提供服务保障方案，内容包括：①技术人员及设备②服务方案。 </w:t>
      </w:r>
    </w:p>
    <w:p w14:paraId="6A0E2E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（5）维保方案 </w:t>
      </w:r>
    </w:p>
    <w:p w14:paraId="603E86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针对本项目提供维保方案，内容包含：</w:t>
      </w:r>
    </w:p>
    <w:p w14:paraId="6DAE41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①定期检查②预防性管理维护方案③网络代维。 </w:t>
      </w:r>
    </w:p>
    <w:p w14:paraId="433FB9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（6）应急处理服务 </w:t>
      </w:r>
    </w:p>
    <w:p w14:paraId="6B9432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针对本项目制定完善的应急处理服务，内容包括：①应急处置：遭受 </w:t>
      </w:r>
    </w:p>
    <w:p w14:paraId="76DFBB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攻击时处置流程、病毒感染处置流程、网络中段处理流程②响应时间：提供上述应急处置的3种紧急情况下进行故障处理的具体处理时间和电路倒接时间。 </w:t>
      </w:r>
    </w:p>
    <w:p w14:paraId="21433B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（7）售后服务方案 </w:t>
      </w:r>
    </w:p>
    <w:p w14:paraId="7D24DA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结合本项目实际情况，提供售后服务方案，方案包括：①服务内容②驻场技术支持。 </w:t>
      </w:r>
    </w:p>
    <w:p w14:paraId="491DB1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（8）培训方案 </w:t>
      </w:r>
    </w:p>
    <w:p w14:paraId="2FE714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供应商须提供相应的培训方案，内容包括： </w:t>
      </w:r>
    </w:p>
    <w:p w14:paraId="7589B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1、培训内容及技术指导：①培训内容②技术指导； </w:t>
      </w:r>
    </w:p>
    <w:p w14:paraId="1CF813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2、培训方式及时间安排：①培训方式②时间安排。 </w:t>
      </w:r>
    </w:p>
    <w:p w14:paraId="2A4D1D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（9）其他要求（需提供承诺函，格式自拟） </w:t>
      </w:r>
    </w:p>
    <w:p w14:paraId="3EBACE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1、接受采购人对服务的考核、监督及管理，并对服务质量加以改进，确保服务工作的优质高效。 </w:t>
      </w:r>
    </w:p>
    <w:p w14:paraId="0811A8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 xml:space="preserve">2、具有可调度人员储备，以应对各类突发事件及各类大型活动等工作 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的保障任务。</w:t>
      </w:r>
    </w:p>
    <w:p w14:paraId="67F1A46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15717"/>
    <w:rsid w:val="06F1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2026-09-22T01:58:00Z</dcterms:created>
  <dc:creator>123</dc:creator>
  <cp:lastModifiedBy>123</cp:lastModifiedBy>
  <dcterms:modified xsi:type="dcterms:W3CDTF">2026-09-22T02:06:51Z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92810162338541CDBBD0F45D7C10B537_11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