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C672C">
      <w:pPr>
        <w:rPr>
          <w:rFonts w:hint="eastAsia" w:ascii="宋体" w:hAnsi="宋体"/>
          <w:color w:val="auto"/>
          <w:sz w:val="24"/>
          <w:szCs w:val="32"/>
        </w:rPr>
      </w:pPr>
      <w:bookmarkStart w:id="0" w:name="_GoBack"/>
      <w:bookmarkEnd w:id="0"/>
      <w:r>
        <w:rPr>
          <w:rFonts w:hint="eastAsia" w:ascii="宋体" w:hAnsi="宋体"/>
          <w:sz w:val="24"/>
          <w:szCs w:val="32"/>
          <w:lang w:val="en-US" w:eastAsia="zh-CN"/>
        </w:rPr>
        <w:t>一、</w:t>
      </w:r>
      <w:r>
        <w:rPr>
          <w:rFonts w:hint="eastAsia" w:ascii="宋体" w:hAnsi="宋体"/>
          <w:color w:val="auto"/>
          <w:sz w:val="24"/>
          <w:szCs w:val="32"/>
        </w:rPr>
        <w:t>采购需求概况</w:t>
      </w:r>
    </w:p>
    <w:p w14:paraId="3DFBE9FF">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采购1650米空调用电主供电电缆、106米备用电源电缆；配置1台动力配电柜、1台双电源切换箱、14台空调专用电源箱，保障14台10匹空调独立供电。配套采购400米镀锌电缆桥架及400付复合支架，用于线缆规整敷设；采购180米空调室外机电源穿线管，满足末端布线需求。</w:t>
      </w:r>
    </w:p>
    <w:p w14:paraId="2BC7A960">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施工配套服务包含：墙体开孔14个（含止水套管）、电缆桥架开孔14个，完成全部线缆敷设后的通电调试、垃圾清运工作。所有设备及材料需符合国家电气安全标准，适配场馆现有线路改造要求，确保14台10匹空调同时稳定运行。</w:t>
      </w:r>
    </w:p>
    <w:p w14:paraId="38B06555">
      <w:pPr>
        <w:pStyle w:val="2"/>
        <w:rPr>
          <w:rFonts w:hint="eastAsia" w:ascii="宋体" w:hAnsi="宋体" w:eastAsia="宋体" w:cs="宋体"/>
          <w:color w:val="auto"/>
          <w:lang w:val="en-US" w:eastAsia="zh-CN"/>
        </w:rPr>
      </w:pPr>
      <w:r>
        <w:rPr>
          <w:rFonts w:hint="eastAsia" w:ascii="宋体" w:hAnsi="宋体" w:eastAsia="宋体" w:cs="宋体"/>
          <w:color w:val="auto"/>
          <w:lang w:val="en-US" w:eastAsia="zh-CN"/>
        </w:rPr>
        <w:t>二、项目建设功能目标</w:t>
      </w:r>
    </w:p>
    <w:p w14:paraId="2FD9F91C">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通过电气设施专项升级，彻底解决文体中心原有线路负荷不足问题，满足14台10匹空调同时稳定运行需求，保障陕西省第十八届运动会赛事环境达标。同步构建安全可靠的供电体系，依托双电源切换箱实现主备电源无缝衔接，消除线路过载、跳闸及火灾隐患，确保赛事及后续师生文体活动用电零中断。项目建成后，将补齐场馆硬件短板，兼顾赛事保障与长期使用需求，为文体中心常态化开展大型活动提供坚实的电力支撑与安全屏障。</w:t>
      </w:r>
    </w:p>
    <w:p w14:paraId="6947E02D">
      <w:pPr>
        <w:pStyle w:val="2"/>
        <w:rPr>
          <w:rFonts w:hint="eastAsia" w:ascii="宋体" w:hAnsi="宋体" w:eastAsia="宋体" w:cs="宋体"/>
          <w:color w:val="auto"/>
          <w:lang w:val="en-US" w:eastAsia="zh-CN"/>
        </w:rPr>
      </w:pPr>
      <w:r>
        <w:rPr>
          <w:rFonts w:hint="eastAsia" w:ascii="宋体" w:hAnsi="宋体" w:eastAsia="宋体" w:cs="宋体"/>
          <w:color w:val="auto"/>
          <w:lang w:val="en-US" w:eastAsia="zh-CN"/>
        </w:rPr>
        <w:t>三、工程要求；</w:t>
      </w:r>
    </w:p>
    <w:p w14:paraId="60F23A0F">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（1）工程内容：</w:t>
      </w:r>
    </w:p>
    <w:p w14:paraId="1A95F6B1">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①新增总配电柜统筹场馆空调负荷，配1台双电源切换箱，14台空调专用电源箱实现独立分控，消除过载隐患，保障14台10匹空调运行稳定可靠。</w:t>
      </w:r>
    </w:p>
    <w:p w14:paraId="23539ABE">
      <w:pPr>
        <w:pStyle w:val="2"/>
        <w:numPr>
          <w:ilvl w:val="0"/>
          <w:numId w:val="0"/>
        </w:numPr>
        <w:ind w:firstLine="480" w:firstLineChars="200"/>
        <w:rPr>
          <w:rFonts w:hint="eastAsia" w:ascii="宋体" w:hAnsi="宋体" w:eastAsia="宋体" w:cs="宋体"/>
          <w:color w:val="auto"/>
          <w:lang w:val="en-US" w:eastAsia="zh-CN"/>
        </w:rPr>
      </w:pPr>
      <w:r>
        <w:rPr>
          <w:rFonts w:hint="eastAsia" w:ascii="宋体" w:hAnsi="宋体" w:eastAsia="宋体" w:cs="宋体"/>
          <w:color w:val="auto"/>
          <w:kern w:val="2"/>
          <w:sz w:val="24"/>
          <w:szCs w:val="24"/>
          <w:lang w:val="en-US" w:eastAsia="zh-CN" w:bidi="ar-SA"/>
        </w:rPr>
        <w:t>②</w:t>
      </w:r>
      <w:r>
        <w:rPr>
          <w:rFonts w:hint="eastAsia" w:ascii="宋体" w:hAnsi="宋体" w:eastAsia="宋体" w:cs="宋体"/>
          <w:color w:val="auto"/>
          <w:lang w:val="en-US" w:eastAsia="zh-CN"/>
        </w:rPr>
        <w:t>利旧学校现有电缆，从配电室敷设至文体中心总配电柜，补足供电容量。</w:t>
      </w:r>
    </w:p>
    <w:tbl>
      <w:tblPr>
        <w:tblStyle w:val="3"/>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5"/>
        <w:gridCol w:w="4077"/>
        <w:gridCol w:w="1928"/>
        <w:gridCol w:w="1515"/>
      </w:tblGrid>
      <w:tr w14:paraId="0D767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jc w:val="center"/>
        </w:trPr>
        <w:tc>
          <w:tcPr>
            <w:tcW w:w="584" w:type="pct"/>
            <w:tcBorders>
              <w:top w:val="single" w:color="000000" w:sz="8" w:space="0"/>
              <w:left w:val="single" w:color="000000" w:sz="4" w:space="0"/>
              <w:bottom w:val="single" w:color="000000" w:sz="4" w:space="0"/>
              <w:right w:val="single" w:color="000000" w:sz="4" w:space="0"/>
            </w:tcBorders>
            <w:noWrap w:val="0"/>
            <w:vAlign w:val="center"/>
          </w:tcPr>
          <w:p w14:paraId="45351F8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2393" w:type="pct"/>
            <w:tcBorders>
              <w:top w:val="single" w:color="000000" w:sz="8" w:space="0"/>
              <w:left w:val="single" w:color="000000" w:sz="4" w:space="0"/>
              <w:bottom w:val="single" w:color="000000" w:sz="4" w:space="0"/>
              <w:right w:val="single" w:color="000000" w:sz="4" w:space="0"/>
            </w:tcBorders>
            <w:noWrap w:val="0"/>
            <w:vAlign w:val="center"/>
          </w:tcPr>
          <w:p w14:paraId="536044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1132" w:type="pct"/>
            <w:tcBorders>
              <w:top w:val="single" w:color="000000" w:sz="8" w:space="0"/>
              <w:left w:val="single" w:color="000000" w:sz="4" w:space="0"/>
              <w:bottom w:val="single" w:color="000000" w:sz="4" w:space="0"/>
              <w:right w:val="single" w:color="000000" w:sz="4" w:space="0"/>
            </w:tcBorders>
            <w:noWrap w:val="0"/>
            <w:vAlign w:val="center"/>
          </w:tcPr>
          <w:p w14:paraId="1EF846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计量单位</w:t>
            </w:r>
          </w:p>
        </w:tc>
        <w:tc>
          <w:tcPr>
            <w:tcW w:w="889" w:type="pct"/>
            <w:tcBorders>
              <w:top w:val="single" w:color="000000" w:sz="8" w:space="0"/>
              <w:left w:val="single" w:color="000000" w:sz="4" w:space="0"/>
              <w:bottom w:val="single" w:color="000000" w:sz="4" w:space="0"/>
              <w:right w:val="single" w:color="000000" w:sz="4" w:space="0"/>
            </w:tcBorders>
            <w:noWrap w:val="0"/>
            <w:vAlign w:val="center"/>
          </w:tcPr>
          <w:p w14:paraId="7724EE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工程数量</w:t>
            </w:r>
          </w:p>
        </w:tc>
      </w:tr>
      <w:tr w14:paraId="35670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747E36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0D4EE36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空调箱进线电缆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1.名称:YJV-4*10+1*6</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2.敷设方式:管内敷设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1.电缆敷设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2.电缆防护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3.电缆接头</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1504B5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5291E839">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1600</w:t>
            </w:r>
          </w:p>
        </w:tc>
      </w:tr>
      <w:tr w14:paraId="64DDD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0C6C8CF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7A4B475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双电源电缆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1.名称:YJV-4*16+1*10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2.敷设方式:管内敷设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1.电缆敷设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2.电缆防护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3.电缆接头</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2F4413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4BB8C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106</w:t>
            </w:r>
          </w:p>
        </w:tc>
      </w:tr>
      <w:tr w14:paraId="1B84A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037821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68F41A1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双电源电缆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1.名称:YJV22-4*240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2.敷设方式:架空敷设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1.电缆敷设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2.电缆防护</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3.电缆接头</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405474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791750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320</w:t>
            </w:r>
          </w:p>
        </w:tc>
      </w:tr>
      <w:tr w14:paraId="3A5D2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4801A6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303EDB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电力电缆头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1.名称:电缆终端制作安装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1.电缆终端制作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2.电缆终端安装</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26A367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6F1D3C7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28</w:t>
            </w:r>
          </w:p>
        </w:tc>
      </w:tr>
      <w:tr w14:paraId="4960D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69DCCA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7251FC6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桥架支架安装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1.名称:复合支架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1.定位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3.工地运输</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52FE1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付</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0A9846CE">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370</w:t>
            </w:r>
          </w:p>
        </w:tc>
      </w:tr>
      <w:tr w14:paraId="0AA37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1A7E0F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734529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桥架槽盒安装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1.名称:镀锌电缆桥架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1.定位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4.工地运输</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3516EE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7BF75AD0">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370</w:t>
            </w:r>
          </w:p>
        </w:tc>
      </w:tr>
      <w:tr w14:paraId="4C3F9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64025D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27D553E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空调室外机电源穿线管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1.名称:空调室外机电源穿线管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1.定位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3.连接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4.工地运输</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5AE1BD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m</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2ACFA6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180</w:t>
            </w:r>
          </w:p>
        </w:tc>
      </w:tr>
      <w:tr w14:paraId="6D27F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35AC16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6A1EA51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动力配电柜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1.名称:动力配电柜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1.制作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3.接地</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38C6D7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075F74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14:paraId="23714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5BB503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5CD8A39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双电源配电箱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1.名称:双电源配电箱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1.制作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3.接地</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55D366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4092DE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14:paraId="03082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4C130B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50E6898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空调电源箱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1.名称:空调电源箱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1.制作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3.接地</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6D471E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46DF7B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r>
      <w:tr w14:paraId="3A6BE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6E4E79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430D26D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墙体开孔(直径150)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1.名称:墙体开孔(直径150)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1.墙体开孔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2.安装止水套管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3.防水修复</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0C6FC9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25D2E6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r>
      <w:tr w14:paraId="3A0B3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3389A2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1C688D6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垃圾清运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1.名称:垃圾清运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1.垃圾清运</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2073BD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14FDF3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14:paraId="470CF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3CDBE5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2FF2A2D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通电调试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1.名称:通电调试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1.调试</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21BF10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系统</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500880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14:paraId="5ECDE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584" w:type="pct"/>
            <w:tcBorders>
              <w:top w:val="single" w:color="000000" w:sz="4" w:space="0"/>
              <w:left w:val="single" w:color="000000" w:sz="4" w:space="0"/>
              <w:bottom w:val="single" w:color="000000" w:sz="4" w:space="0"/>
              <w:right w:val="single" w:color="000000" w:sz="4" w:space="0"/>
            </w:tcBorders>
            <w:noWrap w:val="0"/>
            <w:vAlign w:val="center"/>
          </w:tcPr>
          <w:p w14:paraId="32CB93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c>
          <w:tcPr>
            <w:tcW w:w="2393" w:type="pct"/>
            <w:tcBorders>
              <w:top w:val="single" w:color="000000" w:sz="4" w:space="0"/>
              <w:left w:val="single" w:color="000000" w:sz="4" w:space="0"/>
              <w:bottom w:val="single" w:color="000000" w:sz="4" w:space="0"/>
              <w:right w:val="single" w:color="000000" w:sz="4" w:space="0"/>
            </w:tcBorders>
            <w:noWrap w:val="0"/>
            <w:vAlign w:val="center"/>
          </w:tcPr>
          <w:p w14:paraId="206958D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电缆桥架开孔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[项目特征]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1.名称:电缆桥架开孔</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[工作内容]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1.电缆桥架开孔</w:t>
            </w:r>
          </w:p>
        </w:tc>
        <w:tc>
          <w:tcPr>
            <w:tcW w:w="1132" w:type="pct"/>
            <w:tcBorders>
              <w:top w:val="single" w:color="000000" w:sz="4" w:space="0"/>
              <w:left w:val="single" w:color="000000" w:sz="4" w:space="0"/>
              <w:bottom w:val="single" w:color="000000" w:sz="4" w:space="0"/>
              <w:right w:val="single" w:color="000000" w:sz="4" w:space="0"/>
            </w:tcBorders>
            <w:noWrap w:val="0"/>
            <w:vAlign w:val="center"/>
          </w:tcPr>
          <w:p w14:paraId="767D2A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889" w:type="pct"/>
            <w:tcBorders>
              <w:top w:val="single" w:color="000000" w:sz="4" w:space="0"/>
              <w:left w:val="single" w:color="000000" w:sz="4" w:space="0"/>
              <w:bottom w:val="single" w:color="000000" w:sz="4" w:space="0"/>
              <w:right w:val="single" w:color="000000" w:sz="4" w:space="0"/>
            </w:tcBorders>
            <w:noWrap w:val="0"/>
            <w:vAlign w:val="center"/>
          </w:tcPr>
          <w:p w14:paraId="57924A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r>
    </w:tbl>
    <w:p w14:paraId="1FA601EE">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（2）其他要求：</w:t>
      </w:r>
    </w:p>
    <w:p w14:paraId="7B550407">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①需执行的国家相关标准、行业标准、地方标准或者其他标准、规范；国家电气设备安全技术规范（GB 19517-2023）。</w:t>
      </w:r>
    </w:p>
    <w:p w14:paraId="35F6B3E3">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②实施要求：包括但不限于项目实施需满足的质量、安全、文明施工、工期等要求；</w:t>
      </w:r>
    </w:p>
    <w:p w14:paraId="148A3D08">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③承包方式：包工包料，固定总价包干。</w:t>
      </w:r>
    </w:p>
    <w:p w14:paraId="0D322975">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④质量与安全：所有材料设备进场前需经采购人认质确认。施工方需对工程质量、安全、文明施工负全责。施工期间的人身、财产安全及外围协调由施工方负责，因施工造成的一切安全事故及第三方损失均由施工方承担全部责任与费用。高空作业（离地2米以上）人员必须持证上岗，并购买相应保险，严格遵守安全规范。做好对既有设施的保护，完工后需清理现场、清运垃圾，恢复设施原位。</w:t>
      </w:r>
    </w:p>
    <w:p w14:paraId="3FBBCBFB">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⑤施工管理：施工方需指派固定项目负责人，服从校方后勤安保管理。隐蔽工程及每道工序必须经采购人验收合格后方可进入下一工序，否则工期延误由施工方负责。竣工后需提交两套完整的竣工资料。</w:t>
      </w:r>
    </w:p>
    <w:p w14:paraId="3B9E273D">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⑥质保期：项目竣工验收合格之日起，整体工程质保期为3年。质保期内出现质量问题，施工方须在接到通知后12小时内到场维修，质保期内维修费包含在合同价款中。</w:t>
      </w:r>
    </w:p>
    <w:p w14:paraId="33DEF43C">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⑦验收标准：经调试后可同时满足14台十匹空调稳定运行。</w:t>
      </w:r>
    </w:p>
    <w:p w14:paraId="141781F0">
      <w:pPr>
        <w:pStyle w:val="2"/>
        <w:ind w:firstLine="480" w:firstLineChars="200"/>
        <w:rPr>
          <w:rFonts w:hint="eastAsia" w:ascii="宋体" w:hAnsi="宋体" w:eastAsia="宋体" w:cs="宋体"/>
          <w:color w:val="auto"/>
          <w:lang w:val="en-US" w:eastAsia="zh-CN"/>
        </w:rPr>
      </w:pPr>
      <w:r>
        <w:rPr>
          <w:rFonts w:hint="eastAsia" w:ascii="宋体" w:hAnsi="宋体" w:eastAsia="宋体" w:cs="宋体"/>
          <w:color w:val="auto"/>
          <w:lang w:val="en-US" w:eastAsia="zh-CN"/>
        </w:rPr>
        <w:t>⑧工程验收：按照国家现行相关施工验收规范、标准及采购人要求进行。施工工艺、材料质量需符合设计及约定要求。</w:t>
      </w:r>
    </w:p>
    <w:p w14:paraId="4E412A4E">
      <w:pPr>
        <w:pStyle w:val="2"/>
        <w:ind w:firstLine="480" w:firstLineChars="200"/>
        <w:rPr>
          <w:rFonts w:hint="eastAsia" w:ascii="宋体" w:hAnsi="宋体"/>
          <w:sz w:val="24"/>
          <w:szCs w:val="24"/>
          <w:lang w:val="en-US" w:eastAsia="zh-CN"/>
        </w:rPr>
      </w:pPr>
      <w:r>
        <w:rPr>
          <w:rFonts w:hint="eastAsia" w:ascii="宋体" w:hAnsi="宋体" w:eastAsia="宋体" w:cs="宋体"/>
          <w:color w:val="auto"/>
          <w:lang w:val="en-US" w:eastAsia="zh-CN"/>
        </w:rPr>
        <w:t>⑨竣工资料验收：施工方需提交完整、规范的竣工资料（含设备合格证、检测报告等）两套。</w:t>
      </w:r>
      <w:r>
        <w:rPr>
          <w:rFonts w:hint="eastAsia" w:ascii="宋体" w:hAnsi="宋体"/>
          <w:sz w:val="24"/>
          <w:szCs w:val="24"/>
          <w:lang w:val="en-US" w:eastAsia="zh-CN"/>
        </w:rPr>
        <w:t xml:space="preserve"> </w:t>
      </w:r>
    </w:p>
    <w:p w14:paraId="08D423B2">
      <w:r>
        <w:rPr>
          <w:rFonts w:hint="eastAsia" w:ascii="宋体" w:hAnsi="宋体" w:eastAsia="宋体" w:cs="宋体"/>
          <w:b/>
          <w:bCs/>
          <w:color w:val="auto"/>
          <w:lang w:val="en-US" w:eastAsia="zh-CN"/>
        </w:rPr>
        <w:t xml:space="preserve">⑩其他要求：所有潜在供应商必须在磋商时提供设计图纸和工程量清单报价。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5B4954"/>
    <w:rsid w:val="325B49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uiPriority w:val="0"/>
    <w:rPr>
      <w:color w:val="99330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2026-06-25T06:49:00Z</dcterms:created>
  <dc:creator>123</dc:creator>
  <cp:lastModifiedBy>123</cp:lastModifiedBy>
  <dcterms:modified xsi:type="dcterms:W3CDTF">2026-06-25T06:50:16Z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457FF21EBFB74B79840BDECF28885B9E_11</vt:lpwstr>
  </property>
  <property fmtid="{D5CDD505-2E9C-101B-9397-08002B2CF9AE}" pid="4" name="KSOTemplateDocerSaveRecord">
    <vt:lpwstr>eyJoZGlkIjoiOTEzYTE1NjhmYmI0MDkxYmE1ZjVkMjkwNjA2M2Q0ZDUiLCJ1c2VySWQiOiI0NTE5NDQwNTQifQ==</vt:lpwstr>
  </property>
</Properties>
</file>