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版本号：SZT2026-SN-XC-ZC-FW-041620260518001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2026-2027年度医保线上宣传服务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SZT2026-SN-XC-ZC-FW-0416</w:t>
      </w:r>
      <w:r>
        <w:br/>
      </w:r>
      <w:r>
        <w:br/>
      </w:r>
      <w:r>
        <w:br/>
      </w:r>
    </w:p>
    <w:p>
      <w:pPr>
        <w:pStyle w:val="null3"/>
        <w:jc w:val="center"/>
        <w:outlineLvl w:val="2"/>
      </w:pPr>
      <w:r>
        <w:rPr>
          <w:rFonts w:ascii="仿宋_GB2312" w:hAnsi="仿宋_GB2312" w:cs="仿宋_GB2312" w:eastAsia="仿宋_GB2312"/>
          <w:sz w:val="28"/>
          <w:b/>
        </w:rPr>
        <w:t>西安市医疗保障局</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西安市医疗保障局</w:t>
      </w:r>
      <w:r>
        <w:rPr>
          <w:rFonts w:ascii="仿宋_GB2312" w:hAnsi="仿宋_GB2312" w:cs="仿宋_GB2312" w:eastAsia="仿宋_GB2312"/>
        </w:rPr>
        <w:t>委托，拟对</w:t>
      </w:r>
      <w:r>
        <w:rPr>
          <w:rFonts w:ascii="仿宋_GB2312" w:hAnsi="仿宋_GB2312" w:cs="仿宋_GB2312" w:eastAsia="仿宋_GB2312"/>
        </w:rPr>
        <w:t>2026-2027年度医保线上宣传服务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SZT2026-SN-XC-ZC-FW-0416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2026-2027年度医保线上宣传服务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2026-2027年度医保线上宣传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采购包1（2026-2027年度医保线上宣传）：属于专门面向中小企业采购。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1、授权委托书：法定代表人直接参加磋商的，须提供法定代表人身份证，并与营业执照上信息一致。被授权代表参加投标的，须提供法定代表人授权书;</w:t>
      </w:r>
    </w:p>
    <w:p>
      <w:pPr>
        <w:pStyle w:val="null3"/>
      </w:pPr>
      <w:r>
        <w:rPr>
          <w:rFonts w:ascii="仿宋_GB2312" w:hAnsi="仿宋_GB2312" w:cs="仿宋_GB2312" w:eastAsia="仿宋_GB2312"/>
        </w:rPr>
        <w:t>2、本项目不接受联合体参与：本项目不接受联合体参与，单位负责人为同一人或者存在直接控股、管理关系的不同单位，不得参加同一项下的采购活动。对列入失信被执行人、政府采购严重违法失信行为记录名单的供应商，拒绝参与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西安市医疗保障局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029-67097579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毛冠奇、王馨、肖娇娇、李文俊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代理服务费收费标准：招标代理服务费收取参照国家计委颁布的《招标代理服务收费管理暂行办法》（计价格[2002]1980号）和（发改办价格[2003]857号）收费标准，按照定额人民币壹万壹仟元整收取。 开户名称：陕西中技招标有限公司（向我公司转账时，请备注清楚项目编号后四位） 开户银行：招商银行西安分行营业部 银行账号：1299 1681 2810 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西安市医疗保障局</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西安市医疗保障局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西安市医疗保障局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地址：西安市高新区高新四路 1 号高科广场 A1001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2026-2027年度医保线上宣传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西安市医疗保障局2026-2027年度医保线上宣传服务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标的名称：西安市医疗保障局2026-2027年度医保线上宣传服务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一、项目背景</w:t>
            </w:r>
          </w:p>
          <w:p>
            <w:pPr>
              <w:pStyle w:val="null3"/>
            </w:pPr>
            <w:r>
              <w:rPr>
                <w:rFonts w:ascii="仿宋_GB2312" w:hAnsi="仿宋_GB2312" w:cs="仿宋_GB2312" w:eastAsia="仿宋_GB2312"/>
              </w:rPr>
              <w:t>在数字化时代与医保事业快速发展的背景下，开展医保线上宣传工作是政府部门提升治理效能、服务群众需求的必然选择，也是深化落实《中华人民共和国政府信息公开条例》《国家医保局关于加强医保政策宣传工作的通知》《国务院办公厅关于健全基本医疗保险参保长效机制的指导意见》等文件精神的具体举措。依托各类线上平台开展医保宣传工作，既能高效传递政务信息、降低发布成本，提升医保治理精细化水平，又能畅通政民互动渠道，精准解读政策、回应群众关切、化解舆论风险，增强群众医保获得感与幸福感，同时推动政策持续优化。通过主动公开工作信息，能够提升政府部门透明度与公信力，树立亲民务实的良好形象，也能帮助群众准确理解不断出台的医保新政策、新举措，避免政策误解，引导群众合理享受待遇，此外还能引导群众熟练使用线上经办服务平台，助力智慧医保建设与政府数字化转型，有效减轻线下经办压力。</w:t>
            </w:r>
          </w:p>
          <w:p>
            <w:pPr>
              <w:pStyle w:val="null3"/>
            </w:pPr>
            <w:r>
              <w:rPr>
                <w:rFonts w:ascii="仿宋_GB2312" w:hAnsi="仿宋_GB2312" w:cs="仿宋_GB2312" w:eastAsia="仿宋_GB2312"/>
              </w:rPr>
              <w:t>二、项目目标</w:t>
            </w:r>
          </w:p>
          <w:p>
            <w:pPr>
              <w:pStyle w:val="null3"/>
            </w:pPr>
            <w:r>
              <w:rPr>
                <w:rFonts w:ascii="仿宋_GB2312" w:hAnsi="仿宋_GB2312" w:cs="仿宋_GB2312" w:eastAsia="仿宋_GB2312"/>
              </w:rPr>
              <w:t>进一步推进西安市医疗保障局医保宣传工作精准化、常态化开展，构建</w:t>
            </w:r>
            <w:r>
              <w:rPr>
                <w:rFonts w:ascii="仿宋_GB2312" w:hAnsi="仿宋_GB2312" w:cs="仿宋_GB2312" w:eastAsia="仿宋_GB2312"/>
              </w:rPr>
              <w:t>“平台完善、内容优质、形式多样、覆盖广泛、成效显著”的线上宣传体系，围绕西安市医保工作重点，聚焦群众关切，全面提升医保政策知晓率、线上服务便捷度和群众获得感满意度，强化参保企业群众基金安全意识，化解医保领域舆论风险，为西安市医疗保障事业高质量发展提供有力的宣传支撑和舆论保障。</w:t>
            </w:r>
          </w:p>
          <w:p>
            <w:pPr>
              <w:pStyle w:val="null3"/>
            </w:pPr>
            <w:r>
              <w:rPr>
                <w:rFonts w:ascii="仿宋_GB2312" w:hAnsi="仿宋_GB2312" w:cs="仿宋_GB2312" w:eastAsia="仿宋_GB2312"/>
              </w:rPr>
              <w:t>三、项目内容</w:t>
            </w:r>
          </w:p>
          <w:p>
            <w:pPr>
              <w:pStyle w:val="null3"/>
            </w:pPr>
            <w:r>
              <w:rPr>
                <w:rFonts w:ascii="仿宋_GB2312" w:hAnsi="仿宋_GB2312" w:cs="仿宋_GB2312" w:eastAsia="仿宋_GB2312"/>
              </w:rPr>
              <w:t>西安市医疗保障局拟通过第三方运维团队承接本项目，服务内容包括工作动态及重点业务推进情况宣传、政策法规及解读科普宣传、主题宣传及线上互动活动、应急宣传回应等相关服务。</w:t>
            </w:r>
          </w:p>
          <w:p>
            <w:pPr>
              <w:pStyle w:val="null3"/>
            </w:pPr>
            <w:r>
              <w:rPr>
                <w:rFonts w:ascii="仿宋_GB2312" w:hAnsi="仿宋_GB2312" w:cs="仿宋_GB2312" w:eastAsia="仿宋_GB2312"/>
              </w:rPr>
              <w:t>3.1 开展工作动态及重点业务推进情况宣传</w:t>
            </w:r>
          </w:p>
          <w:p>
            <w:pPr>
              <w:pStyle w:val="null3"/>
            </w:pPr>
            <w:r>
              <w:rPr>
                <w:rFonts w:ascii="仿宋_GB2312" w:hAnsi="仿宋_GB2312" w:cs="仿宋_GB2312" w:eastAsia="仿宋_GB2312"/>
              </w:rPr>
              <w:t>（</w:t>
            </w:r>
            <w:r>
              <w:rPr>
                <w:rFonts w:ascii="仿宋_GB2312" w:hAnsi="仿宋_GB2312" w:cs="仿宋_GB2312" w:eastAsia="仿宋_GB2312"/>
              </w:rPr>
              <w:t>1）聚焦西安市医保重点工作，重点宣传参保扩面、待遇保障优化、药耗集采“三进”、基金监管强化、异地就医直接结算推进、智慧医保建设、经办服务提质等核心业务进展；</w:t>
            </w:r>
          </w:p>
          <w:p>
            <w:pPr>
              <w:pStyle w:val="null3"/>
            </w:pPr>
            <w:r>
              <w:rPr>
                <w:rFonts w:ascii="仿宋_GB2312" w:hAnsi="仿宋_GB2312" w:cs="仿宋_GB2312" w:eastAsia="仿宋_GB2312"/>
              </w:rPr>
              <w:t>（</w:t>
            </w:r>
            <w:r>
              <w:rPr>
                <w:rFonts w:ascii="仿宋_GB2312" w:hAnsi="仿宋_GB2312" w:cs="仿宋_GB2312" w:eastAsia="仿宋_GB2312"/>
              </w:rPr>
              <w:t>2）及时发布医保药品目录更新、定点机构名单调整、医保经办服务网点调整、线上服务功能升级等实用信息；</w:t>
            </w:r>
          </w:p>
          <w:p>
            <w:pPr>
              <w:pStyle w:val="null3"/>
            </w:pPr>
            <w:r>
              <w:rPr>
                <w:rFonts w:ascii="仿宋_GB2312" w:hAnsi="仿宋_GB2312" w:cs="仿宋_GB2312" w:eastAsia="仿宋_GB2312"/>
              </w:rPr>
              <w:t>（</w:t>
            </w:r>
            <w:r>
              <w:rPr>
                <w:rFonts w:ascii="仿宋_GB2312" w:hAnsi="仿宋_GB2312" w:cs="仿宋_GB2312" w:eastAsia="仿宋_GB2312"/>
              </w:rPr>
              <w:t>3）定期宣传医保工作中的先进典型、创新举措和工作亮点。</w:t>
            </w:r>
          </w:p>
          <w:p>
            <w:pPr>
              <w:pStyle w:val="null3"/>
            </w:pPr>
            <w:r>
              <w:rPr>
                <w:rFonts w:ascii="仿宋_GB2312" w:hAnsi="仿宋_GB2312" w:cs="仿宋_GB2312" w:eastAsia="仿宋_GB2312"/>
              </w:rPr>
              <w:t>3.2 开展政策法规及解读科普宣传</w:t>
            </w:r>
          </w:p>
          <w:p>
            <w:pPr>
              <w:pStyle w:val="null3"/>
            </w:pPr>
            <w:r>
              <w:rPr>
                <w:rFonts w:ascii="仿宋_GB2312" w:hAnsi="仿宋_GB2312" w:cs="仿宋_GB2312" w:eastAsia="仿宋_GB2312"/>
              </w:rPr>
              <w:t>（</w:t>
            </w:r>
            <w:r>
              <w:rPr>
                <w:rFonts w:ascii="仿宋_GB2312" w:hAnsi="仿宋_GB2312" w:cs="仿宋_GB2312" w:eastAsia="仿宋_GB2312"/>
              </w:rPr>
              <w:t>1）全面宣传医保领域相关法律法规、规章制度；</w:t>
            </w:r>
          </w:p>
          <w:p>
            <w:pPr>
              <w:pStyle w:val="null3"/>
            </w:pPr>
            <w:r>
              <w:rPr>
                <w:rFonts w:ascii="仿宋_GB2312" w:hAnsi="仿宋_GB2312" w:cs="仿宋_GB2312" w:eastAsia="仿宋_GB2312"/>
              </w:rPr>
              <w:t>（</w:t>
            </w:r>
            <w:r>
              <w:rPr>
                <w:rFonts w:ascii="仿宋_GB2312" w:hAnsi="仿宋_GB2312" w:cs="仿宋_GB2312" w:eastAsia="仿宋_GB2312"/>
              </w:rPr>
              <w:t>2）聚焦群众关切的核心政策，重点解读参保缴费、待遇保障、报销流程、异地就医、慢病管理、医保关系转移接续、医疗救助、医保电子凭证使用等政策要点；</w:t>
            </w:r>
          </w:p>
          <w:p>
            <w:pPr>
              <w:pStyle w:val="null3"/>
            </w:pPr>
            <w:r>
              <w:rPr>
                <w:rFonts w:ascii="仿宋_GB2312" w:hAnsi="仿宋_GB2312" w:cs="仿宋_GB2312" w:eastAsia="仿宋_GB2312"/>
              </w:rPr>
              <w:t>（</w:t>
            </w:r>
            <w:r>
              <w:rPr>
                <w:rFonts w:ascii="仿宋_GB2312" w:hAnsi="仿宋_GB2312" w:cs="仿宋_GB2312" w:eastAsia="仿宋_GB2312"/>
              </w:rPr>
              <w:t>3）利用漫画长图、图文海报、短视频等多种形式进行宣传科普。</w:t>
            </w:r>
          </w:p>
          <w:p>
            <w:pPr>
              <w:pStyle w:val="null3"/>
            </w:pPr>
            <w:r>
              <w:rPr>
                <w:rFonts w:ascii="仿宋_GB2312" w:hAnsi="仿宋_GB2312" w:cs="仿宋_GB2312" w:eastAsia="仿宋_GB2312"/>
              </w:rPr>
              <w:t>3.3 开展主题宣传及线上互动活动</w:t>
            </w:r>
          </w:p>
          <w:p>
            <w:pPr>
              <w:pStyle w:val="null3"/>
            </w:pPr>
            <w:r>
              <w:rPr>
                <w:rFonts w:ascii="仿宋_GB2312" w:hAnsi="仿宋_GB2312" w:cs="仿宋_GB2312" w:eastAsia="仿宋_GB2312"/>
              </w:rPr>
              <w:t>（</w:t>
            </w:r>
            <w:r>
              <w:rPr>
                <w:rFonts w:ascii="仿宋_GB2312" w:hAnsi="仿宋_GB2312" w:cs="仿宋_GB2312" w:eastAsia="仿宋_GB2312"/>
              </w:rPr>
              <w:t>1）围绕参保缴费期、基金监管宣传月、全国医保电子凭证推广月、医保政策调整期等重点时段，开展专项主题宣传活动；</w:t>
            </w:r>
          </w:p>
          <w:p>
            <w:pPr>
              <w:pStyle w:val="null3"/>
            </w:pPr>
            <w:r>
              <w:rPr>
                <w:rFonts w:ascii="仿宋_GB2312" w:hAnsi="仿宋_GB2312" w:cs="仿宋_GB2312" w:eastAsia="仿宋_GB2312"/>
              </w:rPr>
              <w:t>（</w:t>
            </w:r>
            <w:r>
              <w:rPr>
                <w:rFonts w:ascii="仿宋_GB2312" w:hAnsi="仿宋_GB2312" w:cs="仿宋_GB2312" w:eastAsia="仿宋_GB2312"/>
              </w:rPr>
              <w:t>2）针对学生群体、老年群体、农村居民、灵活就业人员、新就业形态劳动者等重点群体，定制个性化主题宣传内容；</w:t>
            </w:r>
          </w:p>
          <w:p>
            <w:pPr>
              <w:pStyle w:val="null3"/>
            </w:pPr>
            <w:r>
              <w:rPr>
                <w:rFonts w:ascii="仿宋_GB2312" w:hAnsi="仿宋_GB2312" w:cs="仿宋_GB2312" w:eastAsia="仿宋_GB2312"/>
              </w:rPr>
              <w:t>（</w:t>
            </w:r>
            <w:r>
              <w:rPr>
                <w:rFonts w:ascii="仿宋_GB2312" w:hAnsi="仿宋_GB2312" w:cs="仿宋_GB2312" w:eastAsia="仿宋_GB2312"/>
              </w:rPr>
              <w:t>3）同步开展重大政策出台意见征集、医保知识有奖问答等线上互动活动。</w:t>
            </w:r>
          </w:p>
          <w:p>
            <w:pPr>
              <w:pStyle w:val="null3"/>
            </w:pPr>
            <w:r>
              <w:rPr>
                <w:rFonts w:ascii="仿宋_GB2312" w:hAnsi="仿宋_GB2312" w:cs="仿宋_GB2312" w:eastAsia="仿宋_GB2312"/>
              </w:rPr>
              <w:t>3.4 开展应急宣传回应</w:t>
            </w:r>
          </w:p>
          <w:p>
            <w:pPr>
              <w:pStyle w:val="null3"/>
            </w:pPr>
            <w:r>
              <w:rPr>
                <w:rFonts w:ascii="仿宋_GB2312" w:hAnsi="仿宋_GB2312" w:cs="仿宋_GB2312" w:eastAsia="仿宋_GB2312"/>
              </w:rPr>
              <w:t>（</w:t>
            </w:r>
            <w:r>
              <w:rPr>
                <w:rFonts w:ascii="仿宋_GB2312" w:hAnsi="仿宋_GB2312" w:cs="仿宋_GB2312" w:eastAsia="仿宋_GB2312"/>
              </w:rPr>
              <w:t>1）对拟公开发布的政策文件、公示公告及重要政务信息，全面推行事前风险评估机制，信息发布前组织专项研判，精准排查潜在风险点、敏感点和争议点，科学预判社会关注度、群众关切度及可能引发的舆论走向，形成专项风险评估报告；</w:t>
            </w:r>
          </w:p>
          <w:p>
            <w:pPr>
              <w:pStyle w:val="null3"/>
            </w:pPr>
            <w:r>
              <w:rPr>
                <w:rFonts w:ascii="仿宋_GB2312" w:hAnsi="仿宋_GB2312" w:cs="仿宋_GB2312" w:eastAsia="仿宋_GB2312"/>
              </w:rPr>
              <w:t>（</w:t>
            </w:r>
            <w:r>
              <w:rPr>
                <w:rFonts w:ascii="仿宋_GB2312" w:hAnsi="仿宋_GB2312" w:cs="仿宋_GB2312" w:eastAsia="仿宋_GB2312"/>
              </w:rPr>
              <w:t>2）制定应急宣传预案，提前储备应急宣传内容，针对医保领域突发舆论事件、虚假信息传播、群众集中咨询的热点难点问题，第一时间通过官方线上平台发布权威信息；</w:t>
            </w:r>
          </w:p>
          <w:p>
            <w:pPr>
              <w:pStyle w:val="null3"/>
            </w:pPr>
            <w:r>
              <w:rPr>
                <w:rFonts w:ascii="仿宋_GB2312" w:hAnsi="仿宋_GB2312" w:cs="仿宋_GB2312" w:eastAsia="仿宋_GB2312"/>
              </w:rPr>
              <w:t>（</w:t>
            </w:r>
            <w:r>
              <w:rPr>
                <w:rFonts w:ascii="仿宋_GB2312" w:hAnsi="仿宋_GB2312" w:cs="仿宋_GB2312" w:eastAsia="仿宋_GB2312"/>
              </w:rPr>
              <w:t>3）通过智能平台、关键字检索等技术手段，全面监测互联网涉医保相关舆论信息，追踪动态变化，积极联合责任部门及责任人员及时处置，建立快速回应机制，及时解答群众医保相关咨询、核实处理投诉举报。</w:t>
            </w:r>
          </w:p>
          <w:p>
            <w:pPr>
              <w:pStyle w:val="null3"/>
            </w:pPr>
            <w:r>
              <w:rPr>
                <w:rFonts w:ascii="仿宋_GB2312" w:hAnsi="仿宋_GB2312" w:cs="仿宋_GB2312" w:eastAsia="仿宋_GB2312"/>
              </w:rPr>
              <w:t>四、项目要求</w:t>
            </w:r>
          </w:p>
          <w:p>
            <w:pPr>
              <w:pStyle w:val="null3"/>
            </w:pPr>
            <w:r>
              <w:rPr>
                <w:rFonts w:ascii="仿宋_GB2312" w:hAnsi="仿宋_GB2312" w:cs="仿宋_GB2312" w:eastAsia="仿宋_GB2312"/>
              </w:rPr>
              <w:t>4.1 工作动态及重点业务推进情况宣传要求</w:t>
            </w:r>
          </w:p>
          <w:p>
            <w:pPr>
              <w:pStyle w:val="null3"/>
            </w:pPr>
            <w:r>
              <w:rPr>
                <w:rFonts w:ascii="仿宋_GB2312" w:hAnsi="仿宋_GB2312" w:cs="仿宋_GB2312" w:eastAsia="仿宋_GB2312"/>
              </w:rPr>
              <w:t>（</w:t>
            </w:r>
            <w:r>
              <w:rPr>
                <w:rFonts w:ascii="仿宋_GB2312" w:hAnsi="仿宋_GB2312" w:cs="仿宋_GB2312" w:eastAsia="仿宋_GB2312"/>
              </w:rPr>
              <w:t>1）平台不少于4个；</w:t>
            </w:r>
          </w:p>
          <w:p>
            <w:pPr>
              <w:pStyle w:val="null3"/>
            </w:pPr>
            <w:r>
              <w:rPr>
                <w:rFonts w:ascii="仿宋_GB2312" w:hAnsi="仿宋_GB2312" w:cs="仿宋_GB2312" w:eastAsia="仿宋_GB2312"/>
              </w:rPr>
              <w:t>（</w:t>
            </w:r>
            <w:r>
              <w:rPr>
                <w:rFonts w:ascii="仿宋_GB2312" w:hAnsi="仿宋_GB2312" w:cs="仿宋_GB2312" w:eastAsia="仿宋_GB2312"/>
              </w:rPr>
              <w:t>2）编辑发布不少于800篇；</w:t>
            </w:r>
          </w:p>
          <w:p>
            <w:pPr>
              <w:pStyle w:val="null3"/>
            </w:pPr>
            <w:r>
              <w:rPr>
                <w:rFonts w:ascii="仿宋_GB2312" w:hAnsi="仿宋_GB2312" w:cs="仿宋_GB2312" w:eastAsia="仿宋_GB2312"/>
              </w:rPr>
              <w:t>（</w:t>
            </w:r>
            <w:r>
              <w:rPr>
                <w:rFonts w:ascii="仿宋_GB2312" w:hAnsi="仿宋_GB2312" w:cs="仿宋_GB2312" w:eastAsia="仿宋_GB2312"/>
              </w:rPr>
              <w:t>3）根据实际需求进行会议活动拍摄及素材后期处理。</w:t>
            </w:r>
          </w:p>
          <w:p>
            <w:pPr>
              <w:pStyle w:val="null3"/>
            </w:pPr>
            <w:r>
              <w:rPr>
                <w:rFonts w:ascii="仿宋_GB2312" w:hAnsi="仿宋_GB2312" w:cs="仿宋_GB2312" w:eastAsia="仿宋_GB2312"/>
              </w:rPr>
              <w:t>4.2 政策法规及解读科普宣传要求</w:t>
            </w:r>
          </w:p>
          <w:p>
            <w:pPr>
              <w:pStyle w:val="null3"/>
            </w:pPr>
            <w:r>
              <w:rPr>
                <w:rFonts w:ascii="仿宋_GB2312" w:hAnsi="仿宋_GB2312" w:cs="仿宋_GB2312" w:eastAsia="仿宋_GB2312"/>
              </w:rPr>
              <w:t>（</w:t>
            </w:r>
            <w:r>
              <w:rPr>
                <w:rFonts w:ascii="仿宋_GB2312" w:hAnsi="仿宋_GB2312" w:cs="仿宋_GB2312" w:eastAsia="仿宋_GB2312"/>
              </w:rPr>
              <w:t>1）制作发布图文不少于500条；</w:t>
            </w:r>
          </w:p>
          <w:p>
            <w:pPr>
              <w:pStyle w:val="null3"/>
            </w:pPr>
            <w:r>
              <w:rPr>
                <w:rFonts w:ascii="仿宋_GB2312" w:hAnsi="仿宋_GB2312" w:cs="仿宋_GB2312" w:eastAsia="仿宋_GB2312"/>
              </w:rPr>
              <w:t>（</w:t>
            </w:r>
            <w:r>
              <w:rPr>
                <w:rFonts w:ascii="仿宋_GB2312" w:hAnsi="仿宋_GB2312" w:cs="仿宋_GB2312" w:eastAsia="仿宋_GB2312"/>
              </w:rPr>
              <w:t>2）根据实际需求制作长图、海报、短视频等素材。</w:t>
            </w:r>
          </w:p>
          <w:p>
            <w:pPr>
              <w:pStyle w:val="null3"/>
            </w:pPr>
            <w:r>
              <w:rPr>
                <w:rFonts w:ascii="仿宋_GB2312" w:hAnsi="仿宋_GB2312" w:cs="仿宋_GB2312" w:eastAsia="仿宋_GB2312"/>
              </w:rPr>
              <w:t>4.3 主题宣传及线上互动活动要求</w:t>
            </w:r>
          </w:p>
          <w:p>
            <w:pPr>
              <w:pStyle w:val="null3"/>
            </w:pPr>
            <w:r>
              <w:rPr>
                <w:rFonts w:ascii="仿宋_GB2312" w:hAnsi="仿宋_GB2312" w:cs="仿宋_GB2312" w:eastAsia="仿宋_GB2312"/>
              </w:rPr>
              <w:t>（</w:t>
            </w:r>
            <w:r>
              <w:rPr>
                <w:rFonts w:ascii="仿宋_GB2312" w:hAnsi="仿宋_GB2312" w:cs="仿宋_GB2312" w:eastAsia="仿宋_GB2312"/>
              </w:rPr>
              <w:t>1）主题宣传不少于20次；</w:t>
            </w:r>
          </w:p>
          <w:p>
            <w:pPr>
              <w:pStyle w:val="null3"/>
            </w:pPr>
            <w:r>
              <w:rPr>
                <w:rFonts w:ascii="仿宋_GB2312" w:hAnsi="仿宋_GB2312" w:cs="仿宋_GB2312" w:eastAsia="仿宋_GB2312"/>
              </w:rPr>
              <w:t>（</w:t>
            </w:r>
            <w:r>
              <w:rPr>
                <w:rFonts w:ascii="仿宋_GB2312" w:hAnsi="仿宋_GB2312" w:cs="仿宋_GB2312" w:eastAsia="仿宋_GB2312"/>
              </w:rPr>
              <w:t>2）线上互动活动不少于10次。</w:t>
            </w:r>
          </w:p>
          <w:p>
            <w:pPr>
              <w:pStyle w:val="null3"/>
            </w:pPr>
            <w:r>
              <w:rPr>
                <w:rFonts w:ascii="仿宋_GB2312" w:hAnsi="仿宋_GB2312" w:cs="仿宋_GB2312" w:eastAsia="仿宋_GB2312"/>
              </w:rPr>
              <w:t>4.4 应急宣传回应要求</w:t>
            </w:r>
          </w:p>
          <w:p>
            <w:pPr>
              <w:pStyle w:val="null3"/>
            </w:pPr>
            <w:r>
              <w:rPr>
                <w:rFonts w:ascii="仿宋_GB2312" w:hAnsi="仿宋_GB2312" w:cs="仿宋_GB2312" w:eastAsia="仿宋_GB2312"/>
              </w:rPr>
              <w:t>（</w:t>
            </w:r>
            <w:r>
              <w:rPr>
                <w:rFonts w:ascii="仿宋_GB2312" w:hAnsi="仿宋_GB2312" w:cs="仿宋_GB2312" w:eastAsia="仿宋_GB2312"/>
              </w:rPr>
              <w:t>1）技术平台不少于1个；</w:t>
            </w:r>
          </w:p>
          <w:p>
            <w:pPr>
              <w:pStyle w:val="null3"/>
            </w:pPr>
            <w:r>
              <w:rPr>
                <w:rFonts w:ascii="仿宋_GB2312" w:hAnsi="仿宋_GB2312" w:cs="仿宋_GB2312" w:eastAsia="仿宋_GB2312"/>
              </w:rPr>
              <w:t>（</w:t>
            </w:r>
            <w:r>
              <w:rPr>
                <w:rFonts w:ascii="仿宋_GB2312" w:hAnsi="仿宋_GB2312" w:cs="仿宋_GB2312" w:eastAsia="仿宋_GB2312"/>
              </w:rPr>
              <w:t>2）按时出具日常报告、月度报告等；</w:t>
            </w:r>
          </w:p>
          <w:p>
            <w:pPr>
              <w:pStyle w:val="null3"/>
            </w:pPr>
            <w:r>
              <w:rPr>
                <w:rFonts w:ascii="仿宋_GB2312" w:hAnsi="仿宋_GB2312" w:cs="仿宋_GB2312" w:eastAsia="仿宋_GB2312"/>
              </w:rPr>
              <w:t>（</w:t>
            </w:r>
            <w:r>
              <w:rPr>
                <w:rFonts w:ascii="仿宋_GB2312" w:hAnsi="仿宋_GB2312" w:cs="仿宋_GB2312" w:eastAsia="仿宋_GB2312"/>
              </w:rPr>
              <w:t>3）根据实际需求出具风险评估报告、要点简报等。</w:t>
            </w:r>
          </w:p>
          <w:p>
            <w:pPr>
              <w:pStyle w:val="null3"/>
            </w:pPr>
            <w:r>
              <w:rPr>
                <w:rFonts w:ascii="仿宋_GB2312" w:hAnsi="仿宋_GB2312" w:cs="仿宋_GB2312" w:eastAsia="仿宋_GB2312"/>
              </w:rPr>
              <w:t>五、采购要求</w:t>
            </w:r>
          </w:p>
          <w:p>
            <w:pPr>
              <w:pStyle w:val="null3"/>
            </w:pPr>
            <w:r>
              <w:rPr>
                <w:rFonts w:ascii="仿宋_GB2312" w:hAnsi="仿宋_GB2312" w:cs="仿宋_GB2312" w:eastAsia="仿宋_GB2312"/>
              </w:rPr>
              <w:t>1.项目名称：2026-2027年度医保线上宣传项目；</w:t>
            </w:r>
          </w:p>
          <w:p>
            <w:pPr>
              <w:pStyle w:val="null3"/>
            </w:pPr>
            <w:r>
              <w:rPr>
                <w:rFonts w:ascii="仿宋_GB2312" w:hAnsi="仿宋_GB2312" w:cs="仿宋_GB2312" w:eastAsia="仿宋_GB2312"/>
              </w:rPr>
              <w:t>2.项目经费：80万元。</w:t>
            </w:r>
          </w:p>
          <w:p>
            <w:pPr>
              <w:pStyle w:val="null3"/>
            </w:pPr>
            <w:r>
              <w:rPr>
                <w:rFonts w:ascii="仿宋_GB2312" w:hAnsi="仿宋_GB2312" w:cs="仿宋_GB2312" w:eastAsia="仿宋_GB2312"/>
              </w:rPr>
              <w:t>六、商务要求</w:t>
            </w:r>
          </w:p>
          <w:p>
            <w:pPr>
              <w:pStyle w:val="null3"/>
            </w:pPr>
            <w:r>
              <w:rPr>
                <w:rFonts w:ascii="仿宋_GB2312" w:hAnsi="仿宋_GB2312" w:cs="仿宋_GB2312" w:eastAsia="仿宋_GB2312"/>
              </w:rPr>
              <w:t>1.服务期限要求</w:t>
            </w:r>
          </w:p>
          <w:p>
            <w:pPr>
              <w:pStyle w:val="null3"/>
            </w:pPr>
            <w:r>
              <w:rPr>
                <w:rFonts w:ascii="仿宋_GB2312" w:hAnsi="仿宋_GB2312" w:cs="仿宋_GB2312" w:eastAsia="仿宋_GB2312"/>
              </w:rPr>
              <w:t>服务期限：自合同签订后生效之日起至合同届满一年。</w:t>
            </w:r>
          </w:p>
          <w:p>
            <w:pPr>
              <w:pStyle w:val="null3"/>
            </w:pPr>
            <w:r>
              <w:rPr>
                <w:rFonts w:ascii="仿宋_GB2312" w:hAnsi="仿宋_GB2312" w:cs="仿宋_GB2312" w:eastAsia="仿宋_GB2312"/>
              </w:rPr>
              <w:t>2.技术资质要求</w:t>
            </w:r>
          </w:p>
          <w:p>
            <w:pPr>
              <w:pStyle w:val="null3"/>
            </w:pPr>
            <w:r>
              <w:rPr>
                <w:rFonts w:ascii="仿宋_GB2312" w:hAnsi="仿宋_GB2312" w:cs="仿宋_GB2312" w:eastAsia="仿宋_GB2312"/>
              </w:rPr>
              <w:t>（</w:t>
            </w:r>
            <w:r>
              <w:rPr>
                <w:rFonts w:ascii="仿宋_GB2312" w:hAnsi="仿宋_GB2312" w:cs="仿宋_GB2312" w:eastAsia="仿宋_GB2312"/>
              </w:rPr>
              <w:t>1）应标供应商</w:t>
            </w:r>
            <w:r>
              <w:rPr>
                <w:rFonts w:ascii="仿宋_GB2312" w:hAnsi="仿宋_GB2312" w:cs="仿宋_GB2312" w:eastAsia="仿宋_GB2312"/>
              </w:rPr>
              <w:t>专业从事线上宣传推广工作，有一定宣传功底，拥有优势的线上宣传平台；</w:t>
            </w:r>
          </w:p>
          <w:p>
            <w:pPr>
              <w:pStyle w:val="null3"/>
            </w:pPr>
            <w:r>
              <w:rPr>
                <w:rFonts w:ascii="仿宋_GB2312" w:hAnsi="仿宋_GB2312" w:cs="仿宋_GB2312" w:eastAsia="仿宋_GB2312"/>
              </w:rPr>
              <w:t>3.人员配备要求</w:t>
            </w:r>
          </w:p>
          <w:p>
            <w:pPr>
              <w:pStyle w:val="null3"/>
            </w:pPr>
            <w:r>
              <w:rPr>
                <w:rFonts w:ascii="仿宋_GB2312" w:hAnsi="仿宋_GB2312" w:cs="仿宋_GB2312" w:eastAsia="仿宋_GB2312"/>
              </w:rPr>
              <w:t>（</w:t>
            </w:r>
            <w:r>
              <w:rPr>
                <w:rFonts w:ascii="仿宋_GB2312" w:hAnsi="仿宋_GB2312" w:cs="仿宋_GB2312" w:eastAsia="仿宋_GB2312"/>
              </w:rPr>
              <w:t>1）项目服务人员应具备2年以上新媒体相关服务经验，熟悉政务及党建内容；</w:t>
            </w:r>
          </w:p>
          <w:p>
            <w:pPr>
              <w:pStyle w:val="null3"/>
            </w:pPr>
            <w:r>
              <w:rPr>
                <w:rFonts w:ascii="仿宋_GB2312" w:hAnsi="仿宋_GB2312" w:cs="仿宋_GB2312" w:eastAsia="仿宋_GB2312"/>
              </w:rPr>
              <w:t>（</w:t>
            </w:r>
            <w:r>
              <w:rPr>
                <w:rFonts w:ascii="仿宋_GB2312" w:hAnsi="仿宋_GB2312" w:cs="仿宋_GB2312" w:eastAsia="仿宋_GB2312"/>
              </w:rPr>
              <w:t>2）服务团队总人数不少于5人，满足驻场3名支撑服务人员需求，其中包含宣传对接1人、内容编辑1人、技术监测1人；同时满足外围支撑服务人员共2名，其中包含项目经理1人、后勤保障1人；</w:t>
            </w:r>
          </w:p>
          <w:p>
            <w:pPr>
              <w:pStyle w:val="null3"/>
            </w:pPr>
            <w:r>
              <w:rPr>
                <w:rFonts w:ascii="仿宋_GB2312" w:hAnsi="仿宋_GB2312" w:cs="仿宋_GB2312" w:eastAsia="仿宋_GB2312"/>
              </w:rPr>
              <w:t>（</w:t>
            </w:r>
            <w:r>
              <w:rPr>
                <w:rFonts w:ascii="仿宋_GB2312" w:hAnsi="仿宋_GB2312" w:cs="仿宋_GB2312" w:eastAsia="仿宋_GB2312"/>
              </w:rPr>
              <w:t>3）项目服务期间，需保持项目团队成员不变，如需变更，需经采购方同意。</w:t>
            </w:r>
          </w:p>
          <w:p>
            <w:pPr>
              <w:pStyle w:val="null3"/>
            </w:pPr>
            <w:r>
              <w:rPr>
                <w:rFonts w:ascii="仿宋_GB2312" w:hAnsi="仿宋_GB2312" w:cs="仿宋_GB2312" w:eastAsia="仿宋_GB2312"/>
              </w:rPr>
              <w:t>4.服务售后及培训要求</w:t>
            </w:r>
          </w:p>
          <w:p>
            <w:pPr>
              <w:pStyle w:val="null3"/>
            </w:pPr>
            <w:r>
              <w:rPr>
                <w:rFonts w:ascii="仿宋_GB2312" w:hAnsi="仿宋_GB2312" w:cs="仿宋_GB2312" w:eastAsia="仿宋_GB2312"/>
              </w:rPr>
              <w:t>在服务期限内，根据国家或行业标准对服务项目提供完整的售后及质保服务，所有服务按照要求完成，并对后续项目素材在项目完成后一并交采购方存档保留。</w:t>
            </w:r>
          </w:p>
          <w:p>
            <w:pPr>
              <w:pStyle w:val="null3"/>
            </w:pPr>
            <w:r>
              <w:rPr>
                <w:rFonts w:ascii="仿宋_GB2312" w:hAnsi="仿宋_GB2312" w:cs="仿宋_GB2312" w:eastAsia="仿宋_GB2312"/>
              </w:rPr>
              <w:t>5.验收条件及流程</w:t>
            </w:r>
          </w:p>
          <w:p>
            <w:pPr>
              <w:pStyle w:val="null3"/>
            </w:pPr>
            <w:r>
              <w:rPr>
                <w:rFonts w:ascii="仿宋_GB2312" w:hAnsi="仿宋_GB2312" w:cs="仿宋_GB2312" w:eastAsia="仿宋_GB2312"/>
              </w:rPr>
              <w:t>（</w:t>
            </w:r>
            <w:r>
              <w:rPr>
                <w:rFonts w:ascii="仿宋_GB2312" w:hAnsi="仿宋_GB2312" w:cs="仿宋_GB2312" w:eastAsia="仿宋_GB2312"/>
              </w:rPr>
              <w:t>1）验收标准：本项目的成果文件须符合采购方的采购需求，且达到国家、省相关行业编制规范标准要求；</w:t>
            </w:r>
          </w:p>
          <w:p>
            <w:pPr>
              <w:pStyle w:val="null3"/>
            </w:pPr>
            <w:r>
              <w:rPr>
                <w:rFonts w:ascii="仿宋_GB2312" w:hAnsi="仿宋_GB2312" w:cs="仿宋_GB2312" w:eastAsia="仿宋_GB2312"/>
              </w:rPr>
              <w:t>（</w:t>
            </w:r>
            <w:r>
              <w:rPr>
                <w:rFonts w:ascii="仿宋_GB2312" w:hAnsi="仿宋_GB2312" w:cs="仿宋_GB2312" w:eastAsia="仿宋_GB2312"/>
              </w:rPr>
              <w:t>2）验收流程及方式：服务到期后，由西安市医疗保障局对该项目进行验收，验收合格后，出具“验收合格报告”及“验收单”，经采购人确认后付款；</w:t>
            </w:r>
          </w:p>
          <w:p>
            <w:pPr>
              <w:pStyle w:val="null3"/>
            </w:pPr>
            <w:r>
              <w:rPr>
                <w:rFonts w:ascii="仿宋_GB2312" w:hAnsi="仿宋_GB2312" w:cs="仿宋_GB2312" w:eastAsia="仿宋_GB2312"/>
              </w:rPr>
              <w:t>（</w:t>
            </w:r>
            <w:r>
              <w:rPr>
                <w:rFonts w:ascii="仿宋_GB2312" w:hAnsi="仿宋_GB2312" w:cs="仿宋_GB2312" w:eastAsia="仿宋_GB2312"/>
              </w:rPr>
              <w:t>5）中标人在提供服务过程中如存在违反合同相关约定情况的，采购方有权要求中标人立即整改，中标人未按采购方要求整改的，采购方有权拒绝验收，并可中止合同履行，中标人承担因此发生的一切损失、费用及延误责任；</w:t>
            </w:r>
          </w:p>
          <w:p>
            <w:pPr>
              <w:pStyle w:val="null3"/>
            </w:pPr>
            <w:r>
              <w:rPr>
                <w:rFonts w:ascii="仿宋_GB2312" w:hAnsi="仿宋_GB2312" w:cs="仿宋_GB2312" w:eastAsia="仿宋_GB2312"/>
              </w:rPr>
              <w:t>（</w:t>
            </w:r>
            <w:r>
              <w:rPr>
                <w:rFonts w:ascii="仿宋_GB2312" w:hAnsi="仿宋_GB2312" w:cs="仿宋_GB2312" w:eastAsia="仿宋_GB2312"/>
              </w:rPr>
              <w:t>6）验收时需提供的文档包括但不仅限于：项目投标文件、项目合同、项目总结报告等相关材料。</w:t>
            </w:r>
          </w:p>
          <w:p>
            <w:pPr>
              <w:pStyle w:val="null3"/>
            </w:pPr>
            <w:r>
              <w:rPr>
                <w:rFonts w:ascii="仿宋_GB2312" w:hAnsi="仿宋_GB2312" w:cs="仿宋_GB2312" w:eastAsia="仿宋_GB2312"/>
              </w:rPr>
              <w:t>6.付款方式</w:t>
            </w:r>
          </w:p>
          <w:p>
            <w:pPr>
              <w:pStyle w:val="null3"/>
            </w:pPr>
            <w:r>
              <w:rPr>
                <w:rFonts w:ascii="仿宋_GB2312" w:hAnsi="仿宋_GB2312" w:cs="仿宋_GB2312" w:eastAsia="仿宋_GB2312"/>
              </w:rPr>
              <w:t>自合同签订后</w:t>
            </w:r>
            <w:r>
              <w:rPr>
                <w:rFonts w:ascii="仿宋_GB2312" w:hAnsi="仿宋_GB2312" w:cs="仿宋_GB2312" w:eastAsia="仿宋_GB2312"/>
              </w:rPr>
              <w:t>15个工作日内，支付合同总额的50%；项目服务结束并经书面验收合格后15个工作日内，支付合同总额的50%。</w:t>
            </w:r>
          </w:p>
          <w:p>
            <w:pPr>
              <w:pStyle w:val="null3"/>
            </w:pPr>
            <w:r>
              <w:rPr>
                <w:rFonts w:ascii="仿宋_GB2312" w:hAnsi="仿宋_GB2312" w:cs="仿宋_GB2312" w:eastAsia="仿宋_GB2312"/>
              </w:rPr>
              <w:t>7.违约责任</w:t>
            </w:r>
          </w:p>
          <w:p>
            <w:pPr>
              <w:pStyle w:val="null3"/>
            </w:pPr>
            <w:r>
              <w:rPr>
                <w:rFonts w:ascii="仿宋_GB2312" w:hAnsi="仿宋_GB2312" w:cs="仿宋_GB2312" w:eastAsia="仿宋_GB2312"/>
              </w:rPr>
              <w:t>按《民法典》相关规定执行。</w:t>
            </w:r>
          </w:p>
          <w:p>
            <w:pPr>
              <w:pStyle w:val="null3"/>
            </w:pPr>
            <w:r>
              <w:rPr>
                <w:rFonts w:ascii="仿宋_GB2312" w:hAnsi="仿宋_GB2312" w:cs="仿宋_GB2312" w:eastAsia="仿宋_GB2312"/>
              </w:rPr>
              <w:t>七、其他</w:t>
            </w:r>
          </w:p>
          <w:p>
            <w:pPr>
              <w:pStyle w:val="null3"/>
            </w:pPr>
            <w:r>
              <w:rPr>
                <w:rFonts w:ascii="仿宋_GB2312" w:hAnsi="仿宋_GB2312" w:cs="仿宋_GB2312" w:eastAsia="仿宋_GB2312"/>
              </w:rPr>
              <w:t>投标人或中标人应对招标、实施、运行、维护等过程中数据和信息安全负保密责任，并在运维工作中采取保密措施，因此造成的不良影响和损失，应承担相应责任。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自合同签订后生效之日起至合同届满一年。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西安市医疗保障局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达到合同约定服务要求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进度款，自合同签订后15个工作日内，支付合同总额的50%，达到付款条件起15个工作日内，支付合同总金额的50.0%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项目服务结束并经书面验收合格后15个工作日内，支付合同总额的50%，达到付款条件起15个工作日内，支付合同总金额的50.0%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1、根据采购人档案管理要求，供应商需要在线提交所有通过电子化交易平台实施的政府采购项目的投标文件，同时，线下提交投标文件正本 壹 份、副本 壹 套。若系统电子投标文件与纸质投标文件不一致的，以系统电子投标文件为准。 2、定标环节采购人有权对响应文件承诺响应的内容进行复核，如有虚假响应，一经发现，取消成交资格并上报财政主管部门，列入政府采购黑名单。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4.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wangxin@sxzjtc.com（邮件命名：项目编号）。保函必须由具有开具投标保函资格的单位开具；若供应商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资格响应表.docx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法定代表人直接参加磋商的，须提供法定代表人身份证，并与营业执照上信息一致。被授权代表参加投标的，须提供法定代表人授权书;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项下的采购活动。对列入失信被执行人、政府采购严重违法失信行为记录名单的供应商，拒绝参与本项目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自合同签订后生效之日起至合同届满一年。</w:t>
            </w:r>
          </w:p>
        </w:tc>
        <w:tc>
          <w:tcPr>
            <w:tcW w:type="dxa" w:w="1661"/>
          </w:tcPr>
          <w:p>
            <w:pPr>
              <w:pStyle w:val="null3"/>
            </w:pPr>
            <w:r>
              <w:rPr>
                <w:rFonts w:ascii="仿宋_GB2312" w:hAnsi="仿宋_GB2312" w:cs="仿宋_GB2312" w:eastAsia="仿宋_GB2312"/>
              </w:rPr>
              <w:t>响应文件封面 商务及技术偏离表.docx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自合同签订后15个工作日内，支付合同总额的50%；项目服务结束并经书面验收合格后15个工作日内，支付合同总额的50%。</w:t>
            </w:r>
          </w:p>
        </w:tc>
        <w:tc>
          <w:tcPr>
            <w:tcW w:type="dxa" w:w="1661"/>
          </w:tcPr>
          <w:p>
            <w:pPr>
              <w:pStyle w:val="null3"/>
            </w:pPr>
            <w:r>
              <w:rPr>
                <w:rFonts w:ascii="仿宋_GB2312" w:hAnsi="仿宋_GB2312" w:cs="仿宋_GB2312" w:eastAsia="仿宋_GB2312"/>
              </w:rPr>
              <w:t>商务及技术偏离表.docx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商务及技术偏离表.docx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商务及技术偏离表.docx 报价表及分项报价表.docx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整体需求理解</w:t>
            </w:r>
          </w:p>
        </w:tc>
        <w:tc>
          <w:tcPr>
            <w:tcW w:type="dxa" w:w="2492"/>
          </w:tcPr>
          <w:p>
            <w:pPr>
              <w:pStyle w:val="null3"/>
            </w:pPr>
            <w:r>
              <w:rPr>
                <w:rFonts w:ascii="仿宋_GB2312" w:hAnsi="仿宋_GB2312" w:cs="仿宋_GB2312" w:eastAsia="仿宋_GB2312"/>
              </w:rPr>
              <w:t>提供对本项目的整体需求理解，包含：1、工作动态及重点业务宣传；2、政策法规及解读科普宣传；3、主题宣传及线上互动活动措施；4、应急宣传方案等。 对项目的需求理解内容详实、可行性强，服务定位、难点分析完善，能有效保障本项目实施，每有一项缺项扣3分，每有一处内容存在缺陷，扣0.5分。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具体内容要求</w:t>
            </w:r>
          </w:p>
        </w:tc>
        <w:tc>
          <w:tcPr>
            <w:tcW w:type="dxa" w:w="2492"/>
          </w:tcPr>
          <w:p>
            <w:pPr>
              <w:pStyle w:val="null3"/>
            </w:pPr>
            <w:r>
              <w:rPr>
                <w:rFonts w:ascii="仿宋_GB2312" w:hAnsi="仿宋_GB2312" w:cs="仿宋_GB2312" w:eastAsia="仿宋_GB2312"/>
              </w:rPr>
              <w:t>提供针对本项目的具体内容响应，包含：1、不同运营方式提供更新稿件的质量、数量、创新性；2、运营维护；3、页面及栏目优化设计；4、专题策划与制作等。 对项目的具体内容要求详实、可行性强，服务定位、难点分析完善，能有效保障本项目实施，每有一项缺项扣3分，每有一处内容存在缺陷，扣0.5分。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提供针对本项目的保密方案，方案包含：1、保密管理制度；2、对数据和信息安全保密措施；3、其他保密措施等。 切合项目具体情况，提出责任明确，服务定位，能有效保障本项目实施，每有一项缺项扣2分，每有一处内容存在缺陷，扣0.5分。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驻场服务</w:t>
            </w:r>
          </w:p>
        </w:tc>
        <w:tc>
          <w:tcPr>
            <w:tcW w:type="dxa" w:w="2492"/>
          </w:tcPr>
          <w:p>
            <w:pPr>
              <w:pStyle w:val="null3"/>
            </w:pPr>
            <w:r>
              <w:rPr>
                <w:rFonts w:ascii="仿宋_GB2312" w:hAnsi="仿宋_GB2312" w:cs="仿宋_GB2312" w:eastAsia="仿宋_GB2312"/>
              </w:rPr>
              <w:t>提供详细可行的驻场服务方案。至少包含：1、驻场人员配备情况表及人员证书；2、驻场服务方案等。 方案各项内容全面详细、阐述条理清晰、配置合理，能有效保障本项目实施，每有一项缺项扣3分，每有一处内容存在缺陷，扣0.5分。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提供针对本项目的重难点分析，包括：1、针对采购人所在的行业特色、受众特点、时代热点提出重难点分析；2、化解舆论风险方案；3、网络舆论监控方案等。 对项目的需求理解内容详实、可行性强，服务定位、难点分析完善，能全面提升热线运营能力，有效保障本项目实施，每有一项缺项扣3分，每有一处内容存在缺陷，扣0.5分。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提供针对本项目不同阶段工作的进度要求，提供进度计划，计划包含：1、时间节点控制；2、资源配置计划等。 切合项目具体情况，能有效保障本项目实施，每有一项缺项扣3分，每有一处内容存在缺陷，扣0.5分。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提供专业服务团队人员的职能分工等方案，方案包含：1、岗位职责，具有岗位工作标准；2、服务质量标准、现场质量控制体系；3、人员管理制度：具有员工日常管理办法、请销假制度、奖惩措施等。 4、项目负责人的工作经验及服务保障措施，切合项目具体情况，提出责任明确，服务定位，能有效保障本项目实施，每有一项缺项扣3分，每有一处内容存在缺陷，扣0.5分。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提供针对本项目提供售后服务方案，内容包含：1.响应方式及响应时间；2.故障服务管理、问题管理方案；3.在项目实施所在地具有相应的技术支持及售后服务能力等。 方案内容全面详细、阐述条理清晰、配置合理，能有效保障本项目实施，每有一项缺项扣2分，每有一处内容存在缺陷，扣0.5分。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应急管理</w:t>
            </w:r>
          </w:p>
        </w:tc>
        <w:tc>
          <w:tcPr>
            <w:tcW w:type="dxa" w:w="2492"/>
          </w:tcPr>
          <w:p>
            <w:pPr>
              <w:pStyle w:val="null3"/>
            </w:pPr>
            <w:r>
              <w:rPr>
                <w:rFonts w:ascii="仿宋_GB2312" w:hAnsi="仿宋_GB2312" w:cs="仿宋_GB2312" w:eastAsia="仿宋_GB2312"/>
              </w:rPr>
              <w:t>提供针对本项目的应急方案。方案包含：1、发布稿件数量激增；2、采购人有紧急事件应急措施等内容。 切合项目具体情况，能有效保障本项目实施，每有一项缺项扣3分，每有一处内容存在缺陷，扣0.5分。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供应商提供针对本项目的增值服务。 1、内容切实可行、阐述条理清晰得5分； 2、提供相关方案但未贴合项目实际情况进行论述，或内容中未包括具体实施细节及措施，得3分； 3、内容有多数缺陷、表述前后不一致、套用其他项目方案或与项目需求匹配性差得1分；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提供2022年1月1日以来同类项目合同，每提供一个得2分，满分10分。 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满足磋商文件要求且投标价格最低的报价为评标基准价，其价格分为满分。其他供应商的价格分统一按照下列公式计算：投标报价得分=（评标基准价/最后报价）×10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