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版本号：ZY2026-ZB-CS1055.1B120260507001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2026年教职工及新生入学体检项目(二次)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ZY2026-ZB-CS1055.1B1</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2026年教职工及新生入学体检项目(二次)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ZY2026-ZB-CS1055.1B1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2026年教职工及新生入学体检项目(二次)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2026年教职工及新生入学体检项目(二次)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7、具有履行本合同所必需的设备和专业技术能力：提供具备履行合同所必须的设备和专业技术能力的书面声明；</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8、授权委托书：法定代表人授权委托书、被授权人身份证（法定代表人参加磋商时,只需提供法定代表人身份证），被授权人参加磋商时，须提供磋商前三个月内任意一个月的社保缴纳证明；</w:t>
      </w:r>
    </w:p>
    <w:p>
      <w:pPr>
        <w:pStyle w:val="null3"/>
      </w:pPr>
      <w:r>
        <w:rPr>
          <w:rFonts w:ascii="仿宋_GB2312" w:hAnsi="仿宋_GB2312" w:cs="仿宋_GB2312" w:eastAsia="仿宋_GB2312"/>
        </w:rPr>
        <w:t>9、资质证书：供应商须具备卫生行政部门颁发的《医疗机构执业许可证》(诊疗科目中有开展健康体检服务的科目）、《放射诊疗许可证》。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代理服务费收费标准：定额收取人民币壹万元整（¥10000.00）。 招标代理服务费缴纳账户：开户名称：陕西正翼项目管理咨询有限公司西安分公司开户银行：中国光大银行股份有限公司西安经济技术开发区支行 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西安市卫生学校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联系人：冯丹、卫现</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2026年教职工及新生入学体检项目(二次)，本项目采购预算为280000.00元/年。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教职工体检及新生入学体检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标的名称：教职工体检及新生入学体检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体检时间：</w:t>
            </w:r>
          </w:p>
          <w:p>
            <w:pPr>
              <w:pStyle w:val="null3"/>
            </w:pPr>
            <w:r>
              <w:rPr>
                <w:rFonts w:ascii="仿宋_GB2312" w:hAnsi="仿宋_GB2312" w:cs="仿宋_GB2312" w:eastAsia="仿宋_GB2312"/>
              </w:rPr>
              <w:t xml:space="preserve">  2026年5-6月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体检人员年龄分布：</w:t>
            </w:r>
          </w:p>
          <w:p>
            <w:pPr>
              <w:pStyle w:val="null3"/>
            </w:pPr>
            <w:r>
              <w:rPr>
                <w:rFonts w:ascii="仿宋_GB2312" w:hAnsi="仿宋_GB2312" w:cs="仿宋_GB2312" w:eastAsia="仿宋_GB2312"/>
              </w:rPr>
              <w:t xml:space="preserve">  总计294人，其中：离退休职工人数为156人（男63人，女93人）；在职职工138人（40岁及以上女性68人，40岁以下已婚女性33人、未婚女性11人，40岁及以上男性19人，40岁以下男性7人）。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b/>
              </w:rPr>
              <w:t>体检服务机构资格要求：</w:t>
            </w:r>
          </w:p>
          <w:p>
            <w:pPr>
              <w:pStyle w:val="null3"/>
            </w:pPr>
            <w:r>
              <w:rPr>
                <w:rFonts w:ascii="仿宋_GB2312" w:hAnsi="仿宋_GB2312" w:cs="仿宋_GB2312" w:eastAsia="仿宋_GB2312"/>
              </w:rPr>
              <w:t xml:space="preserve">   1、规模较大、设施完备，并有专用体检中心，具备体检执业许可证的机构；体检的医、护、技术人员应具有合法行医资质，具有丰富的临床经验。出具健康分析报告，提供体检后现场健康咨询，求医绿色通道等。</w:t>
            </w:r>
          </w:p>
          <w:p>
            <w:pPr>
              <w:pStyle w:val="null3"/>
            </w:pPr>
            <w:r>
              <w:rPr>
                <w:rFonts w:ascii="仿宋_GB2312" w:hAnsi="仿宋_GB2312" w:cs="仿宋_GB2312" w:eastAsia="仿宋_GB2312"/>
              </w:rPr>
              <w:t xml:space="preserve">   2、交通便利，日接待体检人数达到200—300人。</w:t>
            </w:r>
          </w:p>
          <w:p>
            <w:pPr>
              <w:pStyle w:val="null3"/>
            </w:pPr>
            <w:r>
              <w:rPr>
                <w:rFonts w:ascii="仿宋_GB2312" w:hAnsi="仿宋_GB2312" w:cs="仿宋_GB2312" w:eastAsia="仿宋_GB2312"/>
              </w:rPr>
              <w:t xml:space="preserve">   3、体检项目中标机构应同时承担新生入学体检（含心理测评）。体检机构能提供上门（校内）为学生体检的人力物力条件（包括拍胸片）。</w:t>
            </w:r>
          </w:p>
          <w:p>
            <w:pPr>
              <w:pStyle w:val="null3"/>
            </w:pPr>
            <w:r>
              <w:rPr>
                <w:rFonts w:ascii="仿宋_GB2312" w:hAnsi="仿宋_GB2312" w:cs="仿宋_GB2312" w:eastAsia="仿宋_GB2312"/>
              </w:rPr>
              <w:t xml:space="preserve">   4、投标人在以往类似项目中没有负面记录、不良社会报道及法律纠纷。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w:t>
            </w:r>
            <w:r>
              <w:rPr>
                <w:rFonts w:ascii="仿宋_GB2312" w:hAnsi="仿宋_GB2312" w:cs="仿宋_GB2312" w:eastAsia="仿宋_GB2312"/>
                <w:b/>
              </w:rPr>
              <w:t>、体检预算：</w:t>
            </w:r>
          </w:p>
          <w:p>
            <w:pPr>
              <w:pStyle w:val="null3"/>
            </w:pPr>
            <w:r>
              <w:rPr>
                <w:rFonts w:ascii="仿宋_GB2312" w:hAnsi="仿宋_GB2312" w:cs="仿宋_GB2312" w:eastAsia="仿宋_GB2312"/>
              </w:rPr>
              <w:t xml:space="preserve">   1、付款条件说明：分阶段据实结算，不得超过预算金额（在职职工150000元；离退休职工130000元）。</w:t>
            </w:r>
          </w:p>
          <w:p>
            <w:pPr>
              <w:pStyle w:val="null3"/>
            </w:pPr>
            <w:r>
              <w:rPr>
                <w:rFonts w:ascii="仿宋_GB2312" w:hAnsi="仿宋_GB2312" w:cs="仿宋_GB2312" w:eastAsia="仿宋_GB2312"/>
              </w:rPr>
              <w:t xml:space="preserve">   2、学生体检费用学生自付（单价限价178元/人，含早餐、心理测评），学生体检费用不包含在预算之内。</w:t>
            </w:r>
          </w:p>
          <w:p>
            <w:pPr>
              <w:pStyle w:val="null3"/>
            </w:pPr>
            <w:r>
              <w:rPr>
                <w:rFonts w:ascii="仿宋_GB2312" w:hAnsi="仿宋_GB2312" w:cs="仿宋_GB2312" w:eastAsia="仿宋_GB2312"/>
              </w:rPr>
              <w:t xml:space="preserve">   3、总报价是指所有教职工体检费，包含要求检查的项目费用及体检期间体检人员餐费（早餐）。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五、服务期限：</w:t>
            </w:r>
          </w:p>
          <w:p>
            <w:pPr>
              <w:pStyle w:val="null3"/>
            </w:pPr>
            <w:r>
              <w:rPr>
                <w:rFonts w:ascii="仿宋_GB2312" w:hAnsi="仿宋_GB2312" w:cs="仿宋_GB2312" w:eastAsia="仿宋_GB2312"/>
              </w:rPr>
              <w:t xml:space="preserve">   本项目在本年度合同期满前，采购人将对成交供应商进行考核，根据服务满意程度，采购人有权决定是否续签合同，累计合同履行期限不超过3年，合同一年一签，本项目预算为（28）万元/年。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六、</w:t>
            </w:r>
            <w:r>
              <w:rPr>
                <w:rFonts w:ascii="仿宋_GB2312" w:hAnsi="仿宋_GB2312" w:cs="仿宋_GB2312" w:eastAsia="仿宋_GB2312"/>
                <w:b/>
              </w:rPr>
              <w:t>体检内容：</w:t>
            </w:r>
          </w:p>
          <w:p>
            <w:pPr>
              <w:pStyle w:val="null3"/>
              <w:ind w:firstLine="480"/>
            </w:pPr>
            <w:r>
              <w:rPr>
                <w:rFonts w:ascii="仿宋_GB2312" w:hAnsi="仿宋_GB2312" w:cs="仿宋_GB2312" w:eastAsia="仿宋_GB2312"/>
              </w:rPr>
              <w:t>1、在职职工</w:t>
            </w:r>
          </w:p>
          <w:p>
            <w:pPr>
              <w:pStyle w:val="null3"/>
              <w:ind w:firstLine="480"/>
            </w:pPr>
            <w:r>
              <w:rPr>
                <w:rFonts w:ascii="仿宋_GB2312" w:hAnsi="仿宋_GB2312" w:cs="仿宋_GB2312" w:eastAsia="仿宋_GB2312"/>
              </w:rPr>
              <w:t>（一）女性</w:t>
            </w:r>
          </w:p>
          <w:p>
            <w:pPr>
              <w:pStyle w:val="null3"/>
              <w:ind w:firstLine="480"/>
            </w:pPr>
            <w:r>
              <w:rPr>
                <w:rFonts w:ascii="仿宋_GB2312" w:hAnsi="仿宋_GB2312" w:cs="仿宋_GB2312" w:eastAsia="仿宋_GB2312"/>
              </w:rPr>
              <w:t>（1）40岁及以上人员：</w:t>
            </w:r>
          </w:p>
          <w:p>
            <w:pPr>
              <w:pStyle w:val="null3"/>
              <w:ind w:firstLine="480"/>
            </w:pPr>
            <w:r>
              <w:rPr>
                <w:rFonts w:ascii="仿宋_GB2312" w:hAnsi="仿宋_GB2312" w:cs="仿宋_GB2312" w:eastAsia="仿宋_GB2312"/>
              </w:rPr>
              <w:t>项目：物理体检（内科、血压、身高体重）、眼底、裂隙灯检查、骨密度检查、DR拍片（胸部正位片）、心电图、血常规、尿常规、肝功能、乙肝五项、血脂六项、肾功能四项、血糖、肿瘤定性两项（表述较模糊，建议明确具体项目）、腹部B超（肝、胆、胰、脾、双肾、子宫附件）、甲状腺彩超、糖化血红蛋白、卵巢癌筛查CA12-5、同型半胱氨酸、13C-呼气试验、妇科常规检查、妇科液基细胞学检查、乳腺触诊成像系统、TCD（经颅多普勒超声）、结论。</w:t>
            </w:r>
          </w:p>
          <w:p>
            <w:pPr>
              <w:pStyle w:val="null3"/>
              <w:ind w:firstLine="480"/>
            </w:pPr>
            <w:r>
              <w:rPr>
                <w:rFonts w:ascii="仿宋_GB2312" w:hAnsi="仿宋_GB2312" w:cs="仿宋_GB2312" w:eastAsia="仿宋_GB2312"/>
              </w:rPr>
              <w:t>（2）40岁以下人员：</w:t>
            </w:r>
          </w:p>
          <w:p>
            <w:pPr>
              <w:pStyle w:val="null3"/>
              <w:ind w:firstLine="480"/>
            </w:pPr>
            <w:r>
              <w:rPr>
                <w:rFonts w:ascii="仿宋_GB2312" w:hAnsi="仿宋_GB2312" w:cs="仿宋_GB2312" w:eastAsia="仿宋_GB2312"/>
              </w:rPr>
              <w:t>（2.1）已婚女性</w:t>
            </w:r>
          </w:p>
          <w:p>
            <w:pPr>
              <w:pStyle w:val="null3"/>
              <w:ind w:firstLine="480"/>
            </w:pPr>
            <w:r>
              <w:rPr>
                <w:rFonts w:ascii="仿宋_GB2312" w:hAnsi="仿宋_GB2312" w:cs="仿宋_GB2312" w:eastAsia="仿宋_GB2312"/>
              </w:rPr>
              <w:t>项目：物理体检（内科、血压、身高体重）、眼底、裂隙灯检查、DR拍片（胸部正位片）、心电图、血常规、尿常规、肝功能、乙肝五项、血脂六项、肾功能四项、血糖、肿瘤定性两项、腹部B超（肝、胆、胰、脾、双肾、子宫附件）、甲状腺彩超、妇科常规检查、妇科液基细胞学检查、乳腺触诊成像系统、结论。</w:t>
            </w:r>
          </w:p>
          <w:p>
            <w:pPr>
              <w:pStyle w:val="null3"/>
              <w:ind w:firstLine="480"/>
            </w:pPr>
            <w:r>
              <w:rPr>
                <w:rFonts w:ascii="仿宋_GB2312" w:hAnsi="仿宋_GB2312" w:cs="仿宋_GB2312" w:eastAsia="仿宋_GB2312"/>
              </w:rPr>
              <w:t>（2.2）未婚女性</w:t>
            </w:r>
          </w:p>
          <w:p>
            <w:pPr>
              <w:pStyle w:val="null3"/>
              <w:ind w:firstLine="480"/>
            </w:pPr>
            <w:r>
              <w:rPr>
                <w:rFonts w:ascii="仿宋_GB2312" w:hAnsi="仿宋_GB2312" w:cs="仿宋_GB2312" w:eastAsia="仿宋_GB2312"/>
              </w:rPr>
              <w:t>项目：物理体检（内科、血压、身高体重）、眼底、裂隙灯检查、DR拍片（胸部正位片）、心电图、血常规、尿常规、肝功能、乙肝五项、血脂六项、肾功能四项、血糖、肿瘤定性两项、腹部B超（肝、胆、胰、脾、双肾、子宫附件）、甲状腺彩超、乳腺触诊成像系统、结论。</w:t>
            </w:r>
          </w:p>
          <w:p>
            <w:pPr>
              <w:pStyle w:val="null3"/>
              <w:ind w:firstLine="480"/>
            </w:pPr>
            <w:r>
              <w:rPr>
                <w:rFonts w:ascii="仿宋_GB2312" w:hAnsi="仿宋_GB2312" w:cs="仿宋_GB2312" w:eastAsia="仿宋_GB2312"/>
              </w:rPr>
              <w:t>（二）男性</w:t>
            </w:r>
          </w:p>
          <w:p>
            <w:pPr>
              <w:pStyle w:val="null3"/>
              <w:ind w:firstLine="480"/>
            </w:pPr>
            <w:r>
              <w:rPr>
                <w:rFonts w:ascii="仿宋_GB2312" w:hAnsi="仿宋_GB2312" w:cs="仿宋_GB2312" w:eastAsia="仿宋_GB2312"/>
              </w:rPr>
              <w:t>（1）40岁及以上人员：</w:t>
            </w:r>
          </w:p>
          <w:p>
            <w:pPr>
              <w:pStyle w:val="null3"/>
              <w:ind w:firstLine="480"/>
            </w:pPr>
            <w:r>
              <w:rPr>
                <w:rFonts w:ascii="仿宋_GB2312" w:hAnsi="仿宋_GB2312" w:cs="仿宋_GB2312" w:eastAsia="仿宋_GB2312"/>
              </w:rPr>
              <w:t>项目：物理体检（内科、血压、身高体重）、眼底、裂隙灯检查、骨密度检查、DR拍片（胸部正位片）、心电图、血常规、尿常规、肝功能、乙肝五项、血脂六项、肾功能四项、血糖、肿瘤定性两项、彩色B超（肝、胆、胰、脾、双肾、前列腺）、甲状腺彩超、糖化血红蛋白、前列腺TPSA、同型半胱氨酸、13C-呼气试验、TCD（经颅多普勒超声）、结论。</w:t>
            </w:r>
          </w:p>
          <w:p>
            <w:pPr>
              <w:pStyle w:val="null3"/>
              <w:ind w:firstLine="480"/>
            </w:pPr>
            <w:r>
              <w:rPr>
                <w:rFonts w:ascii="仿宋_GB2312" w:hAnsi="仿宋_GB2312" w:cs="仿宋_GB2312" w:eastAsia="仿宋_GB2312"/>
              </w:rPr>
              <w:t>（2）40岁以下人员：</w:t>
            </w:r>
          </w:p>
          <w:p>
            <w:pPr>
              <w:pStyle w:val="null3"/>
              <w:ind w:firstLine="480"/>
            </w:pPr>
            <w:r>
              <w:rPr>
                <w:rFonts w:ascii="仿宋_GB2312" w:hAnsi="仿宋_GB2312" w:cs="仿宋_GB2312" w:eastAsia="仿宋_GB2312"/>
              </w:rPr>
              <w:t>项目：物理体检（内科、血压、身高体重）、眼底、裂隙灯检查、DR拍片（胸部正位片）、心电图、血常规、尿常规、肝功能、乙肝五项、血脂六项、肾功能四项、血糖、肿瘤定性两项、彩色B超（肝、胆、胰、脾、双肾、前列腺）、甲状腺彩超、结论。</w:t>
            </w:r>
          </w:p>
          <w:p>
            <w:pPr>
              <w:pStyle w:val="null3"/>
              <w:ind w:firstLine="480"/>
            </w:pPr>
            <w:r>
              <w:rPr>
                <w:rFonts w:ascii="仿宋_GB2312" w:hAnsi="仿宋_GB2312" w:cs="仿宋_GB2312" w:eastAsia="仿宋_GB2312"/>
              </w:rPr>
              <w:t>2、离退休教职工</w:t>
            </w:r>
          </w:p>
          <w:p>
            <w:pPr>
              <w:pStyle w:val="null3"/>
              <w:ind w:firstLine="480"/>
            </w:pPr>
            <w:r>
              <w:rPr>
                <w:rFonts w:ascii="仿宋_GB2312" w:hAnsi="仿宋_GB2312" w:cs="仿宋_GB2312" w:eastAsia="仿宋_GB2312"/>
              </w:rPr>
              <w:t>（一）女性</w:t>
            </w:r>
          </w:p>
          <w:p>
            <w:pPr>
              <w:pStyle w:val="null3"/>
              <w:ind w:firstLine="480"/>
            </w:pPr>
            <w:r>
              <w:rPr>
                <w:rFonts w:ascii="仿宋_GB2312" w:hAnsi="仿宋_GB2312" w:cs="仿宋_GB2312" w:eastAsia="仿宋_GB2312"/>
              </w:rPr>
              <w:t>项目：物理体检（内科、血压、身高体重）、眼底、裂隙灯检查、骨密度检查、DR拍片（胸部正位片）、心电图、血常规、尿常规、肝功能、乙肝五项、血脂六项、肾功能四项、血糖、肿瘤定性两项、腹部B超（肝、胆、胰、脾、双肾、子宫附件）、甲状腺彩超、糖化血红蛋白、卵巢癌筛查CA12-5、同型半胱氨酸、13C-呼气试验、妇科常规检查、妇科液基细胞学检查、乳腺触诊成像系统、结论。</w:t>
            </w:r>
          </w:p>
          <w:p>
            <w:pPr>
              <w:pStyle w:val="null3"/>
              <w:ind w:firstLine="480"/>
            </w:pPr>
            <w:r>
              <w:rPr>
                <w:rFonts w:ascii="仿宋_GB2312" w:hAnsi="仿宋_GB2312" w:cs="仿宋_GB2312" w:eastAsia="仿宋_GB2312"/>
              </w:rPr>
              <w:t>（二）男性</w:t>
            </w:r>
          </w:p>
          <w:p>
            <w:pPr>
              <w:pStyle w:val="null3"/>
              <w:ind w:firstLine="480"/>
            </w:pPr>
            <w:r>
              <w:rPr>
                <w:rFonts w:ascii="仿宋_GB2312" w:hAnsi="仿宋_GB2312" w:cs="仿宋_GB2312" w:eastAsia="仿宋_GB2312"/>
              </w:rPr>
              <w:t>项目：物理体检（内科、血压、身高体重）、眼底、裂隙灯检查、骨密度检查、DR拍片（胸部正位片）、心电图、血常规、尿常规、肝功能、乙肝五项、血脂六项、肾功能四项、血糖、肿瘤定性两项、彩色B超（肝、胆、胰、脾、双肾、前列腺）、甲状腺彩超、糖化血红蛋白、前列腺TPSA、同型半胱氨酸、13 C -呼气实验、结论。</w:t>
            </w:r>
          </w:p>
          <w:p>
            <w:pPr>
              <w:pStyle w:val="null3"/>
              <w:ind w:firstLine="480"/>
            </w:pPr>
            <w:r>
              <w:rPr>
                <w:rFonts w:ascii="仿宋_GB2312" w:hAnsi="仿宋_GB2312" w:cs="仿宋_GB2312" w:eastAsia="仿宋_GB2312"/>
              </w:rPr>
              <w:t>3、新生入学体检</w:t>
            </w:r>
          </w:p>
          <w:p>
            <w:pPr>
              <w:pStyle w:val="null3"/>
              <w:ind w:firstLine="480"/>
            </w:pPr>
            <w:r>
              <w:rPr>
                <w:rFonts w:ascii="仿宋_GB2312" w:hAnsi="仿宋_GB2312" w:cs="仿宋_GB2312" w:eastAsia="仿宋_GB2312"/>
              </w:rPr>
              <w:t>体检项目：内科、外科、视力、听力嗅觉辨色力、血常规、尿常规、肝功五项、心电图、胸部正位片（正常不出片，异常出片）、结核菌素试验、结论（一式两份）。</w:t>
            </w:r>
          </w:p>
          <w:p>
            <w:pPr>
              <w:pStyle w:val="null3"/>
            </w:pPr>
            <w:r>
              <w:rPr>
                <w:rFonts w:ascii="仿宋_GB2312" w:hAnsi="仿宋_GB2312" w:cs="仿宋_GB2312" w:eastAsia="仿宋_GB2312"/>
              </w:rPr>
              <w:t>心理测评：16岁以上项目SCL-90、GAD-7、PHQ-9。16岁以下项目GAD-7、PHQ-9、青少年焦虑、抑郁量表。结果分析包括个人测评量表分析和总体测评量表分析，对于个别问题严重的学生可以给予上门心理辅导并给出治疗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3.2.5.1根据磋商文件要求及合同约定执行。 3.2.5.2供应商应提供体检场所的①集中场地及室内候诊区；②检查科室设置；③专科检查室（眼科、耳鼻喉科、口腔科检查室独立设置）；④医技科室（检验科、放射科（CT/DR）、超声室分区合理）；⑤体检场所条件（独立体检场所，交通便利（公交/地铁可达），面积、环境满足日接待200-300人需求）；⑥隐私保护措施；⑦卫生设施等。以上内容如不满足或不提供相关证明材料将在详细评审中作扣分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年度服务期为自合同签订之日起至2026年6月30日（具体时间以采购人要求为准）。本项目在本年度合同期满前，采购人将对中标人进行考核，根据服务满意程度，采购人有权决定是否续签合同，累计合同履行期限不超过3年，合同一年一签，本项目预算为（28）万元/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服务内容和活动实施规范，资料齐全，管理严格，具有社会影响，在合同服务期内完成约定的全部项目内容，取得预期成效，支出真实可靠，未发现违法违规或违反合同条款内容。 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磋商时，只须提供身份证复印件；3.4.2（响应文件格式-标的清单）本项目服务范围：2026年教职工及新生入学体检项目(二次)；服务要求：符合磋商文件有关技术、商务要求；服务标准：符合国家和省、市有关行业标准及采购人的有关规定；3.4.3付款方式：分阶段据实结算，不得超过预算金额；因陕西政府采购网电子化流程编制支付方式及支付约定时无法满足本项目所要求付款方式，本章3.3.4（支付方式）、3.3.5（支付约定）为满足系统功能必填内容，不作参考，本项目支付方式以技术参数与性能指标中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法定代表人授权委托书、被授权人身份证（法定代表人参加磋商时,只需提供法定代表人身份证），被授权人参加磋商时，须提供磋商前三个月内任意一个月的社保缴纳证明；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供应商须具备卫生行政部门颁发的《医疗机构执业许可证》(诊疗科目中有开展健康体检服务的科目）、《放射诊疗许可证》。</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在评审过程中，有下列情形之一的，磋商小组会将启动异常低价响应审查程序：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磋商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健康体检服务方案</w:t>
            </w:r>
          </w:p>
        </w:tc>
        <w:tc>
          <w:tcPr>
            <w:tcW w:type="dxa" w:w="2492"/>
          </w:tcPr>
          <w:p>
            <w:pPr>
              <w:pStyle w:val="null3"/>
            </w:pPr>
            <w:r>
              <w:rPr>
                <w:rFonts w:ascii="仿宋_GB2312" w:hAnsi="仿宋_GB2312" w:cs="仿宋_GB2312" w:eastAsia="仿宋_GB2312"/>
              </w:rPr>
              <w:t>区间分值：0-24分 评审标准细化内容： 供应商应根据本项目采购需求提供健康体检服务方案，方案须包含以下6项核心内容：①体检专场服务方案（针对294人规模的专场服务流程设计，含分流引导、错峰安排、特殊人群（离退休职工）关怀措施）；②交通保障方案（提供体检机构至采购人指定地点的往返交通安排，或明确校内体检的交通组织方案）；③营养餐食服务（早餐供应标准（符合食品安全法规）、特殊饮食（糖尿病等）替代方案）；④体检服务流程（预约管理、检前告知、检中导检、检后报告领取全流程设计）；⑤现场秩序维护（人流控制、医疗废物处置等）；⑥健康管理方案（检后健康档案管理、异常结果追踪、健康咨询、就医绿色通道对接等）；⑦体检时间安排；⑧体检项目顺序。 评审标准量化内容： （1）各部分内容全面详细、阐述条理清晰详尽、符合本项目采购需求得24分；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体检场所及环境</w:t>
            </w:r>
          </w:p>
        </w:tc>
        <w:tc>
          <w:tcPr>
            <w:tcW w:type="dxa" w:w="2492"/>
          </w:tcPr>
          <w:p>
            <w:pPr>
              <w:pStyle w:val="null3"/>
            </w:pPr>
            <w:r>
              <w:rPr>
                <w:rFonts w:ascii="仿宋_GB2312" w:hAnsi="仿宋_GB2312" w:cs="仿宋_GB2312" w:eastAsia="仿宋_GB2312"/>
              </w:rPr>
              <w:t>区间分值：0-14分 评审标准细化内容： 根据供应商提供的体检地点、环境、基本设施、卫生状况进行综合评审，包括：①集中场地及室内候诊区（室内候诊区面积≥20m，通风采光良好，配备急救设备）；②检查科室设置（内科、外科检查室各≥1间）；③专科检查室（眼科、耳鼻喉科、口腔科检查室独立设置）；④医技科室（检验科、放射科（CT/DR）、超声室分区合理）；⑤体检场所条件（独立体检场所，交通便利，面积、环境满足日接待200-300人需求）；⑥隐私保护措施（独立妇科检查区域，女性专属通道，男女分区体检）；⑦卫生设施（男、女卫生间分开设置，配备无障碍设施）。 注：须提供场所布局图、场所介绍、场所照片、交通示意图等。 评审标准量化内容： （1）各部分内容全面详细、阐述条理清晰详尽、符合本项目采购需求得14分；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区间分值：0-9分 评审标准细化内容： 根据拟投入体检设施、设备配置进行综合评审，内容包括：①检测仪器设备（配备满足体检项目需求的检验、影像、心电等设备）；②试剂耗材来源合法正规，提供相关证明材料）；③信息化系统（具备体检信息管理系统，支持预约、导检、报告查询、健康档案管理等，提供相关证明材料）。 评审标准量化内容： （1）各部分内容全面详细、阐述条理清晰详尽、符合本项目采购需求得9分；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医师医护人员配备</w:t>
            </w:r>
          </w:p>
        </w:tc>
        <w:tc>
          <w:tcPr>
            <w:tcW w:type="dxa" w:w="2492"/>
          </w:tcPr>
          <w:p>
            <w:pPr>
              <w:pStyle w:val="null3"/>
            </w:pPr>
            <w:r>
              <w:rPr>
                <w:rFonts w:ascii="仿宋_GB2312" w:hAnsi="仿宋_GB2312" w:cs="仿宋_GB2312" w:eastAsia="仿宋_GB2312"/>
              </w:rPr>
              <w:t>①主检医师：具备副主任医师及以上职称，负责审核体检报告, 每配备1名符合条件的得2 分，最高得4 分（须提供医师执业证书、职称证书、近1年内任意1个月社保缴纳证明）；②专业体检医师：内科、外科、妇科、医学影像、医学检验各专业至少配备1名具有主治医师及以上职称的医师，每专业配备1名符合条件的得1.6分，5个专业最高得8分（须提供医师执业证书、职称证书、近1年内任意1个月社保缴纳证明）。 注：主检医师与专业体检医师岗位不得兼任，各专业之间不得重复计分。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信息化与保密措施</w:t>
            </w:r>
          </w:p>
        </w:tc>
        <w:tc>
          <w:tcPr>
            <w:tcW w:type="dxa" w:w="2492"/>
          </w:tcPr>
          <w:p>
            <w:pPr>
              <w:pStyle w:val="null3"/>
            </w:pPr>
            <w:r>
              <w:rPr>
                <w:rFonts w:ascii="仿宋_GB2312" w:hAnsi="仿宋_GB2312" w:cs="仿宋_GB2312" w:eastAsia="仿宋_GB2312"/>
              </w:rPr>
              <w:t>区间分值：0-9分 评审标准细化内容： 包括但不限于：①信息全流程保密管理（建立体检信息收集、传输、存储、使用、销毁全生命周期管理制度）；②体检结果保密（体检报告专人管理，电子系统分级授权，纸质报告密封传递等）。 评审标准量化内容： （1）各部分内容全面详细、阐述条理清晰详尽、符合本项目采购需求得9分； （2）评审标准细化内容每缺少一项扣4.5分；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应急保障与质量控制</w:t>
            </w:r>
          </w:p>
        </w:tc>
        <w:tc>
          <w:tcPr>
            <w:tcW w:type="dxa" w:w="2492"/>
          </w:tcPr>
          <w:p>
            <w:pPr>
              <w:pStyle w:val="null3"/>
            </w:pPr>
            <w:r>
              <w:rPr>
                <w:rFonts w:ascii="仿宋_GB2312" w:hAnsi="仿宋_GB2312" w:cs="仿宋_GB2312" w:eastAsia="仿宋_GB2312"/>
              </w:rPr>
              <w:t>区间分值：0-12分 评审标准细化内容： 包括但不限于：①医疗安全事件应急（晕厥、过敏、跌倒等体检常见意外事件的现场处置流程）；②突发公共卫生事件应急（传染病疫情、群体性不明原因疾病等应急响应机制）；③人员替补机制（关键岗位人员突发情况下的替补安排）；④危急重症处置（如急性心梗、脑出血等的急救及转诊绿色通道）。 评审标准量化内容： （1）各部分内容全面详细、阐述条理清晰详尽、符合本项目采购需求得12分；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类似项目业绩（2022年1月1日至今，以合同签订时间为准，承担过团体健康体检服务；每份有效合同得2分，最高得10分；本项须提供完整合同复印/扫描件，加盖公章）。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①通过符合性审查的磋商报价为有效投标价。对符合政策性扣减的有效磋商报价进行政策性扣减，并依据扣减后的价格（评审价格）进行价格评审。 ②有效最低报价为基准价得10分。 ③按（有效最低报价/有效磋商报价）×10的公式计算报价得分。 磋商报价不完整的，不进入评标基准价的计算，本项得0分。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