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版本号：HW-SL-27620260901002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信息系统网络安全等级保护测评服务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HW-SL-276</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信息系统网络安全等级保护测评服务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HW-SL-276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信息系统网络安全等级保护测评服务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中华人民共和国网络安全法》《信息安全技术网络安全等级保护基本要求》(GB/T22239-2019)等法律法规要求，提升我院信息系统网络安全防护能力，保障患者隐私数据和医疗业务系统安全，现拟采购第三方专业机构开展网络安全等级保护测评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采购包1（信息系统网络安全等级保护测评服务）：属于专门面向中小企业采购。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2、资质要求：供应商须具备公安部第三研究所颁发的《网络安全服务认证证书等级保护测评服务认证》，提供证书复印件加盖公章。</w:t>
      </w:r>
    </w:p>
    <w:p>
      <w:pPr>
        <w:pStyle w:val="null3"/>
      </w:pPr>
      <w:r>
        <w:rPr>
          <w:rFonts w:ascii="仿宋_GB2312" w:hAnsi="仿宋_GB2312" w:cs="仿宋_GB2312" w:eastAsia="仿宋_GB2312"/>
        </w:rPr>
        <w:t>3、具有良好的财务状况：供应商提供2024年度或2025年度的财务审计报告（成立时间至磋商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4、具有良好的税收缴纳记录：提供磋商截⽌⽇前近6个⽉内任意1个⽉的纳税证明或完税证明（任意税种），时间以税款所属时期为准，需有代收机构或税务机关的公章或业务专⽤章（银⾏出具的缴税凭证或税务机关出具的证明复印件，加盖本单位公章）；依法免税或零申报的供应商，提供相应免税证明⽂件。</w:t>
      </w:r>
    </w:p>
    <w:p>
      <w:pPr>
        <w:pStyle w:val="null3"/>
      </w:pPr>
      <w:r>
        <w:rPr>
          <w:rFonts w:ascii="仿宋_GB2312" w:hAnsi="仿宋_GB2312" w:cs="仿宋_GB2312" w:eastAsia="仿宋_GB2312"/>
        </w:rPr>
        <w:t>5、具有良好的社会保障资⾦缴纳记录：提供磋商截⽌⽇前近6个⽉内任意1个⽉已缴存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7、履行本合同所必需的设备和专业技术能力：供应商具有履行合同所必需的设备和专业技术能力的承诺函。</w:t>
      </w:r>
    </w:p>
    <w:p>
      <w:pPr>
        <w:pStyle w:val="null3"/>
      </w:pPr>
      <w:r>
        <w:rPr>
          <w:rFonts w:ascii="仿宋_GB2312" w:hAnsi="仿宋_GB2312" w:cs="仿宋_GB2312" w:eastAsia="仿宋_GB2312"/>
        </w:rPr>
        <w:t>8、信誉要求：供应商不得在“信用中国”网站(www.creditchina.gov.cn)中被列入重大税收违法失信主体的当事人，不得在“中国执行信息公开网”(http://zxgk.court.gov.cn)网站中被列为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9、直接控股、管理关系：法定代表人(负责人)为同一人或存在直接控股、管理关系的不同单位，不得同时参加本项目</w:t>
      </w:r>
    </w:p>
    <w:p>
      <w:pPr>
        <w:pStyle w:val="null3"/>
      </w:pPr>
      <w:r>
        <w:rPr>
          <w:rFonts w:ascii="仿宋_GB2312" w:hAnsi="仿宋_GB2312" w:cs="仿宋_GB2312" w:eastAsia="仿宋_GB2312"/>
        </w:rPr>
        <w:t>10、授权书：法定代表人(负责人)直接参加的，提供法定代表人(负责人)身份证复印件;授权代表参加的，提供法定代表人(负责人)授权委托书及被授权人身份证复印件。</w:t>
      </w:r>
    </w:p>
    <w:p>
      <w:pPr>
        <w:pStyle w:val="null3"/>
      </w:pPr>
      <w:r>
        <w:rPr>
          <w:rFonts w:ascii="仿宋_GB2312" w:hAnsi="仿宋_GB2312" w:cs="仿宋_GB2312" w:eastAsia="仿宋_GB2312"/>
        </w:rPr>
        <w:t>11、本项目不接受联合体投标，不允许分包：本项目不接受联合体磋商，不允许分包。供应商应提供《非联合体不分包投标声明》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李凯伦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13991485188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商洛市商州区城关街道金源二路 36 号 4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18392939080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开户名称：华文项目管理有限公司商洛分公司</w:t>
            </w:r>
          </w:p>
          <w:p>
            <w:pPr>
              <w:pStyle w:val="null3"/>
            </w:pPr>
            <w:r>
              <w:rPr>
                <w:rFonts w:ascii="仿宋_GB2312" w:hAnsi="仿宋_GB2312" w:cs="仿宋_GB2312" w:eastAsia="仿宋_GB2312"/>
              </w:rPr>
              <w:t>开户银行：工行商洛行政广场支行</w:t>
            </w:r>
          </w:p>
          <w:p>
            <w:pPr>
              <w:pStyle w:val="null3"/>
            </w:pPr>
            <w:r>
              <w:rPr>
                <w:rFonts w:ascii="仿宋_GB2312" w:hAnsi="仿宋_GB2312" w:cs="仿宋_GB2312" w:eastAsia="仿宋_GB2312"/>
              </w:rPr>
              <w:t>银行账号：2608 0704 1920 0077 566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w:t>
      </w:r>
    </w:p>
    <w:p>
      <w:pPr>
        <w:pStyle w:val="null3"/>
      </w:pPr>
      <w:r>
        <w:rPr>
          <w:rFonts w:ascii="仿宋_GB2312" w:hAnsi="仿宋_GB2312" w:cs="仿宋_GB2312" w:eastAsia="仿宋_GB2312"/>
        </w:rPr>
        <w:t>联系电话：18392939080</w:t>
      </w:r>
    </w:p>
    <w:p>
      <w:pPr>
        <w:pStyle w:val="null3"/>
      </w:pPr>
      <w:r>
        <w:rPr>
          <w:rFonts w:ascii="仿宋_GB2312" w:hAnsi="仿宋_GB2312" w:cs="仿宋_GB2312" w:eastAsia="仿宋_GB2312"/>
        </w:rPr>
        <w:t>地址：商洛市商州区城关街道金源二路 36 号 4 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中华人民共和国网络安全法》《信息安全技术网络安全等级保护基本要求》(GB/T22239-2019)等法律法规要求，提升我院信息系统网络安全防护能力，保障患者隐私数据和医疗业务系统安全，现拟采购第三方专业机构开展网络安全等级保护测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信息系统网络安全等级保护测评服务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标的名称：信息系统网络安全等级保护测评服务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一、项目背景: 为贯彻落实《中华人民共和国网络安全法》《信息安全技术网络安全等级保护基本要求》(GB/T22239-2019)等法律法规要求，提升我院信息系统网络安全防护能力，保障惠者隐私数据和医疗业务系统安全，现拟采购第三方专业机构开展网络安全等级保护测评服务。</w:t>
            </w:r>
          </w:p>
          <w:p>
            <w:pPr>
              <w:pStyle w:val="null3"/>
              <w:jc w:val="both"/>
            </w:pPr>
            <w:r>
              <w:rPr>
                <w:rFonts w:ascii="仿宋_GB2312" w:hAnsi="仿宋_GB2312" w:cs="仿宋_GB2312" w:eastAsia="仿宋_GB2312"/>
              </w:rPr>
              <w:t>二、服务范围: 对我院的HIS系统、LIS系统、PACS系统开展等保三级测评服务，具体服务范围如下: (1)进行系统调研； (2)编制测评方案； (3)进行现场测评;； (4)编制整改方案、指导整改加固； (5)开展系统复测； (6)形成测评报告、渗透测试报告； (7)开展售后服务。</w:t>
            </w:r>
          </w:p>
          <w:p>
            <w:pPr>
              <w:pStyle w:val="null3"/>
              <w:jc w:val="both"/>
            </w:pPr>
            <w:r>
              <w:rPr>
                <w:rFonts w:ascii="仿宋_GB2312" w:hAnsi="仿宋_GB2312" w:cs="仿宋_GB2312" w:eastAsia="仿宋_GB2312"/>
              </w:rPr>
              <w:t>三、服务要求： 3.1按照《信息安全技术 网络安全等级保护定级指南》(GB/T 22240-2020)、《信息安全技术 网络安全等级保护实施指南》(GB/T25058-2019)、《信息安全技术 网络安全等级保护基本要求》(GB/T22239-2019)、《信息安全技术 网络安全等级 保护测评要求》(GB/T28448-2019)、《信息安全技术 网络安全等级保护测评过程指南》 (GB/T28449-2018)等相关的标准规范开展等级测评工作，对我院3个三级信息系统:HIS系统、LIS系统、PACS系统进行网络安全等级保护测评服务并提交测评报告: 1)系统调研:在相关人员的协助下，对信息系统进行调研和梳理，掌握当前信息系统资产现状； 2)方案编制:对测评对象与测评指标进行确定与识别，结合调研情况编制符合本次测评服务的测评方案； 3)现场测评:根据国家标准和相关要求及编制的测评方案对上述信息系统的安全物理环境、安全通信网络、安全区域边界、安全计算环境、安全管理中心、安全管理制度、安全管理机构、安全管理人员、安全建设管理、安全运维管理共10个层面开展网络安全等级保护测评工作，并开展系统漏洞扫描和渗透测试服务，记录检查结果； 4)分析整改及复测:根据前述工作内容，分析信息系统安全情况与等级保护基本要求的差距，提供差异化测评服务，根据测评情况提出科学合理的整改建议，配合甲方进行整改工作，整改完成后进行复测评； 5)结论报告:根据前述工作内容，分析当前信息系统安全保护能力是否符合相应等级的安全要求，针对整改项进行再次测评，提供安全等级符合性测评服务，编制测评报告； 6)提交测评资料:测评完成后，乙方向甲方提交以下纸质版及电子版资料(电子资料刻入光盘)： ①网络安全等级保护测评整改建议报告(每系统2份) ②网络安全等级测评报告(每系统2份) ③信息系统渗透测试报告(每系统2份) 3.2出具符合公安部门要求的测评报告，并协助在属地公安机关办理更换《网络安全等级保护备案证明》; 3.3提供为期一年的售后服务:安全咨询与安全培训服务、漏洞扫描与安全检查服务、专项网络安全应急服务等。 3.4合同签订后在30个工作日内完成施工。</w:t>
            </w:r>
          </w:p>
          <w:p>
            <w:pPr>
              <w:pStyle w:val="null3"/>
              <w:jc w:val="both"/>
            </w:pPr>
            <w:r>
              <w:rPr>
                <w:rFonts w:ascii="仿宋_GB2312" w:hAnsi="仿宋_GB2312" w:cs="仿宋_GB2312" w:eastAsia="仿宋_GB2312"/>
              </w:rPr>
              <w:t>四、保密条款： 1.供应商应对本次采购过程中以及服务实施过程中获取的医院所有信息(包括但不限于业务数据、患者信息、系统配置、网络架构、管理制度、文档资料等)承担永久保密责任，未经医院书面同意，不得向任何第三方泄露，不得用于本项目以外的任何用途。 2.供应商应要求所有参与本项目的工作人员签订保密承诺书，严格遵守医院保密规定，测评过程中仅可在授权范围内访问相关信息，不得违规复制、下载医院敏感数据。 3.服务完成后，供应商应立即归还所有从医院获取的纸质文档，删除电子存储设备中的所有医院数据，不得留存任何副本。 4.若供应商违反保密约定，需承担由此给医院造成的全部损失，包括但不限于直接经济损失、名誉损失、监管处罚金额等，并承担相应法律责任。</w:t>
            </w:r>
          </w:p>
          <w:p>
            <w:pPr>
              <w:pStyle w:val="null3"/>
              <w:jc w:val="both"/>
            </w:pPr>
            <w:r>
              <w:rPr>
                <w:rFonts w:ascii="仿宋_GB2312" w:hAnsi="仿宋_GB2312" w:cs="仿宋_GB2312" w:eastAsia="仿宋_GB2312"/>
              </w:rPr>
              <w:t>五、违约责任：1.供应商未按照合同约定的服务周期完成测评工作，每逾期1个工作日，应按照合同总金额的[5‰]向医院支付违约金，逾期超过[30工作日]的，医院有权解除合同，供应商需退还已收款项并支付合同总金额[30%]的违约金。 2.供应商出具的测评报告不符合监管要求，无法通过备案，供应商需免费重新测评，仍无法通过的，医院有权解除合同，供应商需退还全部款项并支付合同总金额[30%]的违约金。 3.因供应商违规操作导致医院业务系统中断或数据泄露，供应商需承担全部赔偿责任。 4.若供应商将本项目转包、分包，医院有权立即解除合同，供应商需支付合同总金额[30%]的违约金。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合同签订后30日历天内容完成全部工作内容。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本项目由采购人负责组织验收。验收合格须交接项目实施的全部资料，并填写政府采购项目验收报告单。验收须以合同、招标文件及投标文件、澄清及国家相应的标准、规范等为依据。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进度款，合同签订且供应商进场实施后，达到付款条件起15个工作日内，支付合同总金额的40.0%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进度款，项目全部实施完成，通过测评，协助医院拿到等保备案证后，达到付款条件起15个工作日内，支付合同总金额的60.0%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3.5.1为保证项目顺利备案，在开标当日，需提供印章齐全的纸质版响应文件一正二副，电子版一份（PDF版）。（评审以线上响应文件为准，纸质版只作为备案存档）。 3.5.2磋商保证金注意事项：（1）磋商保证金应在递交响应文件截止时间前到账，须从供应商户名支付，如从个人户名或非投标人户名支付，将被拒绝，视为自动放弃投标权利（该个人是投标人的情形除外）；以保函形式交纳投标保证金的，投标人应在投标截止时间前将保函扫描成清晰的PDF文件，发送至邮箱195359705@qq.com（邮件命名：项目编号）。保函必须由具有开具投标保函资格的单位开具；若供应商违约，开具保函单位承担连带责任；（2）磋商保证金的提交金额、时间不满足磋商文件要求的，磋商无效；（3）磋商保证金以采购代理机构到账凭证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供应商须具备公安部第三研究所颁发的《网络安全服务认证证书等级保护测评服务认证》，提供证书复印件加盖公章。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供应商提供2024年度或2025年度的财务审计报告（成立时间至磋商截止时间不足一年的可提供成立后任意时段的资产负债表），或其开标前三个月内基本开户银行出具的资信证明及基本存款账户信息。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磋商截⽌⽇前近6个⽉内任意1个⽉的纳税证明或完税证明（任意税种），时间以税款所属时期为准，需有代收机构或税务机关的公章或业务专⽤章（银⾏出具的缴税凭证或税务机关出具的证明复印件，加盖本单位公章）；依法免税或零申报的供应商，提供相应免税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具有良好的社会保障资⾦缴纳记录</w:t>
            </w:r>
          </w:p>
        </w:tc>
        <w:tc>
          <w:tcPr>
            <w:tcW w:type="dxa" w:w="3322"/>
          </w:tcPr>
          <w:p>
            <w:pPr>
              <w:pStyle w:val="null3"/>
            </w:pPr>
            <w:r>
              <w:rPr>
                <w:rFonts w:ascii="仿宋_GB2312" w:hAnsi="仿宋_GB2312" w:cs="仿宋_GB2312" w:eastAsia="仿宋_GB2312"/>
              </w:rPr>
              <w:t>提供磋商截⽌⽇前近6个⽉内任意1个⽉已缴存的社会保障资⾦缴存单据或社保机构开具的社会保险参保缴费情况证明；依法不需要缴纳社会保障资⾦的单位应提供相关证明材料。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在“信用中国”网站(www.creditchina.gov.cn)中被列入重大税收违法失信主体的当事人，不得在“中国执行信息公开网”(http://zxgk.court.gov.cn)网站中被列为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法定代表人(负责人)为同一人或存在直接控股、管理关系的不同单位，不得同时参加本项目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法定代表人(负责人)直接参加的，提供法定代表人(负责人)身份证复印件;授权代表参加的，提供法定代表人(负责人)授权委托书及被授权人身份证复印件。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(1)磋商响应文件未按照磋商文件规定要求签署、盖章的；(2)不满足本磋商文件中“服务期限、服务地点、支付方式、支付约定”的实质性条款要求的； (3)文件有效期不足的或无有效期的； (4)报价超过磋商文件中规定的预算金额或最高限价的；(5)对磋商文件商务、技术要求存在重大负偏离的；（6）未按规定足额缴纳磋商保证金的；（7）法律、法规和磋商文件规定的其他无效情形。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报价表 资格证明文件.docx 响应文件封面 残疾人福利性单位声明函 保证金缴纳凭证.docx 标的清单 响应函 服务方案.docx 商务及技术偏离表.docx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服务方案依据国家等级保护2.0测评标准体系要求，并结合本项目技术标准要求，包括①项目服务理解与测评指标选取；②测评内容及方法；③重难点把控；④全过程质量与风险管控。 每项满分3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提供针对本项目的完整服务流程，包括①测评准备；②方案编制；③现场测评；④分析与服务报告。 每项满分2.5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包括①人员保密管控措施；②现场实施保密管控措施；③项目成果资料保密管控措施。 每项满分2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提供完善的针对应急方案包括①测评现场业务应急处置；②安全漏洞重大风险应急处置；③外部检查与重大活动重保应急支撑。 每项满分2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为保障在测评项目结束后的信息安全，需提供完善的售后服务，包括①安全咨询与安全培训服务；②漏洞扫描与安全检查服务；③专项网络安全应急服务等。提供以上服务并做出相应说明。每项满分2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提供2023年1月1日至今同类项目业绩(以合同签订日期为准)，每提供1个得3分，最高得15分。备注:需提供业绩合同扫描件。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CCRC信息安全应急处理资质证书得3分。2.投标人具有CCRC信息安全风险评估资质证书得3分。3.投标人具有CCRC网络安全审计服务资质证书得3分。4.投标人具有CCRC信息系统灾难备份与恢复服务资质证书得3分。5.投标人具有数据安全服务能力评定资格证书得3分。6.为体现投标人的综合安全技术能力，保障安全服务的有效实施，投标人能提供:等保测评、渗透测试等系统类的软件著作权，每提供1个得1分，最高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1.针对本项目派往现场的测评团队中至少包含4名高级测评师，4名中级测评师，满足条件得5分，每缺少一名高级测评师或中级测评师扣1分，扣完为止。本项最多得5分。 2.针对本项目，项目经理在高级测评师基础上具备系统规划与管理师证书(软考)、信息系统项目管理师证书(软考)、信息安全工程师证书(软考)、注册渗透测试工程师(CISP-PTE)证书、 数据安全评估师认证证书，每具备一个得1分，满分5分。 3.测评小组组长具有高级测评师证书、高级网络信息安全工程师证书、数据安全管理师(高级)证书、网络安全架构师(高级)证书、CISP-DSG证书，每具备一个得1分，满分5分。 注:提供证书复印件及在本单位连续三个月社保缴纳证明，并加盖供应商公章。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1.经初审合格的响应文件，其磋商报价为有效投标价。2.价格分统一采用低价优先法计算，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