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807F4">
      <w:pPr>
        <w:pageBreakBefore w:val="0"/>
        <w:tabs>
          <w:tab w:val="left" w:pos="5040"/>
        </w:tabs>
        <w:wordWrap/>
        <w:overflowPunct/>
        <w:topLinePunct w:val="0"/>
        <w:bidi w:val="0"/>
        <w:spacing w:after="0" w:line="360" w:lineRule="auto"/>
        <w:ind w:left="0" w:leftChars="0" w:right="0" w:firstLine="1960" w:firstLineChars="700"/>
        <w:rPr>
          <w:rFonts w:hint="eastAsia" w:ascii="仿宋" w:hAnsi="仿宋" w:eastAsia="仿宋" w:cs="仿宋"/>
          <w:sz w:val="28"/>
          <w:szCs w:val="28"/>
          <w:highlight w:val="none"/>
        </w:rPr>
      </w:pPr>
      <w:bookmarkStart w:id="0" w:name="_GoBack"/>
      <w:r>
        <w:rPr>
          <w:rFonts w:hint="eastAsia" w:ascii="仿宋" w:hAnsi="仿宋" w:eastAsia="仿宋" w:cs="仿宋"/>
          <w:sz w:val="28"/>
          <w:szCs w:val="28"/>
          <w:highlight w:val="none"/>
        </w:rPr>
        <w:t>(最终以甲乙双方实际协商签定协议为准)</w:t>
      </w:r>
    </w:p>
    <w:bookmarkEnd w:id="0"/>
    <w:p w14:paraId="3D8CD60E">
      <w:pPr>
        <w:pStyle w:val="14"/>
        <w:keepNext w:val="0"/>
        <w:keepLines w:val="0"/>
        <w:pageBreakBefore w:val="0"/>
        <w:widowControl/>
        <w:wordWrap/>
        <w:overflowPunct/>
        <w:topLinePunct w:val="0"/>
        <w:bidi w:val="0"/>
        <w:spacing w:after="0" w:line="360" w:lineRule="auto"/>
        <w:ind w:left="0" w:leftChars="0" w:firstLine="0" w:firstLineChars="0"/>
        <w:jc w:val="center"/>
        <w:rPr>
          <w:rFonts w:hint="eastAsia" w:ascii="仿宋" w:hAnsi="仿宋" w:eastAsia="仿宋" w:cs="仿宋"/>
          <w:b/>
          <w:bCs/>
          <w:sz w:val="48"/>
          <w:szCs w:val="48"/>
          <w:highlight w:val="none"/>
          <w:lang w:eastAsia="zh-CN"/>
        </w:rPr>
      </w:pPr>
    </w:p>
    <w:p w14:paraId="161684A9">
      <w:pPr>
        <w:pStyle w:val="14"/>
        <w:keepNext w:val="0"/>
        <w:keepLines w:val="0"/>
        <w:pageBreakBefore w:val="0"/>
        <w:widowControl/>
        <w:wordWrap/>
        <w:overflowPunct/>
        <w:topLinePunct w:val="0"/>
        <w:bidi w:val="0"/>
        <w:spacing w:after="0" w:line="360" w:lineRule="auto"/>
        <w:ind w:left="0" w:leftChars="0" w:firstLine="0" w:firstLineChars="0"/>
        <w:jc w:val="center"/>
        <w:rPr>
          <w:rFonts w:hint="eastAsia" w:ascii="仿宋" w:hAnsi="仿宋" w:eastAsia="仿宋" w:cs="仿宋"/>
          <w:b/>
          <w:bCs/>
          <w:sz w:val="48"/>
          <w:szCs w:val="48"/>
          <w:highlight w:val="none"/>
          <w:lang w:eastAsia="zh-CN"/>
        </w:rPr>
      </w:pPr>
    </w:p>
    <w:p w14:paraId="4AD055E7">
      <w:pPr>
        <w:pStyle w:val="14"/>
        <w:keepNext w:val="0"/>
        <w:keepLines w:val="0"/>
        <w:pageBreakBefore w:val="0"/>
        <w:widowControl/>
        <w:wordWrap/>
        <w:overflowPunct/>
        <w:topLinePunct w:val="0"/>
        <w:bidi w:val="0"/>
        <w:spacing w:after="0" w:line="360" w:lineRule="auto"/>
        <w:ind w:left="0" w:leftChars="0" w:firstLine="0" w:firstLineChars="0"/>
        <w:jc w:val="center"/>
        <w:rPr>
          <w:rFonts w:hint="eastAsia" w:ascii="仿宋" w:hAnsi="仿宋" w:eastAsia="仿宋" w:cs="仿宋"/>
          <w:b/>
          <w:bCs/>
          <w:sz w:val="48"/>
          <w:szCs w:val="48"/>
          <w:highlight w:val="none"/>
          <w:lang w:eastAsia="zh-CN"/>
        </w:rPr>
      </w:pPr>
      <w:r>
        <w:rPr>
          <w:rFonts w:hint="eastAsia" w:ascii="仿宋" w:hAnsi="仿宋" w:eastAsia="仿宋" w:cs="仿宋"/>
          <w:b/>
          <w:bCs/>
          <w:sz w:val="40"/>
          <w:szCs w:val="40"/>
          <w:highlight w:val="none"/>
          <w:lang w:eastAsia="zh-CN"/>
        </w:rPr>
        <w:t>镇巴县2024年农村安全饮水提升巩固工程曾家山供水子工程一体化净水厂及设备采购</w:t>
      </w:r>
      <w:r>
        <w:rPr>
          <w:rFonts w:hint="eastAsia" w:ascii="仿宋" w:hAnsi="仿宋" w:eastAsia="仿宋" w:cs="仿宋"/>
          <w:b/>
          <w:bCs/>
          <w:sz w:val="48"/>
          <w:szCs w:val="48"/>
          <w:highlight w:val="none"/>
          <w:lang w:eastAsia="zh-CN"/>
        </w:rPr>
        <w:br w:type="textWrapping"/>
      </w:r>
    </w:p>
    <w:p w14:paraId="2A9AB7A9">
      <w:pPr>
        <w:pStyle w:val="14"/>
        <w:keepNext w:val="0"/>
        <w:keepLines w:val="0"/>
        <w:pageBreakBefore w:val="0"/>
        <w:widowControl/>
        <w:wordWrap/>
        <w:overflowPunct/>
        <w:topLinePunct w:val="0"/>
        <w:bidi w:val="0"/>
        <w:spacing w:after="0" w:line="360" w:lineRule="auto"/>
        <w:ind w:left="0" w:leftChars="0" w:firstLine="964"/>
        <w:rPr>
          <w:rFonts w:hint="eastAsia" w:ascii="仿宋" w:hAnsi="仿宋" w:eastAsia="仿宋" w:cs="仿宋"/>
          <w:b/>
          <w:bCs/>
          <w:sz w:val="48"/>
          <w:szCs w:val="48"/>
          <w:highlight w:val="none"/>
          <w:lang w:eastAsia="zh-CN"/>
        </w:rPr>
      </w:pPr>
    </w:p>
    <w:p w14:paraId="7BDD3904">
      <w:pPr>
        <w:pStyle w:val="14"/>
        <w:keepNext w:val="0"/>
        <w:keepLines w:val="0"/>
        <w:pageBreakBefore w:val="0"/>
        <w:widowControl/>
        <w:wordWrap/>
        <w:overflowPunct/>
        <w:topLinePunct w:val="0"/>
        <w:bidi w:val="0"/>
        <w:spacing w:after="0" w:line="360" w:lineRule="auto"/>
        <w:ind w:left="0" w:leftChars="0" w:firstLine="964"/>
        <w:rPr>
          <w:rFonts w:hint="eastAsia" w:ascii="仿宋" w:hAnsi="仿宋" w:eastAsia="仿宋" w:cs="仿宋"/>
          <w:b/>
          <w:bCs/>
          <w:sz w:val="48"/>
          <w:szCs w:val="48"/>
          <w:highlight w:val="none"/>
          <w:lang w:eastAsia="zh-CN"/>
        </w:rPr>
      </w:pPr>
    </w:p>
    <w:p w14:paraId="4F02333E">
      <w:pPr>
        <w:pStyle w:val="14"/>
        <w:keepNext w:val="0"/>
        <w:keepLines w:val="0"/>
        <w:pageBreakBefore w:val="0"/>
        <w:widowControl/>
        <w:wordWrap/>
        <w:overflowPunct/>
        <w:topLinePunct w:val="0"/>
        <w:bidi w:val="0"/>
        <w:spacing w:after="0" w:line="360" w:lineRule="auto"/>
        <w:ind w:left="0" w:leftChars="0" w:firstLine="964"/>
        <w:rPr>
          <w:rFonts w:hint="eastAsia" w:ascii="仿宋" w:hAnsi="仿宋" w:eastAsia="仿宋" w:cs="仿宋"/>
          <w:b/>
          <w:bCs/>
          <w:sz w:val="48"/>
          <w:szCs w:val="48"/>
          <w:highlight w:val="none"/>
          <w:lang w:eastAsia="zh-CN"/>
        </w:rPr>
      </w:pPr>
    </w:p>
    <w:p w14:paraId="7EF992F4">
      <w:pPr>
        <w:pStyle w:val="14"/>
        <w:keepNext w:val="0"/>
        <w:keepLines w:val="0"/>
        <w:pageBreakBefore w:val="0"/>
        <w:widowControl/>
        <w:wordWrap/>
        <w:overflowPunct/>
        <w:topLinePunct w:val="0"/>
        <w:bidi w:val="0"/>
        <w:spacing w:after="0" w:line="360" w:lineRule="auto"/>
        <w:ind w:left="0" w:leftChars="0" w:firstLine="0" w:firstLineChars="0"/>
        <w:rPr>
          <w:rFonts w:hint="eastAsia" w:ascii="仿宋" w:hAnsi="仿宋" w:eastAsia="仿宋" w:cs="仿宋"/>
          <w:b/>
          <w:bCs/>
          <w:sz w:val="48"/>
          <w:szCs w:val="48"/>
          <w:highlight w:val="none"/>
          <w:lang w:eastAsia="zh-CN"/>
        </w:rPr>
      </w:pPr>
    </w:p>
    <w:p w14:paraId="08214334">
      <w:pPr>
        <w:keepNext w:val="0"/>
        <w:keepLines w:val="0"/>
        <w:pageBreakBefore w:val="0"/>
        <w:widowControl/>
        <w:wordWrap/>
        <w:overflowPunct/>
        <w:topLinePunct w:val="0"/>
        <w:bidi w:val="0"/>
        <w:spacing w:after="0" w:line="360" w:lineRule="auto"/>
        <w:ind w:left="0" w:leftChars="0" w:firstLine="562" w:firstLineChars="200"/>
        <w:rPr>
          <w:rFonts w:hint="eastAsia" w:ascii="仿宋" w:hAnsi="仿宋" w:eastAsia="仿宋" w:cs="仿宋"/>
          <w:b/>
          <w:bCs/>
          <w:sz w:val="28"/>
          <w:szCs w:val="22"/>
          <w:highlight w:val="none"/>
          <w:u w:val="single"/>
        </w:rPr>
      </w:pPr>
      <w:r>
        <w:rPr>
          <w:rFonts w:hint="eastAsia" w:ascii="仿宋" w:hAnsi="仿宋" w:eastAsia="仿宋" w:cs="仿宋"/>
          <w:b/>
          <w:bCs/>
          <w:sz w:val="28"/>
          <w:szCs w:val="22"/>
          <w:highlight w:val="none"/>
        </w:rPr>
        <w:t>甲方：</w:t>
      </w:r>
      <w:r>
        <w:rPr>
          <w:rFonts w:hint="eastAsia" w:ascii="仿宋" w:hAnsi="仿宋" w:eastAsia="仿宋" w:cs="仿宋"/>
          <w:b/>
          <w:bCs/>
          <w:sz w:val="28"/>
          <w:szCs w:val="22"/>
          <w:highlight w:val="none"/>
          <w:u w:val="single"/>
        </w:rPr>
        <w:t xml:space="preserve">                            </w:t>
      </w:r>
    </w:p>
    <w:p w14:paraId="752D2F6D">
      <w:pPr>
        <w:keepNext w:val="0"/>
        <w:keepLines w:val="0"/>
        <w:pageBreakBefore w:val="0"/>
        <w:widowControl/>
        <w:wordWrap/>
        <w:overflowPunct/>
        <w:topLinePunct w:val="0"/>
        <w:bidi w:val="0"/>
        <w:spacing w:after="0" w:line="360" w:lineRule="auto"/>
        <w:ind w:left="0" w:leftChars="0" w:firstLine="562" w:firstLineChars="200"/>
        <w:rPr>
          <w:rFonts w:hint="eastAsia" w:ascii="仿宋" w:hAnsi="仿宋" w:eastAsia="仿宋" w:cs="仿宋"/>
          <w:b/>
          <w:bCs/>
          <w:sz w:val="28"/>
          <w:highlight w:val="none"/>
        </w:rPr>
      </w:pPr>
      <w:r>
        <w:rPr>
          <w:rFonts w:hint="eastAsia" w:ascii="仿宋" w:hAnsi="仿宋" w:eastAsia="仿宋" w:cs="仿宋"/>
          <w:b/>
          <w:bCs/>
          <w:sz w:val="28"/>
          <w:szCs w:val="22"/>
          <w:highlight w:val="none"/>
        </w:rPr>
        <w:t>乙方：</w:t>
      </w:r>
      <w:r>
        <w:rPr>
          <w:rFonts w:hint="eastAsia" w:ascii="仿宋" w:hAnsi="仿宋" w:eastAsia="仿宋" w:cs="仿宋"/>
          <w:b/>
          <w:bCs/>
          <w:sz w:val="28"/>
          <w:szCs w:val="22"/>
          <w:highlight w:val="none"/>
          <w:u w:val="single"/>
        </w:rPr>
        <w:t xml:space="preserve">                            </w:t>
      </w:r>
    </w:p>
    <w:p w14:paraId="4428806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b/>
          <w:bCs/>
          <w:sz w:val="28"/>
          <w:highlight w:val="none"/>
        </w:rPr>
      </w:pPr>
    </w:p>
    <w:p w14:paraId="0FFC2210">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b/>
          <w:bCs/>
          <w:sz w:val="21"/>
          <w:szCs w:val="28"/>
          <w:highlight w:val="none"/>
        </w:rPr>
      </w:pPr>
      <w:r>
        <w:rPr>
          <w:rFonts w:hint="eastAsia" w:ascii="仿宋" w:hAnsi="仿宋" w:eastAsia="仿宋" w:cs="仿宋"/>
          <w:b/>
          <w:bCs/>
          <w:sz w:val="32"/>
          <w:szCs w:val="28"/>
          <w:highlight w:val="none"/>
        </w:rPr>
        <w:t>二〇二</w:t>
      </w:r>
      <w:r>
        <w:rPr>
          <w:rFonts w:hint="eastAsia" w:ascii="仿宋" w:hAnsi="仿宋" w:eastAsia="仿宋" w:cs="仿宋"/>
          <w:b/>
          <w:bCs/>
          <w:sz w:val="32"/>
          <w:szCs w:val="28"/>
          <w:highlight w:val="none"/>
          <w:lang w:val="en-US" w:eastAsia="zh-CN"/>
        </w:rPr>
        <w:t>六</w:t>
      </w:r>
      <w:r>
        <w:rPr>
          <w:rFonts w:hint="eastAsia" w:ascii="仿宋" w:hAnsi="仿宋" w:eastAsia="仿宋" w:cs="仿宋"/>
          <w:b/>
          <w:bCs/>
          <w:sz w:val="32"/>
          <w:szCs w:val="28"/>
          <w:highlight w:val="none"/>
        </w:rPr>
        <w:t>年</w:t>
      </w:r>
      <w:r>
        <w:rPr>
          <w:rFonts w:hint="eastAsia" w:ascii="仿宋" w:hAnsi="仿宋" w:eastAsia="仿宋" w:cs="仿宋"/>
          <w:b/>
          <w:bCs/>
          <w:sz w:val="32"/>
          <w:szCs w:val="28"/>
          <w:highlight w:val="none"/>
          <w:lang w:val="en-US" w:eastAsia="zh-CN"/>
        </w:rPr>
        <w:t xml:space="preserve">   </w:t>
      </w:r>
      <w:r>
        <w:rPr>
          <w:rFonts w:hint="eastAsia" w:ascii="仿宋" w:hAnsi="仿宋" w:eastAsia="仿宋" w:cs="仿宋"/>
          <w:b/>
          <w:bCs/>
          <w:sz w:val="32"/>
          <w:szCs w:val="28"/>
          <w:highlight w:val="none"/>
        </w:rPr>
        <w:t>月</w:t>
      </w:r>
    </w:p>
    <w:p w14:paraId="2ADA2984">
      <w:pPr>
        <w:keepNext w:val="0"/>
        <w:keepLines w:val="0"/>
        <w:pageBreakBefore w:val="0"/>
        <w:widowControl/>
        <w:wordWrap/>
        <w:overflowPunct/>
        <w:topLinePunct w:val="0"/>
        <w:bidi w:val="0"/>
        <w:spacing w:after="0" w:line="360" w:lineRule="auto"/>
        <w:ind w:left="0" w:leftChars="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br w:type="page"/>
      </w:r>
    </w:p>
    <w:p w14:paraId="06DA25EF">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bCs/>
          <w:sz w:val="24"/>
          <w:szCs w:val="24"/>
          <w:highlight w:val="none"/>
          <w:u w:val="single"/>
          <w:lang w:eastAsia="zh-CN"/>
        </w:rPr>
      </w:pPr>
      <w:r>
        <w:rPr>
          <w:rFonts w:hint="eastAsia" w:ascii="仿宋" w:hAnsi="仿宋" w:eastAsia="仿宋" w:cs="仿宋"/>
          <w:bCs/>
          <w:sz w:val="24"/>
          <w:szCs w:val="24"/>
          <w:highlight w:val="none"/>
          <w:lang w:eastAsia="zh-CN"/>
        </w:rPr>
        <w:t>甲方(</w:t>
      </w:r>
      <w:r>
        <w:rPr>
          <w:rFonts w:hint="eastAsia" w:ascii="仿宋" w:hAnsi="仿宋" w:eastAsia="仿宋" w:cs="仿宋"/>
          <w:bCs/>
          <w:sz w:val="24"/>
          <w:szCs w:val="24"/>
          <w:highlight w:val="none"/>
          <w:lang w:val="en-US" w:eastAsia="zh-CN"/>
        </w:rPr>
        <w:t>签约主体</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u w:val="single"/>
          <w:lang w:eastAsia="zh-CN"/>
        </w:rPr>
        <w:t xml:space="preserve">  </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u w:val="single"/>
          <w:lang w:eastAsia="zh-CN"/>
        </w:rPr>
        <w:t xml:space="preserve">   </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u w:val="single"/>
          <w:lang w:eastAsia="zh-CN"/>
        </w:rPr>
        <w:t xml:space="preserve"> </w:t>
      </w:r>
    </w:p>
    <w:p w14:paraId="50812962">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bCs/>
          <w:sz w:val="24"/>
          <w:szCs w:val="24"/>
          <w:highlight w:val="none"/>
          <w:u w:val="single"/>
          <w:lang w:eastAsia="zh-CN"/>
        </w:rPr>
      </w:pPr>
      <w:r>
        <w:rPr>
          <w:rFonts w:hint="eastAsia" w:ascii="仿宋" w:hAnsi="仿宋" w:eastAsia="仿宋" w:cs="仿宋"/>
          <w:bCs/>
          <w:sz w:val="24"/>
          <w:szCs w:val="24"/>
          <w:highlight w:val="none"/>
          <w:lang w:eastAsia="zh-CN"/>
        </w:rPr>
        <w:t>乙方(供应商)：</w:t>
      </w:r>
      <w:r>
        <w:rPr>
          <w:rFonts w:hint="eastAsia" w:ascii="仿宋" w:hAnsi="仿宋" w:eastAsia="仿宋" w:cs="仿宋"/>
          <w:bCs/>
          <w:sz w:val="24"/>
          <w:szCs w:val="24"/>
          <w:highlight w:val="none"/>
          <w:u w:val="single"/>
          <w:lang w:eastAsia="zh-CN"/>
        </w:rPr>
        <w:t xml:space="preserve">                             </w:t>
      </w:r>
    </w:p>
    <w:p w14:paraId="2E1B95C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一、合同服务所需内容及数量（以投标文件正本和澄清表〈函〉为准）</w:t>
      </w:r>
    </w:p>
    <w:tbl>
      <w:tblPr>
        <w:tblStyle w:val="8"/>
        <w:tblW w:w="8673" w:type="dxa"/>
        <w:jc w:val="center"/>
        <w:shd w:val="clear" w:color="auto" w:fill="auto"/>
        <w:tblLayout w:type="autofit"/>
        <w:tblCellMar>
          <w:top w:w="0" w:type="dxa"/>
          <w:left w:w="10" w:type="dxa"/>
          <w:bottom w:w="0" w:type="dxa"/>
          <w:right w:w="10" w:type="dxa"/>
        </w:tblCellMar>
      </w:tblPr>
      <w:tblGrid>
        <w:gridCol w:w="636"/>
        <w:gridCol w:w="1516"/>
        <w:gridCol w:w="1771"/>
        <w:gridCol w:w="1425"/>
        <w:gridCol w:w="926"/>
        <w:gridCol w:w="1324"/>
        <w:gridCol w:w="1075"/>
      </w:tblGrid>
      <w:tr w14:paraId="2B5FFDAF">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BD2A3B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序号</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79BA28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lang w:eastAsia="zh-CN"/>
              </w:rPr>
              <w:t>设备</w:t>
            </w:r>
            <w:r>
              <w:rPr>
                <w:rFonts w:hint="eastAsia" w:ascii="仿宋" w:hAnsi="仿宋" w:eastAsia="仿宋" w:cs="仿宋"/>
                <w:b/>
                <w:color w:val="auto"/>
                <w:sz w:val="20"/>
                <w:szCs w:val="20"/>
              </w:rPr>
              <w:t>名称</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139CC07">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lang w:eastAsia="zh-CN"/>
              </w:rPr>
            </w:pPr>
            <w:r>
              <w:rPr>
                <w:rFonts w:hint="eastAsia" w:ascii="仿宋" w:hAnsi="仿宋" w:eastAsia="仿宋" w:cs="仿宋"/>
                <w:b/>
                <w:color w:val="auto"/>
                <w:sz w:val="20"/>
                <w:szCs w:val="20"/>
              </w:rPr>
              <w:t>品牌</w:t>
            </w:r>
            <w:r>
              <w:rPr>
                <w:rFonts w:hint="eastAsia" w:ascii="仿宋" w:hAnsi="仿宋" w:eastAsia="仿宋" w:cs="仿宋"/>
                <w:b/>
                <w:color w:val="auto"/>
                <w:sz w:val="20"/>
                <w:szCs w:val="20"/>
                <w:lang w:eastAsia="zh-CN"/>
              </w:rPr>
              <w:t>/</w:t>
            </w:r>
            <w:r>
              <w:rPr>
                <w:rFonts w:hint="eastAsia" w:ascii="仿宋" w:hAnsi="仿宋" w:eastAsia="仿宋" w:cs="仿宋"/>
                <w:b/>
                <w:color w:val="auto"/>
                <w:sz w:val="20"/>
                <w:szCs w:val="20"/>
              </w:rPr>
              <w:t>规格</w:t>
            </w:r>
            <w:r>
              <w:rPr>
                <w:rFonts w:hint="eastAsia" w:ascii="仿宋" w:hAnsi="仿宋" w:eastAsia="仿宋" w:cs="仿宋"/>
                <w:b/>
                <w:color w:val="auto"/>
                <w:sz w:val="20"/>
                <w:szCs w:val="20"/>
                <w:lang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5829870">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85F4D4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lang w:eastAsia="zh-CN"/>
              </w:rPr>
            </w:pPr>
            <w:r>
              <w:rPr>
                <w:rFonts w:hint="eastAsia" w:ascii="仿宋" w:hAnsi="仿宋" w:eastAsia="仿宋" w:cs="仿宋"/>
                <w:b/>
                <w:color w:val="auto"/>
                <w:sz w:val="20"/>
                <w:szCs w:val="20"/>
              </w:rPr>
              <w:t>数 量</w:t>
            </w:r>
            <w:r>
              <w:rPr>
                <w:rFonts w:hint="eastAsia" w:ascii="仿宋" w:hAnsi="仿宋" w:eastAsia="仿宋" w:cs="仿宋"/>
                <w:b/>
                <w:color w:val="auto"/>
                <w:sz w:val="20"/>
                <w:szCs w:val="20"/>
                <w:lang w:eastAsia="zh-CN"/>
              </w:rPr>
              <w:t>（台、套）</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15C8AFE">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b/>
                <w:color w:val="auto"/>
                <w:sz w:val="20"/>
                <w:szCs w:val="20"/>
              </w:rPr>
            </w:pPr>
            <w:r>
              <w:rPr>
                <w:rFonts w:hint="eastAsia" w:ascii="仿宋" w:hAnsi="仿宋" w:eastAsia="仿宋" w:cs="仿宋"/>
                <w:b/>
                <w:color w:val="auto"/>
                <w:sz w:val="20"/>
                <w:szCs w:val="20"/>
              </w:rPr>
              <w:t>单 价</w:t>
            </w:r>
          </w:p>
          <w:p w14:paraId="36DD483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（元）</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057E131">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b/>
                <w:color w:val="auto"/>
                <w:sz w:val="20"/>
                <w:szCs w:val="20"/>
              </w:rPr>
            </w:pPr>
            <w:r>
              <w:rPr>
                <w:rFonts w:hint="eastAsia" w:ascii="仿宋" w:hAnsi="仿宋" w:eastAsia="仿宋" w:cs="仿宋"/>
                <w:b/>
                <w:color w:val="auto"/>
                <w:sz w:val="20"/>
                <w:szCs w:val="20"/>
              </w:rPr>
              <w:t>小 计</w:t>
            </w:r>
          </w:p>
          <w:p w14:paraId="461B21E3">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（元）</w:t>
            </w:r>
          </w:p>
        </w:tc>
      </w:tr>
      <w:tr w14:paraId="0135699B">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D11F980">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1</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75D6902">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DCAAE3C">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69264E78">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102EDBE">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1E8516D">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815B9E0">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r>
      <w:tr w14:paraId="6159A2BB">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EE5F1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2</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5D2A6F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72E33C8">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60AC7B2">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E23E2D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B1EBB42">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38D3937">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r>
      <w:tr w14:paraId="269FE7BF">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286430C">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3</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6440985">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2DFB5AD">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4A9A542D">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34D6A9">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0D5383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A7EAC0C">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r>
      <w:tr w14:paraId="14503B86">
        <w:tblPrEx>
          <w:shd w:val="clear" w:color="auto" w:fill="auto"/>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C886759">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4</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09FD41E">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4E1345A">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0C67F729">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BFE973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7028833">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7CBEAC">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r>
      <w:tr w14:paraId="02BEB4C4">
        <w:tblPrEx>
          <w:shd w:val="clear" w:color="auto" w:fill="auto"/>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5E40903">
            <w:pPr>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0"/>
                <w:szCs w:val="20"/>
                <w:lang w:eastAsia="zh-CN"/>
              </w:rPr>
            </w:pPr>
            <w:r>
              <w:rPr>
                <w:rFonts w:hint="eastAsia" w:ascii="仿宋" w:hAnsi="仿宋" w:eastAsia="仿宋" w:cs="仿宋"/>
                <w:b/>
                <w:color w:val="auto"/>
                <w:sz w:val="20"/>
                <w:szCs w:val="20"/>
                <w:lang w:eastAsia="zh-CN"/>
              </w:rPr>
              <w:t xml:space="preserve"> 合计总价（人民币大写 ）：                         （小写）　:              元</w:t>
            </w:r>
          </w:p>
        </w:tc>
      </w:tr>
      <w:tr w14:paraId="262BBF4D">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93BC69D">
            <w:pPr>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0"/>
                <w:szCs w:val="20"/>
                <w:lang w:eastAsia="zh-CN"/>
              </w:rPr>
            </w:pPr>
            <w:r>
              <w:rPr>
                <w:rFonts w:hint="eastAsia" w:ascii="仿宋" w:hAnsi="仿宋" w:eastAsia="仿宋" w:cs="仿宋"/>
                <w:bCs/>
                <w:color w:val="auto"/>
                <w:sz w:val="20"/>
                <w:szCs w:val="20"/>
                <w:lang w:eastAsia="zh-CN"/>
              </w:rPr>
              <w:t>注：以上价款均包含货物费(含备品备件费)、包装费、运杂费(含搬运、装卸、保险费等)、工程费、材料费、全部税费、安装调试费等相关费用。</w:t>
            </w:r>
          </w:p>
        </w:tc>
      </w:tr>
    </w:tbl>
    <w:p w14:paraId="61695A3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二、合同价款</w:t>
      </w:r>
    </w:p>
    <w:p w14:paraId="42716A6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（一）合同总价款为人民币（大写）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w:t>
      </w:r>
    </w:p>
    <w:p w14:paraId="6559CEF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（二）合同总价包括：完成本次采购货物（货物本体及附件、备品备件及专用工具）的供货、安装（包含所需的配件及辅材等）、调试、验收、培训、售后服务及税金等一切费用。</w:t>
      </w:r>
    </w:p>
    <w:p w14:paraId="04C7453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（三）合同总价一次性包死，不受市场价格变化因素的影响。</w:t>
      </w:r>
    </w:p>
    <w:p w14:paraId="5710BDE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三、款项结算</w:t>
      </w:r>
    </w:p>
    <w:p w14:paraId="07E25C4D">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highlight w:val="none"/>
        </w:rPr>
        <w:t>（一）货物安</w:t>
      </w:r>
      <w:r>
        <w:rPr>
          <w:rFonts w:hint="eastAsia" w:ascii="仿宋" w:hAnsi="仿宋" w:eastAsia="仿宋" w:cs="仿宋"/>
          <w:color w:val="auto"/>
          <w:sz w:val="24"/>
          <w:szCs w:val="24"/>
        </w:rPr>
        <w:t>装完毕，买方组织验收。</w:t>
      </w:r>
    </w:p>
    <w:p w14:paraId="27AB0071">
      <w:pPr>
        <w:pStyle w:val="13"/>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（二）付款方式：</w:t>
      </w:r>
    </w:p>
    <w:p w14:paraId="35944EDE">
      <w:pPr>
        <w:pStyle w:val="13"/>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签订合同后，达到付款条件起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日内，支付合同总金额的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w:t>
      </w:r>
    </w:p>
    <w:p w14:paraId="5818975F">
      <w:pPr>
        <w:pStyle w:val="13"/>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验收合格后，达到付款条件起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日内，支付合同总金额的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w:t>
      </w:r>
    </w:p>
    <w:p w14:paraId="2BA71D2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rPr>
        <w:t>（三）</w:t>
      </w:r>
      <w:r>
        <w:rPr>
          <w:rFonts w:hint="eastAsia" w:ascii="仿宋" w:hAnsi="仿宋" w:eastAsia="仿宋" w:cs="仿宋"/>
          <w:color w:val="auto"/>
          <w:sz w:val="24"/>
          <w:szCs w:val="24"/>
          <w:highlight w:val="none"/>
        </w:rPr>
        <w:t>支付方式：银行转账。</w:t>
      </w:r>
    </w:p>
    <w:p w14:paraId="33163161">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（四）结算方式：验收合格后填写政府采购项目验收单（一式五份），发票（按合同总价直开采购人），供应商持成交通知书、供货合同、发票、政府采购项目验收单，与采购人结算。</w:t>
      </w:r>
    </w:p>
    <w:p w14:paraId="4FF290D4">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highlight w:val="none"/>
        </w:rPr>
        <w:t>四、双方的</w:t>
      </w:r>
      <w:r>
        <w:rPr>
          <w:rFonts w:hint="eastAsia" w:ascii="仿宋" w:hAnsi="仿宋" w:eastAsia="仿宋" w:cs="仿宋"/>
          <w:color w:val="auto"/>
          <w:sz w:val="24"/>
          <w:szCs w:val="24"/>
        </w:rPr>
        <w:t>权利和义务</w:t>
      </w:r>
    </w:p>
    <w:p w14:paraId="19FBDB4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（一）甲方的权利和义务</w:t>
      </w:r>
    </w:p>
    <w:p w14:paraId="3AADC666">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甲方权利：组织使用单位严格按照招标文件及投标文件要求和标准验收货物。</w:t>
      </w:r>
    </w:p>
    <w:p w14:paraId="3095BC1F">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甲方义务：积极配合乙方验收、安装、调试工作。</w:t>
      </w:r>
    </w:p>
    <w:p w14:paraId="6B10556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（二）乙方的权利和义务</w:t>
      </w:r>
    </w:p>
    <w:p w14:paraId="12114663">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乙方权利：按照合同约定要求甲方及时付款。</w:t>
      </w:r>
    </w:p>
    <w:p w14:paraId="7FC22B0C">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乙方义务：按照合同约定时间，按甲方指定地点提供货物，配合验收工作。</w:t>
      </w:r>
    </w:p>
    <w:p w14:paraId="51A686D8">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五、交付条件：</w:t>
      </w:r>
    </w:p>
    <w:p w14:paraId="4666A4AF">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w:t>
      </w:r>
      <w:r>
        <w:rPr>
          <w:rFonts w:hint="eastAsia" w:ascii="仿宋" w:hAnsi="仿宋" w:eastAsia="仿宋" w:cs="仿宋"/>
          <w:color w:val="auto"/>
          <w:sz w:val="24"/>
          <w:szCs w:val="24"/>
          <w:lang w:val="en-US" w:eastAsia="zh-CN"/>
        </w:rPr>
        <w:t>供货</w:t>
      </w:r>
      <w:r>
        <w:rPr>
          <w:rFonts w:hint="eastAsia" w:ascii="仿宋" w:hAnsi="仿宋" w:eastAsia="仿宋" w:cs="仿宋"/>
          <w:color w:val="auto"/>
          <w:sz w:val="24"/>
          <w:szCs w:val="24"/>
        </w:rPr>
        <w:t>地点：采购人指定地点</w:t>
      </w:r>
    </w:p>
    <w:p w14:paraId="3FA8874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（二）交货期：</w:t>
      </w:r>
    </w:p>
    <w:p w14:paraId="1BB5115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六、包装、运输、安装、调试及培训</w:t>
      </w:r>
    </w:p>
    <w:p w14:paraId="0713512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（一）包装：应采取防潮、防晒、防腐蚀、防震动及防止其它损坏的必要措施。中标供应商应承担由于其包装或防护措施不妥而引起的货物锈蚀、损坏和丢失等任何损失造成的责任或费用。</w:t>
      </w:r>
    </w:p>
    <w:p w14:paraId="599A002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（二）运输：选择运输风险小、运费低、距离短的运输路线。运杂费一次包死在总价内，包括生产厂到施工现场所需的装卸、运输（含保险费）、现场保管费、二次倒运费、吊装费等费用。</w:t>
      </w:r>
    </w:p>
    <w:p w14:paraId="5D56727D">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安装、调试及培训：乙方负责所有设备的安装、调试、培训工作，所有费用一次包死在总价内。每套设备安装调试完毕后，乙方必须安排技术人员对使用单位的设备管理人员进行操作应用及维护保养方面的技能培训，使其掌握基本技能。</w:t>
      </w:r>
    </w:p>
    <w:p w14:paraId="49E6BE6E">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七、质量保证</w:t>
      </w:r>
    </w:p>
    <w:p w14:paraId="16AF5A9E">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（一）质保期为终验合格后不少于</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个月（参数中有具体要求的，按参数要求提供质保）。乙方承诺的质保时间超过招标文件要求的，按其承诺时间质保。</w:t>
      </w:r>
    </w:p>
    <w:p w14:paraId="1E41AA0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（二）乙方承诺的质保期起始时间为终验合格之日。</w:t>
      </w:r>
    </w:p>
    <w:p w14:paraId="7F96719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（三）所有产品质量必须符合国家有关规范和相关政策。所有设备及辅材必须是未使用过的新产品，质量优良、渠道正当，配置合理。</w:t>
      </w:r>
    </w:p>
    <w:p w14:paraId="1556B188">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（四）质保期出现的质量问题由乙方负责解决并承担所有费用。质保期后如需更换零部件，乙方应以优惠价提供。</w:t>
      </w:r>
    </w:p>
    <w:p w14:paraId="2CD959A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八、售后服务</w:t>
      </w:r>
    </w:p>
    <w:p w14:paraId="4126F416">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乙方所供货物提供以下售后服务：</w:t>
      </w:r>
    </w:p>
    <w:p w14:paraId="1B74617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（一）质保期内：</w:t>
      </w:r>
    </w:p>
    <w:p w14:paraId="6BD8BEF4">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1、来电话咨询的售后服务需求即时解答处理。</w:t>
      </w:r>
    </w:p>
    <w:p w14:paraId="2C4D866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2、出现问题需要上门售后服务的，在    个小时内响应委派专业人员上门解决处理问题。（二）质保期结束前，进行必要的全面保养维护，确保正常运行。</w:t>
      </w:r>
    </w:p>
    <w:p w14:paraId="290058DF">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（三）质保期后如需更换零部件，乙方应以优惠价提供。</w:t>
      </w:r>
    </w:p>
    <w:p w14:paraId="7FB0B8C1">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九、技术与服务</w:t>
      </w:r>
    </w:p>
    <w:p w14:paraId="6D58140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（一）技术资料：</w:t>
      </w:r>
    </w:p>
    <w:p w14:paraId="79CDF78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1、货物合格证；</w:t>
      </w:r>
    </w:p>
    <w:p w14:paraId="5A0374B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2、货物使用说明书（中文）；</w:t>
      </w:r>
    </w:p>
    <w:p w14:paraId="023660C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3、项目</w:t>
      </w:r>
      <w:r>
        <w:rPr>
          <w:rFonts w:hint="eastAsia" w:ascii="仿宋" w:hAnsi="仿宋" w:eastAsia="仿宋" w:cs="仿宋"/>
          <w:color w:val="auto"/>
          <w:sz w:val="24"/>
          <w:szCs w:val="24"/>
          <w:lang w:val="en-US" w:eastAsia="zh-CN"/>
        </w:rPr>
        <w:t>竣</w:t>
      </w:r>
      <w:r>
        <w:rPr>
          <w:rFonts w:hint="eastAsia" w:ascii="仿宋" w:hAnsi="仿宋" w:eastAsia="仿宋" w:cs="仿宋"/>
          <w:color w:val="auto"/>
          <w:sz w:val="24"/>
          <w:szCs w:val="24"/>
        </w:rPr>
        <w:t>工资料、检验测试报告；</w:t>
      </w:r>
    </w:p>
    <w:p w14:paraId="080182E4">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4、其它资料。</w:t>
      </w:r>
    </w:p>
    <w:p w14:paraId="2E1B8506">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（二）服务承诺：</w:t>
      </w:r>
    </w:p>
    <w:p w14:paraId="1DC5536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1、设备（产品）安装、调试和验收：提供设备（产品）现场安装、调试，设备（产品）安装调试应在规定时间内完成；</w:t>
      </w:r>
    </w:p>
    <w:p w14:paraId="46E1371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2、培训要求：安装验收后，乙方在使用单位所在地对使用单位进行设备（产品）操作和日常维护的现场培训。包括设备（产品）原理、使用方法和维护方法等；</w:t>
      </w:r>
    </w:p>
    <w:p w14:paraId="17210F2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3、以投标文件、澄清表（函）、合同和随货物的相关文件为准。</w:t>
      </w:r>
    </w:p>
    <w:p w14:paraId="2AB23E6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十、知识产权</w:t>
      </w:r>
    </w:p>
    <w:p w14:paraId="0EA635D1">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1、乙方应保证在本项目使用的任何货物和服务（包括部分使用）时，不会产生因第三方提出侵犯其专利权、商标权或其它知识产权而引起的法律和经济纠纷，如因专利权、商标权或其它知识产权而引起法律纠纷和经济纠纷，由乙方承担所有相关责任。</w:t>
      </w:r>
    </w:p>
    <w:p w14:paraId="7EC28BD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2、乙方如欲在项目实施过程中采用自有知识成果，提供相关知识产权证明文件。使用该知识成果后，乙方须提供开发接口和开发手册等技术文档，并承诺提供无限期技术支持，甲方享有永久使用权。</w:t>
      </w:r>
    </w:p>
    <w:p w14:paraId="37556DC6">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十一、违约责任</w:t>
      </w:r>
    </w:p>
    <w:p w14:paraId="351C5F4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（一）按《</w:t>
      </w:r>
      <w:r>
        <w:rPr>
          <w:rFonts w:hint="eastAsia" w:ascii="仿宋" w:hAnsi="仿宋" w:eastAsia="仿宋" w:cs="仿宋"/>
          <w:color w:val="auto"/>
          <w:sz w:val="24"/>
          <w:szCs w:val="24"/>
          <w:lang w:val="en-US" w:eastAsia="zh-CN"/>
        </w:rPr>
        <w:t>中华人民共和国</w:t>
      </w:r>
      <w:r>
        <w:rPr>
          <w:rFonts w:hint="eastAsia" w:ascii="仿宋" w:hAnsi="仿宋" w:eastAsia="仿宋" w:cs="仿宋"/>
          <w:color w:val="auto"/>
          <w:sz w:val="24"/>
          <w:szCs w:val="24"/>
        </w:rPr>
        <w:t>政府采购法》、《</w:t>
      </w:r>
      <w:r>
        <w:rPr>
          <w:rFonts w:hint="eastAsia" w:ascii="仿宋" w:hAnsi="仿宋" w:eastAsia="仿宋" w:cs="仿宋"/>
          <w:color w:val="auto"/>
          <w:sz w:val="24"/>
          <w:szCs w:val="24"/>
          <w:lang w:val="en-US" w:eastAsia="zh-CN"/>
        </w:rPr>
        <w:t>中华人民共和国民法典</w:t>
      </w:r>
      <w:r>
        <w:rPr>
          <w:rFonts w:hint="eastAsia" w:ascii="仿宋" w:hAnsi="仿宋" w:eastAsia="仿宋" w:cs="仿宋"/>
          <w:color w:val="auto"/>
          <w:sz w:val="24"/>
          <w:szCs w:val="24"/>
        </w:rPr>
        <w:t>》中的相关条款执行。</w:t>
      </w:r>
    </w:p>
    <w:p w14:paraId="5104B206">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（二）未按合同要求提供货物或质量不能满足招标技术要求，乙方必须无条件更换，提高技术，完善质量，否则，甲方有权终止合同，并对乙方的违约行为报监管机构进行相应的处罚。</w:t>
      </w:r>
    </w:p>
    <w:p w14:paraId="297EE9E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如乙方未按合同规定的时间按期交付（本合同第十三款规定的不可抗力除外），在乙方同意支付核定损失额的条件下，甲方如同意延长交付期，核定损失额比率为每迟交7天（一周），按迟交付物金额的1%，不满7天按7天计算，但是，核定损失额的支付不得超过迟交付物部分合同金额的10%。如果中标供应商在达到核定损失额的最高限额后仍不能交付，采购人有权因乙方违约终止合同，而乙方仍有义务支付上述迟交核定损失金额。</w:t>
      </w:r>
    </w:p>
    <w:p w14:paraId="02CDC95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十二、不可抗力</w:t>
      </w:r>
    </w:p>
    <w:p w14:paraId="2F1118FF">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签约双方任何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w:t>
      </w:r>
    </w:p>
    <w:p w14:paraId="00E52D2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（二）受阻一方应在不可抗力事件发生后尽快用电报、传真或电传通知对方，并于事件发生后14天内将有关部门出具的证明文件用特快专递或挂号信寄给对方审阅确认。一旦不可抗力事件的影响持续120天以上， 双方应通过友好协商在合理的时间内达成进一步履行合同的协议。</w:t>
      </w:r>
    </w:p>
    <w:p w14:paraId="415FA7A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十三、合同实施</w:t>
      </w:r>
    </w:p>
    <w:p w14:paraId="387C144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（一）乙方应在合同签订后7个日历日内安排人员（项目组成人员简历表所列）与使用单位就送货、培训等工作进行安排、部署。</w:t>
      </w:r>
    </w:p>
    <w:p w14:paraId="36D00C7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（二）若未能在交付期内完成合同规定的义务，由此对甲方造成的延误和一切损失，由乙方承担和赔偿。</w:t>
      </w:r>
    </w:p>
    <w:p w14:paraId="7ED8870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十四、合同争议解决的方式</w:t>
      </w:r>
    </w:p>
    <w:p w14:paraId="054DB0E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本合同在履行过程中发生的争议，由甲、乙双方当事人协商解决，协商不成的按下列第（二）种方式解决：</w:t>
      </w:r>
    </w:p>
    <w:p w14:paraId="3604B99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（1）向甲方所在地有管辖权的人民法院提起诉讼；</w:t>
      </w:r>
    </w:p>
    <w:p w14:paraId="01352CB1">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（2）向西安仲裁委员会按其仲裁规则申请仲裁。</w:t>
      </w:r>
    </w:p>
    <w:p w14:paraId="4DCA3B5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十五、合同生效</w:t>
      </w:r>
    </w:p>
    <w:p w14:paraId="293821C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本合同一式</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份，甲方执</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份，乙方执</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份、采购代理机构执壹份，陕西省财政厅政府采购管理处备案  份，本合同甲、乙方签字盖章后生效，合同执行完毕后，自动失效（合同的服务承诺则长期有效）。</w:t>
      </w:r>
    </w:p>
    <w:p w14:paraId="1A6E080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（一）西安市</w:t>
      </w:r>
      <w:r>
        <w:rPr>
          <w:rFonts w:hint="eastAsia" w:ascii="仿宋" w:hAnsi="仿宋" w:eastAsia="仿宋" w:cs="仿宋"/>
          <w:color w:val="auto"/>
          <w:sz w:val="24"/>
          <w:szCs w:val="24"/>
          <w:lang w:val="en-US" w:eastAsia="zh-CN"/>
        </w:rPr>
        <w:t>西安市</w:t>
      </w:r>
      <w:r>
        <w:rPr>
          <w:rFonts w:hint="eastAsia" w:ascii="仿宋" w:hAnsi="仿宋" w:eastAsia="仿宋" w:cs="仿宋"/>
          <w:color w:val="auto"/>
          <w:sz w:val="24"/>
          <w:szCs w:val="24"/>
        </w:rPr>
        <w:t>财政局采购中心在合同的履行期间以及履行期后，可以随时检查项目的执行情况，对采购内容、标准进行调查核实，并对发现的问题进行处理。</w:t>
      </w:r>
    </w:p>
    <w:p w14:paraId="3012545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（二）招标文件、投标文件、澄清表（函）、中标通知书、合同附件均成为合同不可分割的部分。</w:t>
      </w:r>
    </w:p>
    <w:p w14:paraId="2B85B16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（三）合同未尽事宜，由甲、乙、丙双方协商并确认后，作为合同补充，与原合同具有同等法律效力。</w:t>
      </w:r>
    </w:p>
    <w:p w14:paraId="5381DA64">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（四）合同一经签订，不得擅自变更、中止或终止合同。对确需变更、调整或中止、终止合同的，应按规定履行相应的手续。</w:t>
      </w:r>
    </w:p>
    <w:p w14:paraId="23254C4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（五）本合同按照中华人民共和国的现行法律进行解释。</w:t>
      </w:r>
    </w:p>
    <w:p w14:paraId="0FCCE45A">
      <w:pPr>
        <w:pStyle w:val="7"/>
        <w:keepNext w:val="0"/>
        <w:keepLines w:val="0"/>
        <w:pageBreakBefore w:val="0"/>
        <w:widowControl/>
        <w:wordWrap/>
        <w:overflowPunct/>
        <w:topLinePunct w:val="0"/>
        <w:bidi w:val="0"/>
        <w:spacing w:before="0" w:beforeAutospacing="0" w:after="0" w:afterAutospacing="0" w:line="360" w:lineRule="auto"/>
        <w:ind w:left="0" w:leftChars="0"/>
        <w:rPr>
          <w:rFonts w:hint="eastAsia" w:ascii="仿宋" w:hAnsi="仿宋" w:eastAsia="仿宋" w:cs="仿宋"/>
          <w:b/>
          <w:kern w:val="2"/>
          <w:sz w:val="24"/>
          <w:szCs w:val="24"/>
          <w:highlight w:val="none"/>
          <w:lang w:eastAsia="zh-CN"/>
        </w:rPr>
      </w:pPr>
      <w:r>
        <w:rPr>
          <w:rFonts w:hint="eastAsia" w:ascii="仿宋" w:hAnsi="仿宋" w:eastAsia="仿宋" w:cs="仿宋"/>
          <w:b/>
          <w:kern w:val="2"/>
          <w:sz w:val="24"/>
          <w:szCs w:val="24"/>
          <w:highlight w:val="none"/>
          <w:lang w:eastAsia="zh-CN"/>
        </w:rPr>
        <w:t>（此文以下无正文）</w:t>
      </w:r>
    </w:p>
    <w:p w14:paraId="6A942BD7">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(签署页）</w:t>
      </w:r>
    </w:p>
    <w:p w14:paraId="4B0F262D">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p>
    <w:p w14:paraId="5A494711">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p>
    <w:p w14:paraId="60FA865F">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甲方（盖章）：                     乙方（盖章）：             </w:t>
      </w:r>
    </w:p>
    <w:p w14:paraId="542873E8">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单位名称：                        单位名称：                   </w:t>
      </w:r>
    </w:p>
    <w:p w14:paraId="6974BE8F">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单位地址：                        单位地址：                  </w:t>
      </w:r>
    </w:p>
    <w:p w14:paraId="19A97415">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分管领导：                        法定代表人                   </w:t>
      </w:r>
    </w:p>
    <w:p w14:paraId="3A5E18BB">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                                  或委托代理人：              </w:t>
      </w:r>
    </w:p>
    <w:p w14:paraId="71435B79">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科室负责人：                      联系电话：                  </w:t>
      </w:r>
    </w:p>
    <w:p w14:paraId="7D3E2E89">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经办人：                          开户银行：                  </w:t>
      </w:r>
    </w:p>
    <w:p w14:paraId="578D571A">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联系电话：                        账    号：                 </w:t>
      </w:r>
    </w:p>
    <w:p w14:paraId="4519698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D4AE9"/>
    <w:rsid w:val="15D108D7"/>
    <w:rsid w:val="1C713A53"/>
    <w:rsid w:val="207A46D8"/>
    <w:rsid w:val="274165B9"/>
    <w:rsid w:val="2B844BD7"/>
    <w:rsid w:val="31C30AAC"/>
    <w:rsid w:val="32C45AE9"/>
    <w:rsid w:val="38E75486"/>
    <w:rsid w:val="40520CAD"/>
    <w:rsid w:val="446505DB"/>
    <w:rsid w:val="4A1377CB"/>
    <w:rsid w:val="6764287B"/>
    <w:rsid w:val="72813B63"/>
    <w:rsid w:val="7CC83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after="160"/>
      <w:textAlignment w:val="baseline"/>
    </w:pPr>
    <w:rPr>
      <w:rFonts w:ascii="Arial" w:hAnsi="Arial" w:eastAsia="Arial" w:cs="Arial"/>
      <w:snapToGrid w:val="0"/>
      <w:color w:val="000000"/>
      <w:sz w:val="21"/>
      <w:szCs w:val="21"/>
      <w:lang w:val="en-US" w:eastAsia="en-US" w:bidi="ar-SA"/>
    </w:rPr>
  </w:style>
  <w:style w:type="paragraph" w:styleId="4">
    <w:name w:val="heading 1"/>
    <w:basedOn w:val="1"/>
    <w:next w:val="1"/>
    <w:link w:val="10"/>
    <w:qFormat/>
    <w:uiPriority w:val="0"/>
    <w:pPr>
      <w:spacing w:line="590" w:lineRule="exact"/>
      <w:ind w:left="3"/>
      <w:outlineLvl w:val="0"/>
    </w:pPr>
    <w:rPr>
      <w:rFonts w:ascii="Microsoft JhengHei" w:hAnsi="Microsoft JhengHei" w:eastAsia="宋体" w:cs="Microsoft JhengHei"/>
      <w:b/>
      <w:bCs/>
      <w:sz w:val="32"/>
      <w:szCs w:val="44"/>
      <w:lang w:eastAsia="en-US"/>
    </w:rPr>
  </w:style>
  <w:style w:type="paragraph" w:styleId="5">
    <w:name w:val="heading 2"/>
    <w:basedOn w:val="1"/>
    <w:next w:val="1"/>
    <w:link w:val="11"/>
    <w:semiHidden/>
    <w:unhideWhenUsed/>
    <w:qFormat/>
    <w:uiPriority w:val="0"/>
    <w:pPr>
      <w:keepNext/>
      <w:keepLines/>
      <w:adjustRightInd w:val="0"/>
      <w:snapToGrid w:val="0"/>
      <w:spacing w:before="50" w:beforeLines="50" w:after="50" w:afterLines="50" w:line="360" w:lineRule="auto"/>
      <w:jc w:val="center"/>
      <w:outlineLvl w:val="1"/>
    </w:pPr>
    <w:rPr>
      <w:rFonts w:ascii="Arial" w:hAnsi="Arial" w:eastAsia="宋体"/>
      <w:b/>
      <w:bCs/>
      <w:sz w:val="30"/>
      <w:szCs w:val="32"/>
    </w:rPr>
  </w:style>
  <w:style w:type="paragraph" w:styleId="6">
    <w:name w:val="heading 3"/>
    <w:basedOn w:val="1"/>
    <w:next w:val="1"/>
    <w:link w:val="12"/>
    <w:semiHidden/>
    <w:unhideWhenUsed/>
    <w:qFormat/>
    <w:uiPriority w:val="0"/>
    <w:pPr>
      <w:keepNext/>
      <w:keepLines/>
      <w:adjustRightInd w:val="0"/>
      <w:snapToGrid w:val="0"/>
      <w:spacing w:before="50" w:beforeLines="50" w:after="50" w:afterLines="50" w:line="360" w:lineRule="auto"/>
      <w:outlineLvl w:val="2"/>
    </w:pPr>
    <w:rPr>
      <w:rFonts w:ascii="Times New Roman" w:hAnsi="Times New Roman" w:eastAsia="宋体"/>
      <w:b/>
      <w:bCs/>
      <w:sz w:val="28"/>
      <w:szCs w:val="21"/>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480"/>
    </w:pPr>
    <w:rPr>
      <w:rFonts w:ascii="宋体" w:hAnsi="宋体"/>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标题 1 Char"/>
    <w:basedOn w:val="9"/>
    <w:link w:val="4"/>
    <w:qFormat/>
    <w:uiPriority w:val="0"/>
    <w:rPr>
      <w:rFonts w:eastAsia="宋体" w:asciiTheme="majorAscii" w:hAnsiTheme="majorAscii" w:cstheme="majorBidi"/>
      <w:b/>
      <w:bCs/>
      <w:snapToGrid w:val="0"/>
      <w:color w:val="2E54A1" w:themeColor="accent1" w:themeShade="BF"/>
      <w:kern w:val="0"/>
      <w:sz w:val="32"/>
      <w:szCs w:val="28"/>
      <w:lang w:eastAsia="en-US"/>
    </w:rPr>
  </w:style>
  <w:style w:type="character" w:customStyle="1" w:styleId="11">
    <w:name w:val="标题 2 Char"/>
    <w:link w:val="5"/>
    <w:uiPriority w:val="0"/>
    <w:rPr>
      <w:rFonts w:ascii="Arial" w:hAnsi="Arial" w:eastAsia="宋体"/>
      <w:b/>
      <w:bCs/>
      <w:kern w:val="2"/>
      <w:sz w:val="30"/>
      <w:szCs w:val="32"/>
      <w:lang w:val="en-US" w:eastAsia="zh-CN" w:bidi="ar-SA"/>
    </w:rPr>
  </w:style>
  <w:style w:type="character" w:customStyle="1" w:styleId="12">
    <w:name w:val="标题 3 Char"/>
    <w:basedOn w:val="9"/>
    <w:link w:val="6"/>
    <w:uiPriority w:val="0"/>
    <w:rPr>
      <w:rFonts w:ascii="Times New Roman" w:hAnsi="Times New Roman" w:eastAsia="宋体"/>
      <w:b/>
      <w:bCs/>
      <w:kern w:val="2"/>
      <w:sz w:val="28"/>
      <w:szCs w:val="21"/>
      <w:lang w:val="en-US" w:eastAsia="zh-CN" w:bidi="ar-SA"/>
    </w:rPr>
  </w:style>
  <w:style w:type="paragraph" w:customStyle="1" w:styleId="13">
    <w:name w:val="null3"/>
    <w:hidden/>
    <w:qFormat/>
    <w:uiPriority w:val="0"/>
    <w:pPr>
      <w:spacing w:after="160" w:line="278" w:lineRule="auto"/>
    </w:pPr>
    <w:rPr>
      <w:rFonts w:hint="eastAsia" w:asciiTheme="minorHAnsi" w:hAnsiTheme="minorHAnsi" w:eastAsiaTheme="minorEastAsia" w:cstheme="minorBidi"/>
      <w:lang w:val="en-US" w:eastAsia="zh-Hans" w:bidi="ar-SA"/>
    </w:rPr>
  </w:style>
  <w:style w:type="paragraph" w:customStyle="1" w:styleId="14">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2022-12-06T08:16:00Z</dcterms:created>
  <dc:creator>as</dc:creator>
  <cp:lastModifiedBy>PC</cp:lastModifiedBy>
  <dcterms:modified xsi:type="dcterms:W3CDTF">2026-05-09T06:11:42Z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19266BC65D8F444482BCDB7445AF9F91</vt:lpwstr>
  </property>
  <property fmtid="{D5CDD505-2E9C-101B-9397-08002B2CF9AE}" pid="4" name="KSOTemplateDocerSaveRecord">
    <vt:lpwstr>eyJoZGlkIjoiZGIyZWFjZjY0ZWZiZjg3MzNhZDk4MzNjN2VlNmViNGQiLCJ1c2VySWQiOiIzMTU4MzgxNTQifQ==</vt:lpwstr>
  </property>
</Properties>
</file>