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5B6FA4">
      <w:pPr>
        <w:pStyle w:val="4"/>
        <w:outlineLvl w:val="2"/>
        <w:rPr>
          <w:rFonts w:hint="default" w:ascii="仿宋" w:hAnsi="仿宋" w:eastAsia="仿宋" w:cs="仿宋"/>
          <w:b/>
          <w:sz w:val="28"/>
          <w:lang w:eastAsia="zh-CN"/>
        </w:rPr>
      </w:pPr>
      <w:bookmarkStart w:id="0" w:name="_Toc210126361"/>
      <w:r>
        <w:rPr>
          <w:rFonts w:ascii="仿宋" w:hAnsi="仿宋" w:eastAsia="仿宋" w:cs="仿宋"/>
          <w:b/>
          <w:sz w:val="28"/>
          <w:lang w:eastAsia="zh-CN"/>
        </w:rPr>
        <w:t>1</w:t>
      </w:r>
      <w:r>
        <w:rPr>
          <w:rFonts w:hint="eastAsia" w:ascii="仿宋" w:hAnsi="仿宋" w:eastAsia="仿宋" w:cs="仿宋"/>
          <w:b/>
          <w:sz w:val="28"/>
          <w:lang w:val="en-US" w:eastAsia="zh-CN"/>
        </w:rPr>
        <w:t>.</w:t>
      </w:r>
      <w:r>
        <w:rPr>
          <w:rFonts w:ascii="仿宋" w:hAnsi="仿宋" w:eastAsia="仿宋" w:cs="仿宋"/>
          <w:b/>
          <w:sz w:val="28"/>
          <w:lang w:eastAsia="zh-CN"/>
        </w:rPr>
        <w:t>采购项目概况：</w:t>
      </w:r>
      <w:bookmarkEnd w:id="0"/>
    </w:p>
    <w:p w14:paraId="78CCCE32">
      <w:pPr>
        <w:pStyle w:val="4"/>
        <w:ind w:firstLine="400" w:firstLineChars="200"/>
        <w:rPr>
          <w:rFonts w:hint="default" w:ascii="仿宋" w:hAnsi="仿宋" w:eastAsia="仿宋" w:cs="仿宋"/>
          <w:lang w:eastAsia="zh-CN"/>
        </w:rPr>
      </w:pPr>
      <w:bookmarkStart w:id="1" w:name="_Toc210126362"/>
      <w:r>
        <w:rPr>
          <w:rFonts w:hint="default" w:ascii="仿宋" w:hAnsi="仿宋" w:eastAsia="仿宋" w:cs="仿宋"/>
          <w:lang w:eastAsia="zh-CN"/>
        </w:rPr>
        <w:t>本项目是西安石油大学石油与天然气工程学科创新平台重大设备更新项目的重要部分，旨在建设一套面向油气储运过程的多相流动测试与智能控制系统，突破传统点测量方法的局限，实现管道截面全域流场的非介入式精细测试，为多相流动机理研究提供高保真实验数据；构建高精度、快响应的流量调控与远程监控能力，支撑多相混输管路在变工况条件下的流动保障与控制策略研究。为核心课程提供高水平的实验教学平台，提升学生的工程实践能力与创新思维。项目的实施将为深化多相流理论认知、推动管道输送技术升级以及培养高素质油气储运人才提供有力支撑。</w:t>
      </w:r>
    </w:p>
    <w:p w14:paraId="29A965AB">
      <w:pPr>
        <w:pStyle w:val="4"/>
        <w:outlineLvl w:val="2"/>
        <w:rPr>
          <w:rFonts w:hint="default" w:ascii="仿宋" w:hAnsi="仿宋" w:eastAsia="仿宋" w:cs="仿宋"/>
          <w:b/>
          <w:sz w:val="28"/>
        </w:rPr>
      </w:pPr>
      <w:r>
        <w:rPr>
          <w:rFonts w:ascii="仿宋" w:hAnsi="仿宋" w:eastAsia="仿宋" w:cs="仿宋"/>
          <w:b/>
          <w:sz w:val="28"/>
          <w:lang w:eastAsia="zh-CN"/>
        </w:rPr>
        <w:t>2</w:t>
      </w:r>
      <w:r>
        <w:rPr>
          <w:rFonts w:hint="eastAsia" w:ascii="仿宋" w:hAnsi="仿宋" w:eastAsia="仿宋" w:cs="仿宋"/>
          <w:b/>
          <w:sz w:val="28"/>
          <w:lang w:val="en-US" w:eastAsia="zh-CN"/>
        </w:rPr>
        <w:t>.</w:t>
      </w:r>
      <w:r>
        <w:rPr>
          <w:rFonts w:ascii="仿宋" w:hAnsi="仿宋" w:eastAsia="仿宋" w:cs="仿宋"/>
          <w:b/>
          <w:sz w:val="28"/>
        </w:rPr>
        <w:t>采购内容</w:t>
      </w:r>
      <w:bookmarkEnd w:id="1"/>
    </w:p>
    <w:p w14:paraId="54DDB5B5">
      <w:pPr>
        <w:pStyle w:val="4"/>
        <w:rPr>
          <w:rFonts w:hint="default" w:ascii="仿宋" w:hAnsi="仿宋" w:eastAsia="仿宋" w:cs="仿宋"/>
          <w:highlight w:val="none"/>
        </w:rPr>
      </w:pPr>
      <w:r>
        <w:rPr>
          <w:rFonts w:hint="default" w:ascii="仿宋" w:hAnsi="仿宋" w:eastAsia="仿宋" w:cs="仿宋"/>
          <w:highlight w:val="none"/>
        </w:rPr>
        <w:t>采购包1：</w:t>
      </w:r>
    </w:p>
    <w:p w14:paraId="79FAB8EC">
      <w:pPr>
        <w:pStyle w:val="4"/>
        <w:rPr>
          <w:rFonts w:hint="default" w:ascii="仿宋" w:hAnsi="仿宋" w:eastAsia="仿宋" w:cs="仿宋"/>
          <w:highlight w:val="none"/>
        </w:rPr>
      </w:pPr>
      <w:r>
        <w:rPr>
          <w:rFonts w:hint="default" w:ascii="仿宋" w:hAnsi="仿宋" w:eastAsia="仿宋" w:cs="仿宋"/>
          <w:highlight w:val="none"/>
        </w:rPr>
        <w:t>采购包预算金额（元）: 1000000.00</w:t>
      </w:r>
    </w:p>
    <w:p w14:paraId="0D20E786">
      <w:pPr>
        <w:pStyle w:val="4"/>
        <w:rPr>
          <w:rFonts w:hint="default" w:ascii="仿宋" w:hAnsi="仿宋" w:eastAsia="仿宋" w:cs="仿宋"/>
          <w:highlight w:val="none"/>
        </w:rPr>
      </w:pPr>
      <w:r>
        <w:rPr>
          <w:rFonts w:hint="default" w:ascii="仿宋" w:hAnsi="仿宋" w:eastAsia="仿宋" w:cs="仿宋"/>
          <w:highlight w:val="none"/>
        </w:rPr>
        <w:t>采购包最高限价（元）: 1000000.00</w:t>
      </w:r>
    </w:p>
    <w:p w14:paraId="3CDF663C">
      <w:pPr>
        <w:pStyle w:val="4"/>
        <w:rPr>
          <w:rFonts w:hint="default" w:ascii="仿宋" w:hAnsi="仿宋" w:eastAsia="仿宋" w:cs="仿宋"/>
          <w:highlight w:val="none"/>
        </w:rPr>
      </w:pPr>
      <w:r>
        <w:rPr>
          <w:rFonts w:hint="default" w:ascii="仿宋" w:hAnsi="仿宋" w:eastAsia="仿宋" w:cs="仿宋"/>
          <w:highlight w:val="none"/>
        </w:rPr>
        <w:t>供应商报价不允许超过标的金额</w:t>
      </w:r>
    </w:p>
    <w:p w14:paraId="6DA009A4">
      <w:pPr>
        <w:pStyle w:val="4"/>
        <w:rPr>
          <w:rFonts w:hint="default" w:ascii="仿宋" w:hAnsi="仿宋" w:eastAsia="仿宋" w:cs="仿宋"/>
          <w:highlight w:val="none"/>
        </w:rPr>
      </w:pPr>
      <w:r>
        <w:rPr>
          <w:rFonts w:hint="default" w:ascii="仿宋" w:hAnsi="仿宋" w:eastAsia="仿宋" w:cs="仿宋"/>
          <w:highlight w:val="none"/>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7F63C7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755" w:type="dxa"/>
          </w:tcPr>
          <w:p w14:paraId="463BD8A3">
            <w:pPr>
              <w:pStyle w:val="4"/>
            </w:pPr>
            <w:bookmarkStart w:id="2" w:name="_Toc210126363"/>
            <w:r>
              <w:rPr>
                <w:rFonts w:ascii="仿宋_GB2312" w:hAnsi="仿宋_GB2312" w:eastAsia="仿宋_GB2312" w:cs="仿宋_GB2312"/>
              </w:rPr>
              <w:t>序号</w:t>
            </w:r>
          </w:p>
        </w:tc>
        <w:tc>
          <w:tcPr>
            <w:tcW w:w="755" w:type="dxa"/>
          </w:tcPr>
          <w:p w14:paraId="37088CD4">
            <w:pPr>
              <w:pStyle w:val="4"/>
            </w:pPr>
            <w:r>
              <w:rPr>
                <w:rFonts w:ascii="仿宋_GB2312" w:hAnsi="仿宋_GB2312" w:eastAsia="仿宋_GB2312" w:cs="仿宋_GB2312"/>
              </w:rPr>
              <w:t>标的名称</w:t>
            </w:r>
          </w:p>
        </w:tc>
        <w:tc>
          <w:tcPr>
            <w:tcW w:w="755" w:type="dxa"/>
          </w:tcPr>
          <w:p w14:paraId="62630B3C">
            <w:pPr>
              <w:pStyle w:val="4"/>
            </w:pPr>
            <w:r>
              <w:rPr>
                <w:rFonts w:ascii="仿宋_GB2312" w:hAnsi="仿宋_GB2312" w:eastAsia="仿宋_GB2312" w:cs="仿宋_GB2312"/>
              </w:rPr>
              <w:t>数量</w:t>
            </w:r>
          </w:p>
        </w:tc>
        <w:tc>
          <w:tcPr>
            <w:tcW w:w="755" w:type="dxa"/>
          </w:tcPr>
          <w:p w14:paraId="41924E95">
            <w:pPr>
              <w:pStyle w:val="4"/>
            </w:pPr>
            <w:r>
              <w:rPr>
                <w:rFonts w:ascii="仿宋_GB2312" w:hAnsi="仿宋_GB2312" w:eastAsia="仿宋_GB2312" w:cs="仿宋_GB2312"/>
              </w:rPr>
              <w:t>标的金额（元）</w:t>
            </w:r>
          </w:p>
        </w:tc>
        <w:tc>
          <w:tcPr>
            <w:tcW w:w="755" w:type="dxa"/>
          </w:tcPr>
          <w:p w14:paraId="7479927C">
            <w:pPr>
              <w:pStyle w:val="4"/>
            </w:pPr>
            <w:r>
              <w:rPr>
                <w:rFonts w:ascii="仿宋_GB2312" w:hAnsi="仿宋_GB2312" w:eastAsia="仿宋_GB2312" w:cs="仿宋_GB2312"/>
              </w:rPr>
              <w:t>计量单位</w:t>
            </w:r>
          </w:p>
        </w:tc>
        <w:tc>
          <w:tcPr>
            <w:tcW w:w="755" w:type="dxa"/>
          </w:tcPr>
          <w:p w14:paraId="64CF0ABC">
            <w:pPr>
              <w:pStyle w:val="4"/>
            </w:pPr>
            <w:r>
              <w:rPr>
                <w:rFonts w:ascii="仿宋_GB2312" w:hAnsi="仿宋_GB2312" w:eastAsia="仿宋_GB2312" w:cs="仿宋_GB2312"/>
              </w:rPr>
              <w:t>所属行业</w:t>
            </w:r>
          </w:p>
        </w:tc>
        <w:tc>
          <w:tcPr>
            <w:tcW w:w="755" w:type="dxa"/>
          </w:tcPr>
          <w:p w14:paraId="321BA103">
            <w:pPr>
              <w:pStyle w:val="4"/>
            </w:pPr>
            <w:r>
              <w:rPr>
                <w:rFonts w:ascii="仿宋_GB2312" w:hAnsi="仿宋_GB2312" w:eastAsia="仿宋_GB2312" w:cs="仿宋_GB2312"/>
              </w:rPr>
              <w:t>是否核心产品</w:t>
            </w:r>
          </w:p>
        </w:tc>
        <w:tc>
          <w:tcPr>
            <w:tcW w:w="755" w:type="dxa"/>
          </w:tcPr>
          <w:p w14:paraId="50524B0D">
            <w:pPr>
              <w:pStyle w:val="4"/>
            </w:pPr>
            <w:r>
              <w:rPr>
                <w:rFonts w:ascii="仿宋_GB2312" w:hAnsi="仿宋_GB2312" w:eastAsia="仿宋_GB2312" w:cs="仿宋_GB2312"/>
              </w:rPr>
              <w:t>是否允许进口产品</w:t>
            </w:r>
          </w:p>
        </w:tc>
        <w:tc>
          <w:tcPr>
            <w:tcW w:w="755" w:type="dxa"/>
          </w:tcPr>
          <w:p w14:paraId="4BB4AD62">
            <w:pPr>
              <w:pStyle w:val="4"/>
            </w:pPr>
            <w:r>
              <w:rPr>
                <w:rFonts w:ascii="仿宋_GB2312" w:hAnsi="仿宋_GB2312" w:eastAsia="仿宋_GB2312" w:cs="仿宋_GB2312"/>
              </w:rPr>
              <w:t>是否属于节能产品</w:t>
            </w:r>
          </w:p>
        </w:tc>
        <w:tc>
          <w:tcPr>
            <w:tcW w:w="755" w:type="dxa"/>
          </w:tcPr>
          <w:p w14:paraId="58D106CB">
            <w:pPr>
              <w:pStyle w:val="4"/>
            </w:pPr>
            <w:r>
              <w:rPr>
                <w:rFonts w:ascii="仿宋_GB2312" w:hAnsi="仿宋_GB2312" w:eastAsia="仿宋_GB2312" w:cs="仿宋_GB2312"/>
              </w:rPr>
              <w:t>是否属于环境标志产品</w:t>
            </w:r>
          </w:p>
        </w:tc>
        <w:tc>
          <w:tcPr>
            <w:tcW w:w="755" w:type="dxa"/>
          </w:tcPr>
          <w:p w14:paraId="48E3901E">
            <w:pPr>
              <w:pStyle w:val="4"/>
            </w:pPr>
            <w:r>
              <w:rPr>
                <w:rFonts w:ascii="仿宋_GB2312" w:hAnsi="仿宋_GB2312" w:eastAsia="仿宋_GB2312" w:cs="仿宋_GB2312"/>
              </w:rPr>
              <w:t>是否实施本国产品政策</w:t>
            </w:r>
          </w:p>
        </w:tc>
      </w:tr>
      <w:tr w14:paraId="7262E4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036D3B0">
            <w:pPr>
              <w:pStyle w:val="4"/>
            </w:pPr>
            <w:r>
              <w:rPr>
                <w:rFonts w:ascii="仿宋_GB2312" w:hAnsi="仿宋_GB2312" w:eastAsia="仿宋_GB2312" w:cs="仿宋_GB2312"/>
              </w:rPr>
              <w:t>1</w:t>
            </w:r>
          </w:p>
        </w:tc>
        <w:tc>
          <w:tcPr>
            <w:tcW w:w="755" w:type="dxa"/>
          </w:tcPr>
          <w:p w14:paraId="162316BA">
            <w:pPr>
              <w:pStyle w:val="4"/>
              <w:rPr>
                <w:rFonts w:hint="eastAsia" w:eastAsiaTheme="minorEastAsia"/>
                <w:highlight w:val="none"/>
                <w:lang w:eastAsia="zh-CN"/>
              </w:rPr>
            </w:pPr>
            <w:r>
              <w:rPr>
                <w:rFonts w:hint="eastAsia" w:ascii="仿宋_GB2312" w:hAnsi="仿宋_GB2312" w:eastAsia="仿宋_GB2312" w:cs="仿宋_GB2312"/>
                <w:highlight w:val="none"/>
                <w:lang w:eastAsia="zh-CN"/>
              </w:rPr>
              <w:t>远程监控和控制系统</w:t>
            </w:r>
          </w:p>
        </w:tc>
        <w:tc>
          <w:tcPr>
            <w:tcW w:w="755" w:type="dxa"/>
          </w:tcPr>
          <w:p w14:paraId="1CDC12C5">
            <w:pPr>
              <w:pStyle w:val="4"/>
              <w:jc w:val="right"/>
              <w:rPr>
                <w:highlight w:val="none"/>
              </w:rPr>
            </w:pPr>
            <w:r>
              <w:rPr>
                <w:rFonts w:ascii="仿宋_GB2312" w:hAnsi="仿宋_GB2312" w:eastAsia="仿宋_GB2312" w:cs="仿宋_GB2312"/>
                <w:highlight w:val="none"/>
              </w:rPr>
              <w:t>1.00</w:t>
            </w:r>
          </w:p>
        </w:tc>
        <w:tc>
          <w:tcPr>
            <w:tcW w:w="755" w:type="dxa"/>
          </w:tcPr>
          <w:p w14:paraId="4B0CBA5E">
            <w:pPr>
              <w:pStyle w:val="4"/>
              <w:rPr>
                <w:rFonts w:hint="eastAsia" w:eastAsiaTheme="minorEastAsia"/>
                <w:highlight w:val="none"/>
                <w:lang w:eastAsia="zh-CN"/>
              </w:rPr>
            </w:pPr>
            <w:r>
              <w:rPr>
                <w:rFonts w:hint="eastAsia" w:ascii="仿宋_GB2312" w:hAnsi="仿宋_GB2312" w:eastAsia="仿宋_GB2312" w:cs="仿宋_GB2312"/>
                <w:highlight w:val="none"/>
                <w:lang w:eastAsia="zh-CN"/>
              </w:rPr>
              <w:t>1000000.00</w:t>
            </w:r>
          </w:p>
        </w:tc>
        <w:tc>
          <w:tcPr>
            <w:tcW w:w="755" w:type="dxa"/>
          </w:tcPr>
          <w:p w14:paraId="1D68ED88">
            <w:pPr>
              <w:pStyle w:val="4"/>
              <w:rPr>
                <w:highlight w:val="none"/>
              </w:rPr>
            </w:pPr>
            <w:r>
              <w:rPr>
                <w:rFonts w:hint="eastAsia"/>
                <w:highlight w:val="none"/>
              </w:rPr>
              <w:t>套</w:t>
            </w:r>
          </w:p>
        </w:tc>
        <w:tc>
          <w:tcPr>
            <w:tcW w:w="755" w:type="dxa"/>
          </w:tcPr>
          <w:p w14:paraId="5DF295FC">
            <w:pPr>
              <w:pStyle w:val="4"/>
              <w:rPr>
                <w:highlight w:val="none"/>
              </w:rPr>
            </w:pPr>
            <w:r>
              <w:rPr>
                <w:rFonts w:ascii="仿宋_GB2312" w:hAnsi="仿宋_GB2312" w:eastAsia="仿宋_GB2312" w:cs="仿宋_GB2312"/>
                <w:highlight w:val="none"/>
              </w:rPr>
              <w:t>工业</w:t>
            </w:r>
          </w:p>
        </w:tc>
        <w:tc>
          <w:tcPr>
            <w:tcW w:w="755" w:type="dxa"/>
          </w:tcPr>
          <w:p w14:paraId="122E43A9">
            <w:pPr>
              <w:pStyle w:val="4"/>
              <w:rPr>
                <w:highlight w:val="none"/>
              </w:rPr>
            </w:pPr>
            <w:r>
              <w:rPr>
                <w:rFonts w:hint="eastAsia" w:ascii="仿宋_GB2312" w:hAnsi="仿宋_GB2312" w:eastAsia="仿宋_GB2312" w:cs="仿宋_GB2312"/>
                <w:highlight w:val="none"/>
                <w:lang w:val="en-US" w:eastAsia="zh-CN"/>
              </w:rPr>
              <w:t>否</w:t>
            </w:r>
          </w:p>
        </w:tc>
        <w:tc>
          <w:tcPr>
            <w:tcW w:w="755" w:type="dxa"/>
          </w:tcPr>
          <w:p w14:paraId="39DF893F">
            <w:pPr>
              <w:pStyle w:val="4"/>
              <w:rPr>
                <w:highlight w:val="none"/>
              </w:rPr>
            </w:pPr>
            <w:r>
              <w:rPr>
                <w:rFonts w:ascii="仿宋_GB2312" w:hAnsi="仿宋_GB2312" w:eastAsia="仿宋_GB2312" w:cs="仿宋_GB2312"/>
                <w:highlight w:val="none"/>
              </w:rPr>
              <w:t>否</w:t>
            </w:r>
          </w:p>
        </w:tc>
        <w:tc>
          <w:tcPr>
            <w:tcW w:w="755" w:type="dxa"/>
          </w:tcPr>
          <w:p w14:paraId="7510D2BF">
            <w:pPr>
              <w:pStyle w:val="4"/>
              <w:rPr>
                <w:highlight w:val="none"/>
              </w:rPr>
            </w:pPr>
            <w:r>
              <w:rPr>
                <w:rFonts w:ascii="仿宋_GB2312" w:hAnsi="仿宋_GB2312" w:eastAsia="仿宋_GB2312" w:cs="仿宋_GB2312"/>
                <w:highlight w:val="none"/>
              </w:rPr>
              <w:t>否</w:t>
            </w:r>
          </w:p>
        </w:tc>
        <w:tc>
          <w:tcPr>
            <w:tcW w:w="755" w:type="dxa"/>
          </w:tcPr>
          <w:p w14:paraId="39251EF9">
            <w:pPr>
              <w:pStyle w:val="4"/>
              <w:rPr>
                <w:highlight w:val="none"/>
              </w:rPr>
            </w:pPr>
            <w:r>
              <w:rPr>
                <w:rFonts w:ascii="仿宋_GB2312" w:hAnsi="仿宋_GB2312" w:eastAsia="仿宋_GB2312" w:cs="仿宋_GB2312"/>
                <w:highlight w:val="none"/>
              </w:rPr>
              <w:t>否</w:t>
            </w:r>
          </w:p>
        </w:tc>
        <w:tc>
          <w:tcPr>
            <w:tcW w:w="755" w:type="dxa"/>
          </w:tcPr>
          <w:p w14:paraId="67E01457">
            <w:pPr>
              <w:pStyle w:val="4"/>
              <w:rPr>
                <w:highlight w:val="none"/>
              </w:rPr>
            </w:pPr>
            <w:r>
              <w:rPr>
                <w:rFonts w:ascii="仿宋_GB2312" w:hAnsi="仿宋_GB2312" w:eastAsia="仿宋_GB2312" w:cs="仿宋_GB2312"/>
                <w:highlight w:val="none"/>
              </w:rPr>
              <w:t>是</w:t>
            </w:r>
          </w:p>
        </w:tc>
      </w:tr>
    </w:tbl>
    <w:p w14:paraId="226DFBFA">
      <w:pPr>
        <w:pStyle w:val="4"/>
        <w:outlineLvl w:val="2"/>
        <w:rPr>
          <w:rFonts w:hint="default" w:ascii="仿宋" w:hAnsi="仿宋" w:eastAsia="仿宋" w:cs="仿宋"/>
        </w:rPr>
      </w:pPr>
      <w:r>
        <w:rPr>
          <w:rFonts w:ascii="仿宋" w:hAnsi="仿宋" w:eastAsia="仿宋" w:cs="仿宋"/>
          <w:b/>
          <w:sz w:val="28"/>
          <w:lang w:eastAsia="zh-CN"/>
        </w:rPr>
        <w:t>3.</w:t>
      </w:r>
      <w:r>
        <w:rPr>
          <w:rFonts w:ascii="仿宋" w:hAnsi="仿宋" w:eastAsia="仿宋" w:cs="仿宋"/>
          <w:b/>
          <w:sz w:val="28"/>
        </w:rPr>
        <w:t>技术要求</w:t>
      </w:r>
      <w:bookmarkEnd w:id="2"/>
    </w:p>
    <w:p w14:paraId="066C4728">
      <w:pPr>
        <w:pStyle w:val="4"/>
      </w:pPr>
      <w:r>
        <w:rPr>
          <w:rFonts w:ascii="仿宋_GB2312" w:hAnsi="仿宋_GB2312" w:eastAsia="仿宋_GB2312" w:cs="仿宋_GB2312"/>
        </w:rPr>
        <w:t>采购包1：</w:t>
      </w:r>
    </w:p>
    <w:p w14:paraId="67E99CC4">
      <w:pPr>
        <w:pStyle w:val="4"/>
        <w:rPr>
          <w:rFonts w:hint="eastAsia" w:eastAsia="仿宋_GB2312"/>
          <w:lang w:eastAsia="zh-CN"/>
        </w:rPr>
      </w:pPr>
      <w:r>
        <w:rPr>
          <w:rFonts w:ascii="仿宋_GB2312" w:hAnsi="仿宋_GB2312" w:eastAsia="仿宋_GB2312" w:cs="仿宋_GB2312"/>
        </w:rPr>
        <w:t>标的名称：</w:t>
      </w:r>
      <w:r>
        <w:rPr>
          <w:rFonts w:hint="eastAsia" w:ascii="仿宋_GB2312" w:hAnsi="仿宋_GB2312" w:eastAsia="仿宋_GB2312" w:cs="仿宋_GB2312"/>
          <w:lang w:eastAsia="zh-CN"/>
        </w:rPr>
        <w:t>远程监控和控制系统</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17"/>
        <w:gridCol w:w="696"/>
        <w:gridCol w:w="6793"/>
      </w:tblGrid>
      <w:tr w14:paraId="79CCAE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21BD1B7">
            <w:pPr>
              <w:pStyle w:val="4"/>
              <w:jc w:val="center"/>
            </w:pPr>
            <w:r>
              <w:rPr>
                <w:rFonts w:ascii="仿宋_GB2312" w:hAnsi="仿宋_GB2312" w:eastAsia="仿宋_GB2312" w:cs="仿宋_GB2312"/>
                <w:sz w:val="20"/>
              </w:rPr>
              <w:t>参数性质</w:t>
            </w:r>
          </w:p>
        </w:tc>
        <w:tc>
          <w:tcPr>
            <w:tcW w:w="6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FD13FF6">
            <w:pPr>
              <w:pStyle w:val="4"/>
              <w:jc w:val="center"/>
            </w:pPr>
            <w:r>
              <w:rPr>
                <w:rFonts w:ascii="仿宋_GB2312" w:hAnsi="仿宋_GB2312" w:eastAsia="仿宋_GB2312" w:cs="仿宋_GB2312"/>
                <w:sz w:val="20"/>
              </w:rPr>
              <w:t>序号</w:t>
            </w:r>
          </w:p>
        </w:tc>
        <w:tc>
          <w:tcPr>
            <w:tcW w:w="679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00E9CB7">
            <w:pPr>
              <w:pStyle w:val="4"/>
              <w:jc w:val="center"/>
            </w:pPr>
            <w:r>
              <w:rPr>
                <w:rFonts w:ascii="仿宋_GB2312" w:hAnsi="仿宋_GB2312" w:eastAsia="仿宋_GB2312" w:cs="仿宋_GB2312"/>
                <w:sz w:val="20"/>
              </w:rPr>
              <w:t>技术参数与性能指标</w:t>
            </w:r>
          </w:p>
        </w:tc>
      </w:tr>
      <w:tr w14:paraId="708E07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7C71E7">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E026500">
            <w:pPr>
              <w:pStyle w:val="4"/>
              <w:jc w:val="center"/>
            </w:pPr>
            <w:r>
              <w:rPr>
                <w:rFonts w:ascii="仿宋_GB2312" w:hAnsi="仿宋_GB2312" w:eastAsia="仿宋_GB2312" w:cs="仿宋_GB2312"/>
                <w:sz w:val="20"/>
              </w:rPr>
              <w:t>1</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98345A">
            <w:pPr>
              <w:pStyle w:val="4"/>
              <w:jc w:val="left"/>
            </w:pPr>
            <w:r>
              <w:rPr>
                <w:rFonts w:ascii="仿宋_GB2312" w:hAnsi="仿宋_GB2312" w:eastAsia="仿宋_GB2312" w:cs="仿宋_GB2312"/>
                <w:sz w:val="20"/>
              </w:rPr>
              <w:t>系统应包含流场监测系统、实验控制系统、数据处理分析系统，以成套形式提供（机箱机柜等）。</w:t>
            </w:r>
          </w:p>
        </w:tc>
      </w:tr>
      <w:tr w14:paraId="092C12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BA5C2E">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CFB10BB">
            <w:pPr>
              <w:pStyle w:val="4"/>
              <w:jc w:val="center"/>
            </w:pPr>
            <w:r>
              <w:rPr>
                <w:rFonts w:ascii="仿宋_GB2312" w:hAnsi="仿宋_GB2312" w:eastAsia="仿宋_GB2312" w:cs="仿宋_GB2312"/>
                <w:sz w:val="20"/>
              </w:rPr>
              <w:t>2</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9A0A53">
            <w:pPr>
              <w:pStyle w:val="4"/>
              <w:jc w:val="left"/>
            </w:pPr>
            <w:r>
              <w:rPr>
                <w:rFonts w:ascii="仿宋_GB2312" w:hAnsi="仿宋_GB2312" w:eastAsia="仿宋_GB2312" w:cs="仿宋_GB2312"/>
                <w:sz w:val="20"/>
              </w:rPr>
              <w:t>流场监测系统</w:t>
            </w:r>
          </w:p>
        </w:tc>
      </w:tr>
      <w:tr w14:paraId="600C5E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4FE9A">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C23EE3D">
            <w:pPr>
              <w:pStyle w:val="4"/>
              <w:jc w:val="center"/>
            </w:pPr>
            <w:r>
              <w:rPr>
                <w:rFonts w:ascii="仿宋_GB2312" w:hAnsi="仿宋_GB2312" w:eastAsia="仿宋_GB2312" w:cs="仿宋_GB2312"/>
                <w:sz w:val="20"/>
              </w:rPr>
              <w:t>2.1</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8915E1">
            <w:pPr>
              <w:pStyle w:val="4"/>
              <w:jc w:val="left"/>
            </w:pPr>
            <w:r>
              <w:rPr>
                <w:rFonts w:ascii="仿宋_GB2312" w:hAnsi="仿宋_GB2312" w:eastAsia="仿宋_GB2312" w:cs="仿宋_GB2312"/>
                <w:sz w:val="20"/>
              </w:rPr>
              <w:t>包含成像模块，激光光源模块。</w:t>
            </w:r>
          </w:p>
        </w:tc>
      </w:tr>
      <w:tr w14:paraId="0C5DDF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DA280E">
            <w:pPr>
              <w:pStyle w:val="4"/>
              <w:jc w:val="center"/>
            </w:pPr>
            <w:r>
              <w:rPr>
                <w:rFonts w:ascii="仿宋_GB2312" w:hAnsi="仿宋_GB2312" w:eastAsia="仿宋_GB2312" w:cs="仿宋_GB2312"/>
                <w:sz w:val="21"/>
              </w:rPr>
              <w:t>★</w:t>
            </w: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8AAA74F">
            <w:pPr>
              <w:pStyle w:val="4"/>
              <w:jc w:val="center"/>
            </w:pPr>
            <w:r>
              <w:rPr>
                <w:rFonts w:ascii="仿宋_GB2312" w:hAnsi="仿宋_GB2312" w:eastAsia="仿宋_GB2312" w:cs="仿宋_GB2312"/>
                <w:sz w:val="20"/>
              </w:rPr>
              <w:t>2.2</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65F223">
            <w:pPr>
              <w:pStyle w:val="4"/>
              <w:jc w:val="left"/>
            </w:pPr>
            <w:r>
              <w:rPr>
                <w:rFonts w:ascii="仿宋_GB2312" w:hAnsi="仿宋_GB2312" w:eastAsia="仿宋_GB2312" w:cs="仿宋_GB2312"/>
                <w:sz w:val="20"/>
              </w:rPr>
              <w:t>成像分辨率≥1280*1024，采样率≥5000fps，高清格式记录时间≥10s，内置存储≥64G。</w:t>
            </w:r>
          </w:p>
        </w:tc>
      </w:tr>
      <w:tr w14:paraId="1AD237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BC37DE">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41EDF95">
            <w:pPr>
              <w:pStyle w:val="4"/>
              <w:jc w:val="center"/>
            </w:pPr>
            <w:r>
              <w:rPr>
                <w:rFonts w:ascii="仿宋_GB2312" w:hAnsi="仿宋_GB2312" w:eastAsia="仿宋_GB2312" w:cs="仿宋_GB2312"/>
                <w:sz w:val="20"/>
              </w:rPr>
              <w:t>2.3</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63C367">
            <w:pPr>
              <w:pStyle w:val="4"/>
              <w:jc w:val="left"/>
            </w:pPr>
            <w:r>
              <w:rPr>
                <w:rFonts w:ascii="仿宋_GB2312" w:hAnsi="仿宋_GB2312" w:eastAsia="仿宋_GB2312" w:cs="仿宋_GB2312"/>
                <w:sz w:val="20"/>
              </w:rPr>
              <w:t>具备2D2C、2D3C测量功能，支持微流体与高速流体测量，测速范围0-10m/s。</w:t>
            </w:r>
          </w:p>
        </w:tc>
      </w:tr>
      <w:tr w14:paraId="512F5E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5D94C0">
            <w:pPr>
              <w:pStyle w:val="4"/>
              <w:jc w:val="center"/>
            </w:pPr>
            <w:r>
              <w:rPr>
                <w:rFonts w:ascii="仿宋_GB2312" w:hAnsi="仿宋_GB2312" w:eastAsia="仿宋_GB2312" w:cs="仿宋_GB2312"/>
                <w:sz w:val="21"/>
              </w:rPr>
              <w:t>★</w:t>
            </w: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99F3E75">
            <w:pPr>
              <w:pStyle w:val="4"/>
              <w:jc w:val="center"/>
            </w:pPr>
            <w:r>
              <w:rPr>
                <w:rFonts w:ascii="仿宋_GB2312" w:hAnsi="仿宋_GB2312" w:eastAsia="仿宋_GB2312" w:cs="仿宋_GB2312"/>
                <w:sz w:val="20"/>
              </w:rPr>
              <w:t>2.4</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526D8">
            <w:pPr>
              <w:pStyle w:val="4"/>
              <w:jc w:val="left"/>
            </w:pPr>
            <w:r>
              <w:rPr>
                <w:rFonts w:ascii="仿宋_GB2312" w:hAnsi="仿宋_GB2312" w:eastAsia="仿宋_GB2312" w:cs="仿宋_GB2312"/>
                <w:sz w:val="20"/>
              </w:rPr>
              <w:t>连续激光光源波长532nm±5nm；功率≥10W，功率波动≤1%；片光厚度≤1mm；TTL调制频率≥100KHz；TTL调制最小脉冲宽度≥5us。</w:t>
            </w:r>
          </w:p>
        </w:tc>
      </w:tr>
      <w:tr w14:paraId="2480F0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EDE849">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04FAE7A">
            <w:pPr>
              <w:pStyle w:val="4"/>
              <w:jc w:val="center"/>
            </w:pPr>
            <w:r>
              <w:rPr>
                <w:rFonts w:ascii="仿宋_GB2312" w:hAnsi="仿宋_GB2312" w:eastAsia="仿宋_GB2312" w:cs="仿宋_GB2312"/>
                <w:sz w:val="20"/>
              </w:rPr>
              <w:t>2.5</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A3D715">
            <w:pPr>
              <w:pStyle w:val="4"/>
              <w:jc w:val="left"/>
            </w:pPr>
            <w:r>
              <w:rPr>
                <w:rFonts w:ascii="仿宋_GB2312" w:hAnsi="仿宋_GB2312" w:eastAsia="仿宋_GB2312" w:cs="仿宋_GB2312"/>
                <w:sz w:val="20"/>
              </w:rPr>
              <w:t>具备图像增强/增益控制功能，可调节感光强度≥8倍。</w:t>
            </w:r>
          </w:p>
        </w:tc>
      </w:tr>
      <w:tr w14:paraId="01A427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E0CA09">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B75C2EB">
            <w:pPr>
              <w:pStyle w:val="4"/>
              <w:jc w:val="center"/>
            </w:pPr>
            <w:r>
              <w:rPr>
                <w:rFonts w:ascii="仿宋_GB2312" w:hAnsi="仿宋_GB2312" w:eastAsia="仿宋_GB2312" w:cs="仿宋_GB2312"/>
                <w:sz w:val="20"/>
              </w:rPr>
              <w:t>2.6</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701B27">
            <w:pPr>
              <w:pStyle w:val="4"/>
              <w:jc w:val="left"/>
            </w:pPr>
            <w:r>
              <w:rPr>
                <w:rFonts w:ascii="仿宋_GB2312" w:hAnsi="仿宋_GB2312" w:eastAsia="仿宋_GB2312" w:cs="仿宋_GB2312"/>
                <w:sz w:val="20"/>
              </w:rPr>
              <w:t>数据接口：万兆以太网，传输速率≥2.5Gbps。</w:t>
            </w:r>
          </w:p>
        </w:tc>
      </w:tr>
      <w:tr w14:paraId="71FE5B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BE3815">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99A115E">
            <w:pPr>
              <w:pStyle w:val="4"/>
              <w:jc w:val="center"/>
            </w:pPr>
            <w:r>
              <w:rPr>
                <w:rFonts w:ascii="仿宋_GB2312" w:hAnsi="仿宋_GB2312" w:eastAsia="仿宋_GB2312" w:cs="仿宋_GB2312"/>
                <w:sz w:val="20"/>
              </w:rPr>
              <w:t>2.7</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F3A911">
            <w:pPr>
              <w:pStyle w:val="4"/>
              <w:jc w:val="left"/>
            </w:pPr>
            <w:r>
              <w:rPr>
                <w:rFonts w:ascii="仿宋_GB2312" w:hAnsi="仿宋_GB2312" w:eastAsia="仿宋_GB2312" w:cs="仿宋_GB2312"/>
                <w:sz w:val="20"/>
              </w:rPr>
              <w:t>配备足够质保期内正常使用的云台、三角架、光学标定、量勺、摇瓶配件1套及耗材。</w:t>
            </w:r>
          </w:p>
        </w:tc>
      </w:tr>
      <w:tr w14:paraId="551CFC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9010E2">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D544511">
            <w:pPr>
              <w:pStyle w:val="4"/>
              <w:jc w:val="center"/>
            </w:pPr>
            <w:r>
              <w:rPr>
                <w:rFonts w:ascii="仿宋_GB2312" w:hAnsi="仿宋_GB2312" w:eastAsia="仿宋_GB2312" w:cs="仿宋_GB2312"/>
                <w:sz w:val="20"/>
              </w:rPr>
              <w:t>3</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BA1F7D">
            <w:pPr>
              <w:pStyle w:val="4"/>
              <w:jc w:val="left"/>
            </w:pPr>
            <w:r>
              <w:rPr>
                <w:rFonts w:ascii="仿宋_GB2312" w:hAnsi="仿宋_GB2312" w:eastAsia="仿宋_GB2312" w:cs="仿宋_GB2312"/>
                <w:sz w:val="20"/>
              </w:rPr>
              <w:t>实验控制系统</w:t>
            </w:r>
          </w:p>
        </w:tc>
      </w:tr>
      <w:tr w14:paraId="234D68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048616">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21D97F0">
            <w:pPr>
              <w:pStyle w:val="4"/>
              <w:jc w:val="center"/>
            </w:pPr>
            <w:r>
              <w:rPr>
                <w:rFonts w:ascii="仿宋_GB2312" w:hAnsi="仿宋_GB2312" w:eastAsia="仿宋_GB2312" w:cs="仿宋_GB2312"/>
                <w:sz w:val="20"/>
              </w:rPr>
              <w:t>3.1</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C2443D">
            <w:pPr>
              <w:pStyle w:val="4"/>
              <w:jc w:val="left"/>
            </w:pPr>
            <w:r>
              <w:rPr>
                <w:rFonts w:ascii="仿宋_GB2312" w:hAnsi="仿宋_GB2312" w:eastAsia="仿宋_GB2312" w:cs="仿宋_GB2312"/>
                <w:sz w:val="20"/>
              </w:rPr>
              <w:t>具备对输入的温度、压力、流量等数值输出泵频、电磁阀、电动阀的控制信号。</w:t>
            </w:r>
          </w:p>
        </w:tc>
      </w:tr>
      <w:tr w14:paraId="7492C1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9E3F37">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BAB3E6A">
            <w:pPr>
              <w:pStyle w:val="4"/>
              <w:jc w:val="center"/>
            </w:pPr>
            <w:r>
              <w:rPr>
                <w:rFonts w:ascii="仿宋_GB2312" w:hAnsi="仿宋_GB2312" w:eastAsia="仿宋_GB2312" w:cs="仿宋_GB2312"/>
                <w:sz w:val="20"/>
              </w:rPr>
              <w:t>3.2</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37B253">
            <w:pPr>
              <w:pStyle w:val="4"/>
              <w:jc w:val="left"/>
            </w:pPr>
            <w:r>
              <w:rPr>
                <w:rFonts w:ascii="仿宋_GB2312" w:hAnsi="仿宋_GB2312" w:eastAsia="仿宋_GB2312" w:cs="仿宋_GB2312"/>
                <w:sz w:val="20"/>
              </w:rPr>
              <w:t>输入适应高压工况（0-10MPa），采样频率≥1kHz，数据延迟≤1ms。</w:t>
            </w:r>
          </w:p>
        </w:tc>
      </w:tr>
      <w:tr w14:paraId="14914D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2D1A36">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B25B3E7">
            <w:pPr>
              <w:pStyle w:val="4"/>
              <w:jc w:val="center"/>
            </w:pPr>
            <w:r>
              <w:rPr>
                <w:rFonts w:ascii="仿宋_GB2312" w:hAnsi="仿宋_GB2312" w:eastAsia="仿宋_GB2312" w:cs="仿宋_GB2312"/>
                <w:sz w:val="20"/>
              </w:rPr>
              <w:t>3.3</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B8480D">
            <w:pPr>
              <w:pStyle w:val="4"/>
              <w:jc w:val="left"/>
            </w:pPr>
            <w:r>
              <w:rPr>
                <w:rFonts w:ascii="仿宋_GB2312" w:hAnsi="仿宋_GB2312" w:eastAsia="仿宋_GB2312" w:cs="仿宋_GB2312"/>
                <w:sz w:val="20"/>
              </w:rPr>
              <w:t>支持模拟量输入/输出，通过IO总线向右扩展分布式IO。</w:t>
            </w:r>
          </w:p>
        </w:tc>
      </w:tr>
      <w:tr w14:paraId="59EF18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6E2429">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438CE6E">
            <w:pPr>
              <w:pStyle w:val="4"/>
              <w:jc w:val="center"/>
            </w:pPr>
            <w:r>
              <w:rPr>
                <w:rFonts w:ascii="仿宋_GB2312" w:hAnsi="仿宋_GB2312" w:eastAsia="仿宋_GB2312" w:cs="仿宋_GB2312"/>
                <w:sz w:val="20"/>
              </w:rPr>
              <w:t>3.4</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106701">
            <w:pPr>
              <w:pStyle w:val="4"/>
              <w:jc w:val="left"/>
            </w:pPr>
            <w:r>
              <w:rPr>
                <w:rFonts w:ascii="仿宋_GB2312" w:hAnsi="仿宋_GB2312" w:eastAsia="仿宋_GB2312" w:cs="仿宋_GB2312"/>
                <w:sz w:val="20"/>
              </w:rPr>
              <w:t>包含≥12路DI、≥16路DO控制节点，支持Modbus TCP、Modbus RTU协议支持实时数据、历史数据、报警事件等。支持RS-485、RJ45、Type-C 接口。</w:t>
            </w:r>
          </w:p>
        </w:tc>
      </w:tr>
      <w:tr w14:paraId="2955B1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E97F29">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354746B">
            <w:pPr>
              <w:pStyle w:val="4"/>
              <w:jc w:val="center"/>
            </w:pPr>
            <w:r>
              <w:rPr>
                <w:rFonts w:ascii="仿宋_GB2312" w:hAnsi="仿宋_GB2312" w:eastAsia="仿宋_GB2312" w:cs="仿宋_GB2312"/>
                <w:sz w:val="20"/>
              </w:rPr>
              <w:t>3.5</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74034D">
            <w:pPr>
              <w:pStyle w:val="4"/>
              <w:jc w:val="left"/>
            </w:pPr>
            <w:r>
              <w:rPr>
                <w:rFonts w:ascii="仿宋_GB2312" w:hAnsi="仿宋_GB2312" w:eastAsia="仿宋_GB2312" w:cs="仿宋_GB2312"/>
                <w:sz w:val="20"/>
              </w:rPr>
              <w:t>可输入标准电压，电流，电阻信号，输入模块AI/AO，精度：≤±0.2% FS；分辨率≥16位；可输出标准4–20mA信号。</w:t>
            </w:r>
          </w:p>
        </w:tc>
      </w:tr>
      <w:tr w14:paraId="54C570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0AAB88">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DF0F018">
            <w:pPr>
              <w:pStyle w:val="4"/>
              <w:jc w:val="center"/>
            </w:pPr>
            <w:r>
              <w:rPr>
                <w:rFonts w:ascii="仿宋_GB2312" w:hAnsi="仿宋_GB2312" w:eastAsia="仿宋_GB2312" w:cs="仿宋_GB2312"/>
                <w:sz w:val="20"/>
              </w:rPr>
              <w:t>3.6</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735EC5">
            <w:pPr>
              <w:pStyle w:val="4"/>
              <w:jc w:val="left"/>
            </w:pPr>
            <w:r>
              <w:rPr>
                <w:rFonts w:ascii="仿宋_GB2312" w:hAnsi="仿宋_GB2312" w:eastAsia="仿宋_GB2312" w:cs="仿宋_GB2312"/>
                <w:sz w:val="20"/>
              </w:rPr>
              <w:t>支持工艺流程画面绘制；具有数据存储功能（历史数据存储时间≥48h），可查看历史数据、历史报警、历史曲线等功能。</w:t>
            </w:r>
          </w:p>
        </w:tc>
      </w:tr>
      <w:tr w14:paraId="1A3C9F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0BE31E">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C1341E9">
            <w:pPr>
              <w:pStyle w:val="4"/>
              <w:jc w:val="center"/>
            </w:pPr>
            <w:r>
              <w:rPr>
                <w:rFonts w:ascii="仿宋_GB2312" w:hAnsi="仿宋_GB2312" w:eastAsia="仿宋_GB2312" w:cs="仿宋_GB2312"/>
                <w:sz w:val="20"/>
              </w:rPr>
              <w:t>4</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B1C255">
            <w:pPr>
              <w:pStyle w:val="4"/>
              <w:jc w:val="left"/>
            </w:pPr>
            <w:r>
              <w:rPr>
                <w:rFonts w:ascii="仿宋_GB2312" w:hAnsi="仿宋_GB2312" w:eastAsia="仿宋_GB2312" w:cs="仿宋_GB2312"/>
                <w:sz w:val="20"/>
              </w:rPr>
              <w:t>数据处理分析系统</w:t>
            </w:r>
          </w:p>
        </w:tc>
      </w:tr>
      <w:tr w14:paraId="35474B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87094D">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327779F">
            <w:pPr>
              <w:pStyle w:val="4"/>
              <w:jc w:val="center"/>
            </w:pPr>
            <w:r>
              <w:rPr>
                <w:rFonts w:ascii="仿宋_GB2312" w:hAnsi="仿宋_GB2312" w:eastAsia="仿宋_GB2312" w:cs="仿宋_GB2312"/>
                <w:sz w:val="20"/>
              </w:rPr>
              <w:t>4.1</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523C61">
            <w:pPr>
              <w:pStyle w:val="4"/>
              <w:jc w:val="left"/>
            </w:pPr>
            <w:r>
              <w:rPr>
                <w:rFonts w:ascii="仿宋_GB2312" w:hAnsi="仿宋_GB2312" w:eastAsia="仿宋_GB2312" w:cs="仿宋_GB2312"/>
                <w:sz w:val="20"/>
              </w:rPr>
              <w:t>专用分析、处理、显示终端（计算能力FP32峰值≥15TFlops,计算能力FP64峰值≥2Tflops，内存≥64G，数据储存能力≥8T）。</w:t>
            </w:r>
          </w:p>
        </w:tc>
      </w:tr>
      <w:tr w14:paraId="2E9EA7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4BA3E7">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419D900">
            <w:pPr>
              <w:pStyle w:val="4"/>
              <w:jc w:val="center"/>
            </w:pPr>
            <w:r>
              <w:rPr>
                <w:rFonts w:ascii="仿宋_GB2312" w:hAnsi="仿宋_GB2312" w:eastAsia="仿宋_GB2312" w:cs="仿宋_GB2312"/>
                <w:sz w:val="20"/>
              </w:rPr>
              <w:t>4.2</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340D86">
            <w:pPr>
              <w:pStyle w:val="4"/>
              <w:jc w:val="left"/>
            </w:pPr>
            <w:r>
              <w:rPr>
                <w:rFonts w:ascii="仿宋_GB2312" w:hAnsi="仿宋_GB2312" w:eastAsia="仿宋_GB2312" w:cs="仿宋_GB2312"/>
                <w:sz w:val="20"/>
              </w:rPr>
              <w:t>支持4重迭代，具备窗口变形功能，集成多目录大批量数据自动处理功能。</w:t>
            </w:r>
          </w:p>
        </w:tc>
      </w:tr>
      <w:tr w14:paraId="0F98BB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82BCE2">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8EEFA62">
            <w:pPr>
              <w:pStyle w:val="4"/>
              <w:jc w:val="center"/>
            </w:pPr>
            <w:r>
              <w:rPr>
                <w:rFonts w:ascii="仿宋_GB2312" w:hAnsi="仿宋_GB2312" w:eastAsia="仿宋_GB2312" w:cs="仿宋_GB2312"/>
                <w:sz w:val="20"/>
              </w:rPr>
              <w:t>4.3</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FF66A5">
            <w:pPr>
              <w:pStyle w:val="4"/>
              <w:jc w:val="left"/>
            </w:pPr>
            <w:r>
              <w:rPr>
                <w:rFonts w:ascii="仿宋_GB2312" w:hAnsi="仿宋_GB2312" w:eastAsia="仿宋_GB2312" w:cs="仿宋_GB2312"/>
                <w:sz w:val="20"/>
              </w:rPr>
              <w:t>具备多核GPU并行计算技术，支持导入≥2000万像素图像在判读区≥64*64像素、步长≥32*32像素条件下，计算时间≤1秒。</w:t>
            </w:r>
          </w:p>
        </w:tc>
      </w:tr>
      <w:tr w14:paraId="5DCBA1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6D0910">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AC42202">
            <w:pPr>
              <w:pStyle w:val="4"/>
              <w:jc w:val="center"/>
            </w:pPr>
            <w:r>
              <w:rPr>
                <w:rFonts w:ascii="仿宋_GB2312" w:hAnsi="仿宋_GB2312" w:eastAsia="仿宋_GB2312" w:cs="仿宋_GB2312"/>
                <w:sz w:val="20"/>
              </w:rPr>
              <w:t>4.4</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9E3CB5">
            <w:pPr>
              <w:pStyle w:val="4"/>
              <w:jc w:val="left"/>
            </w:pPr>
            <w:r>
              <w:rPr>
                <w:rFonts w:ascii="仿宋_GB2312" w:hAnsi="仿宋_GB2312" w:eastAsia="仿宋_GB2312" w:cs="仿宋_GB2312"/>
                <w:sz w:val="20"/>
              </w:rPr>
              <w:t>可分析显示图像中颗粒的等效圆直径大小，空间位置坐标，颗粒截面面积、速度等参数。搜索分析显示图像中颗粒的粒径分布，包括颗粒的等效圆直径大小，空间位置坐标，颗粒截面面积等参数。</w:t>
            </w:r>
          </w:p>
        </w:tc>
      </w:tr>
      <w:tr w14:paraId="3F21B8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95E4FE">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7C57192">
            <w:pPr>
              <w:pStyle w:val="4"/>
              <w:jc w:val="center"/>
            </w:pPr>
            <w:r>
              <w:rPr>
                <w:rFonts w:ascii="仿宋_GB2312" w:hAnsi="仿宋_GB2312" w:eastAsia="仿宋_GB2312" w:cs="仿宋_GB2312"/>
                <w:sz w:val="20"/>
              </w:rPr>
              <w:t>4.5</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0D8A1E">
            <w:pPr>
              <w:pStyle w:val="4"/>
              <w:jc w:val="left"/>
            </w:pPr>
            <w:r>
              <w:rPr>
                <w:rFonts w:ascii="仿宋_GB2312" w:hAnsi="仿宋_GB2312" w:eastAsia="仿宋_GB2312" w:cs="仿宋_GB2312"/>
                <w:sz w:val="20"/>
              </w:rPr>
              <w:t>具备连续相流体与离散相颗粒同步测量的功能，具备根据不同颗粒粒径进行分相流场速度计算功能，具备分相背景灰度补偿填充功能。</w:t>
            </w:r>
          </w:p>
        </w:tc>
      </w:tr>
      <w:tr w14:paraId="33A270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8EE4D1">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0655CDE">
            <w:pPr>
              <w:pStyle w:val="4"/>
              <w:jc w:val="center"/>
            </w:pPr>
            <w:r>
              <w:rPr>
                <w:rFonts w:ascii="仿宋_GB2312" w:hAnsi="仿宋_GB2312" w:eastAsia="仿宋_GB2312" w:cs="仿宋_GB2312"/>
                <w:sz w:val="20"/>
              </w:rPr>
              <w:t>4.6</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3F00E4">
            <w:pPr>
              <w:pStyle w:val="4"/>
              <w:jc w:val="left"/>
            </w:pPr>
            <w:r>
              <w:rPr>
                <w:rFonts w:ascii="仿宋_GB2312" w:hAnsi="仿宋_GB2312" w:eastAsia="仿宋_GB2312" w:cs="仿宋_GB2312"/>
                <w:sz w:val="20"/>
              </w:rPr>
              <w:t>可实现小尺度的未确定的流动分析。具备单像素计算功能，计算稠密速度场。图像放大率、单个速度矢量空间分辨率。</w:t>
            </w:r>
          </w:p>
        </w:tc>
      </w:tr>
      <w:tr w14:paraId="2ACC11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DD1202">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47D1975">
            <w:pPr>
              <w:pStyle w:val="4"/>
              <w:jc w:val="center"/>
            </w:pPr>
            <w:r>
              <w:rPr>
                <w:rFonts w:ascii="仿宋_GB2312" w:hAnsi="仿宋_GB2312" w:eastAsia="仿宋_GB2312" w:cs="仿宋_GB2312"/>
                <w:sz w:val="20"/>
              </w:rPr>
              <w:t>4.7</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146F54">
            <w:pPr>
              <w:pStyle w:val="4"/>
              <w:jc w:val="left"/>
            </w:pPr>
            <w:r>
              <w:rPr>
                <w:rFonts w:ascii="仿宋_GB2312" w:hAnsi="仿宋_GB2312" w:eastAsia="仿宋_GB2312" w:cs="仿宋_GB2312"/>
                <w:sz w:val="20"/>
              </w:rPr>
              <w:t>具备虚拟现实流场展示功能：通过VR终端对流场测量得到的流场结果和试验模型进行虚拟现实交互显示。</w:t>
            </w:r>
          </w:p>
        </w:tc>
      </w:tr>
      <w:tr w14:paraId="0C24FD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DDF0D0">
            <w:pPr>
              <w:pStyle w:val="4"/>
              <w:jc w:val="center"/>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62B850A">
            <w:pPr>
              <w:pStyle w:val="4"/>
              <w:jc w:val="center"/>
            </w:pPr>
            <w:r>
              <w:rPr>
                <w:rFonts w:ascii="仿宋_GB2312" w:hAnsi="仿宋_GB2312" w:eastAsia="仿宋_GB2312" w:cs="仿宋_GB2312"/>
                <w:sz w:val="20"/>
              </w:rPr>
              <w:t>4.8</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AA5681">
            <w:pPr>
              <w:pStyle w:val="4"/>
              <w:jc w:val="left"/>
            </w:pPr>
            <w:r>
              <w:rPr>
                <w:rFonts w:ascii="仿宋_GB2312" w:hAnsi="仿宋_GB2312" w:eastAsia="仿宋_GB2312" w:cs="仿宋_GB2312"/>
                <w:sz w:val="20"/>
              </w:rPr>
              <w:t>可实时无线显示实验中拍摄的粒子图像，辅助手动镜头对焦。</w:t>
            </w:r>
          </w:p>
        </w:tc>
      </w:tr>
      <w:tr w14:paraId="3A6C88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60C8B1">
            <w:pPr>
              <w:pStyle w:val="4"/>
              <w:jc w:val="center"/>
            </w:pPr>
            <w:r>
              <w:rPr>
                <w:rFonts w:ascii="仿宋_GB2312" w:hAnsi="仿宋_GB2312" w:eastAsia="仿宋_GB2312" w:cs="仿宋_GB2312"/>
                <w:sz w:val="21"/>
              </w:rPr>
              <w:t>★</w:t>
            </w: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A8D3C4C">
            <w:pPr>
              <w:pStyle w:val="4"/>
              <w:jc w:val="center"/>
            </w:pPr>
            <w:r>
              <w:rPr>
                <w:rFonts w:ascii="仿宋_GB2312" w:hAnsi="仿宋_GB2312" w:eastAsia="仿宋_GB2312" w:cs="仿宋_GB2312"/>
                <w:sz w:val="20"/>
              </w:rPr>
              <w:t>5</w:t>
            </w:r>
          </w:p>
        </w:tc>
        <w:tc>
          <w:tcPr>
            <w:tcW w:w="67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420DEC">
            <w:pPr>
              <w:pStyle w:val="4"/>
              <w:jc w:val="left"/>
            </w:pPr>
            <w:r>
              <w:rPr>
                <w:rFonts w:ascii="仿宋_GB2312" w:hAnsi="仿宋_GB2312" w:eastAsia="仿宋_GB2312" w:cs="仿宋_GB2312"/>
                <w:sz w:val="20"/>
              </w:rPr>
              <w:t>供应商拟投产品必须满足所有技术参数要求，提供相关证明材料。</w:t>
            </w:r>
          </w:p>
          <w:p w14:paraId="25786C87">
            <w:pPr>
              <w:pStyle w:val="4"/>
              <w:jc w:val="left"/>
            </w:pPr>
            <w:r>
              <w:rPr>
                <w:rFonts w:ascii="仿宋_GB2312" w:hAnsi="仿宋_GB2312" w:eastAsia="仿宋_GB2312" w:cs="仿宋_GB2312"/>
                <w:sz w:val="20"/>
              </w:rPr>
              <w:t>其中，标注“★”的参数提供的证明材料包括但不限于产品规格表、产品宣传彩页、技术白皮书、制造商</w:t>
            </w:r>
            <w:bookmarkStart w:id="3" w:name="_GoBack"/>
            <w:bookmarkEnd w:id="3"/>
            <w:r>
              <w:rPr>
                <w:rFonts w:ascii="仿宋_GB2312" w:hAnsi="仿宋_GB2312" w:eastAsia="仿宋_GB2312" w:cs="仿宋_GB2312"/>
                <w:sz w:val="20"/>
              </w:rPr>
              <w:t>官方网站发布的产品信息、说明书或检测机构出具的检测报告等，至少提供以上一项证明材料予以证明其技术参数的响应性；</w:t>
            </w:r>
          </w:p>
          <w:p w14:paraId="25BB9033">
            <w:pPr>
              <w:pStyle w:val="4"/>
              <w:jc w:val="left"/>
            </w:pPr>
            <w:r>
              <w:rPr>
                <w:rFonts w:ascii="仿宋_GB2312" w:hAnsi="仿宋_GB2312" w:eastAsia="仿宋_GB2312" w:cs="仿宋_GB2312"/>
                <w:sz w:val="20"/>
              </w:rPr>
              <w:t>未标注“★”的参数提供的证明材料包括但不限于技术方案、产品规格表、产品宣传彩页、技术白皮书、制造商官方网站发布的产品信息、技术偏离表、说明书或检测机构出具的检测报告等，至少提供以上一项证明材料予以证明其技术参数的响应性。</w:t>
            </w:r>
          </w:p>
        </w:tc>
      </w:tr>
    </w:tbl>
    <w:p w14:paraId="1B3D842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B1209A"/>
    <w:rsid w:val="097D62FC"/>
    <w:rsid w:val="4E4B7BB2"/>
    <w:rsid w:val="7BB120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qFormat/>
    <w:uiPriority w:val="0"/>
    <w:rPr>
      <w:rFonts w:hint="eastAsia" w:asciiTheme="minorHAnsi" w:hAnsiTheme="minorHAnsi" w:eastAsiaTheme="minorEastAsia" w:cstheme="minorBidi"/>
      <w:lang w:val="en-US" w:eastAsia="zh-Hans" w:bidi="ar-SA"/>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1640</Words>
  <Characters>1868</Characters>
  <Lines>0</Lines>
  <Paragraphs>0</Paragraphs>
  <TotalTime>1</TotalTime>
  <ScaleCrop>false</ScaleCrop>
  <LinksUpToDate>false</LinksUpToDate>
  <CharactersWithSpaces>1874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2026-07-14T06:50:00Z</dcterms:created>
  <dc:creator>DU.</dc:creator>
  <cp:lastModifiedBy>肖肖</cp:lastModifiedBy>
  <dcterms:modified xsi:type="dcterms:W3CDTF">2026-07-28T13:10:28Z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93CA9107F26444ABB246EBB7C2BEE937_13</vt:lpwstr>
  </property>
  <property fmtid="{D5CDD505-2E9C-101B-9397-08002B2CF9AE}" pid="4" name="KSOTemplateDocerSaveRecord">
    <vt:lpwstr>eyJoZGlkIjoiYjk3ZmQ0ZTM1ZDczNWRmZjM3MjI4N2EzNjM3ZDkwNGQiLCJ1c2VySWQiOiI0MzM4MTU0MzAifQ==</vt:lpwstr>
  </property>
</Properties>
</file>