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E38CB">
      <w:pPr>
        <w:rPr>
          <w:rFonts w:hint="eastAsia" w:ascii="宋体" w:hAnsi="宋体" w:eastAsia="宋体" w:cs="宋体"/>
          <w:b/>
          <w:bCs/>
          <w:sz w:val="24"/>
          <w:szCs w:val="32"/>
          <w:lang w:val="en-US" w:eastAsia="zh-CN"/>
        </w:rPr>
      </w:pPr>
      <w:bookmarkStart w:id="4" w:name="_GoBack"/>
      <w:r>
        <w:rPr>
          <w:rFonts w:hint="eastAsia" w:ascii="宋体" w:hAnsi="宋体" w:eastAsia="宋体" w:cs="宋体"/>
          <w:b/>
          <w:bCs/>
          <w:sz w:val="24"/>
          <w:szCs w:val="32"/>
          <w:lang w:val="en-US" w:eastAsia="zh-CN"/>
        </w:rPr>
        <w:t>1包：</w:t>
      </w:r>
    </w:p>
    <w:bookmarkEnd w:id="4"/>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3"/>
        <w:gridCol w:w="8079"/>
      </w:tblGrid>
      <w:tr w14:paraId="728016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noWrap w:val="0"/>
            <w:vAlign w:val="center"/>
          </w:tcPr>
          <w:p w14:paraId="1738F6AE">
            <w:pPr>
              <w:pStyle w:val="7"/>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8522" w:type="dxa"/>
            <w:noWrap w:val="0"/>
            <w:vAlign w:val="top"/>
          </w:tcPr>
          <w:p w14:paraId="737ADC5E">
            <w:pPr>
              <w:pStyle w:val="7"/>
              <w:spacing w:line="360" w:lineRule="auto"/>
              <w:rPr>
                <w:rFonts w:hint="eastAsia" w:ascii="宋体" w:hAnsi="宋体" w:eastAsia="宋体" w:cs="宋体"/>
                <w:sz w:val="24"/>
                <w:szCs w:val="24"/>
              </w:rPr>
            </w:pPr>
            <w:r>
              <w:rPr>
                <w:rFonts w:hint="eastAsia" w:ascii="宋体" w:hAnsi="宋体" w:eastAsia="宋体" w:cs="宋体"/>
                <w:sz w:val="24"/>
                <w:szCs w:val="24"/>
              </w:rPr>
              <w:t xml:space="preserve"> 技术参数与性能指标</w:t>
            </w:r>
          </w:p>
        </w:tc>
      </w:tr>
      <w:tr w14:paraId="4A81C5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noWrap w:val="0"/>
            <w:vAlign w:val="center"/>
          </w:tcPr>
          <w:p w14:paraId="1B0F901C">
            <w:pPr>
              <w:pStyle w:val="7"/>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p>
        </w:tc>
        <w:tc>
          <w:tcPr>
            <w:tcW w:w="8522" w:type="dxa"/>
            <w:noWrap w:val="0"/>
            <w:vAlign w:val="top"/>
          </w:tcPr>
          <w:p w14:paraId="403DBD9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1.业务概览：</w:t>
            </w:r>
          </w:p>
          <w:p w14:paraId="0BD679D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(1)研考试题申报汇总</w:t>
            </w:r>
          </w:p>
          <w:p w14:paraId="02CF8FF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数据资源配置：配置考场安排数据、试题申报数据、试题备用数据；可选配任务中心数据采集任务为数据来源，实现多维度统计；任务中心特定任务的选取、替换功能。</w:t>
            </w:r>
          </w:p>
          <w:p w14:paraId="4AB7F18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各科试卷袋数据量统计：汇总统计当前考试年度对应的考点、科目、试卷袋数据信息，并提供查询、合计、汇算数据下载、批量导出；</w:t>
            </w:r>
          </w:p>
          <w:p w14:paraId="76141E0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提供科目数据查询、各科试卷袋数量统计计算；按科目、考点进行试题汇总计算；按科目、考点、袋数纵向合计计算； 试卷袋数量联合查询；汇总结果按照特定格式导出（适配A3打印纸）；汇总结果批量导出。</w:t>
            </w:r>
          </w:p>
          <w:p w14:paraId="03ED9B0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试题申报年度汇总统计：汇总统计当前年度对应的试卷实用数据、试卷备用数据、试卷实发数据信息，并提供查询、合计、汇算数据下载；</w:t>
            </w:r>
          </w:p>
          <w:p w14:paraId="67D2A3A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实用表汇总统计，实用表纵向合计统计；实用表列表查询；实用表汇总结果按照特定格式导出（适配A3打印纸）；提供备用表汇总统计，备用表纵向合计统计；备用表列表查询；备用表汇总结果按照特定格式导出（适配A3打印纸）；提供实发表汇总统计（包含实用、备用表联合计算），实发表纵向合计统计；实发表列表查询；实发表汇总结果按照特定格式导出（适配A3打印纸）。</w:t>
            </w:r>
          </w:p>
          <w:p w14:paraId="50DE19F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试题领取登记：汇总统计当前年度对应的试题需用、备用、实发、实发袋数信息，并提供查询、合计、汇算数据下载、批量导出；提供报名点数据查询、试题领取数量统计计算（包含实用、备用试卷/试卷袋数据联合计算）；汇总计算各考点全部科目对应试题需用、试题备用、试题实发数量；试题领取数量联合查询；汇总结果按照特定格式导出；汇总结果批量导出。</w:t>
            </w:r>
          </w:p>
          <w:p w14:paraId="78444E3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(2)研究生录取审核</w:t>
            </w:r>
          </w:p>
          <w:p w14:paraId="668F3D4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业务参数配置：操作年份配置、业务关联码表配置、用户关联配置，提供默认操作年份，用户数据关联、码表校验服务，范围适用于全局业务。</w:t>
            </w:r>
          </w:p>
          <w:p w14:paraId="5EF15CE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硕士录取审核库表上传业务：硕士专业库、报考库、拟录取库、军队标记、破格标记文件全量上传、增量上传；多类型数据校验、码表联合校验，标识位及错误值回显；校验结果选择性忽略功能、批量忽略功能；数据导入成功的忽略记录可回溯、提供查询、下载；涉及大数据场景下的文件上传、解析、校验、落库采用任务驱动方式分步执行；优化批量数据写入、比对效率；导入数据联合查询。</w:t>
            </w:r>
          </w:p>
          <w:p w14:paraId="3D78238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硕士录取初审审核：包含业务数据多层级分组统计、查询；全局统计显示；录取单位、专业考生批量审核、批量撤销；多选、单选考生审核、撤销；审核结果查询。</w:t>
            </w:r>
          </w:p>
          <w:p w14:paraId="35AF171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硕士录取院长审核：包含业务数据多层级分组统计、查询；全局统计显示；录取单位、专业考生批量审核、批量撤销；多选、单选考生审核、撤销；审核结果查询。</w:t>
            </w:r>
          </w:p>
          <w:p w14:paraId="094968C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硕士录取终审结果查询：特定字段数据在显示、导出时按规则进行转化适配；审核结果按照特定格式导出（适配A3打印纸）；支持军队计划、地方计划分页合并导出；支持PDF签名导出；支持全部导出。</w:t>
            </w:r>
          </w:p>
          <w:p w14:paraId="505E229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博士录取审核库表上传业务：报考库、录取库、军队标记文件全量上传、增量上传；多类型数据校验、码表联合校验，标识位及错误值回显；校验结果选择性忽略功能、批量忽略功能；数据导入成功的忽略记录可回溯、提供查询、下载；涉及大数据场景下的文件上传、解析、校验、落库采用任务驱动方式分步执行；优化批量数据写入、比对效率；导入数据联合查询。</w:t>
            </w:r>
          </w:p>
          <w:p w14:paraId="21E4AD0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博士录取初审审核：包含业务录取单位统计、查询；全局统计显示；考生批量审核、批量撤销；多选、单选考生审核、撤销；审核结果查询。</w:t>
            </w:r>
          </w:p>
          <w:p w14:paraId="077274E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博士录取院长审核：包含业务录取单位统计、查询；全局统计显示；考生批量审核、批量撤销；多选、单选考生审核、撤销；审核结果查询。</w:t>
            </w:r>
          </w:p>
          <w:p w14:paraId="037B3F2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博士录取终审结果查询；特定字段数据在显示、导出时按规则进行转化适配；审核结果按照特定格式导出（适配A3打印纸）；支持军队计划、地方计划分页合并导出；支持PDF签名导出；支持全部导出。</w:t>
            </w:r>
          </w:p>
          <w:p w14:paraId="70A430F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(3)智能巡查</w:t>
            </w:r>
          </w:p>
          <w:p w14:paraId="1371A82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智能巡查告警信息查询页面；提供省、市、县、校四级智能巡查告警信息列表查询；提供告警类别、智能分析内容、告警时间段等多条件高级检索；告警信息详情查询；告警事件信息、图片展示；告警视频在线播放。</w:t>
            </w:r>
          </w:p>
          <w:p w14:paraId="1DE12F7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(4)业务完善与改进</w:t>
            </w:r>
          </w:p>
          <w:p w14:paraId="21D35BE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部分业务场景功能完善；优化部分场景下系统响应能力调优。</w:t>
            </w:r>
          </w:p>
        </w:tc>
      </w:tr>
      <w:tr w14:paraId="729B26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noWrap w:val="0"/>
            <w:vAlign w:val="center"/>
          </w:tcPr>
          <w:p w14:paraId="53926EAB">
            <w:pPr>
              <w:pStyle w:val="7"/>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p>
        </w:tc>
        <w:tc>
          <w:tcPr>
            <w:tcW w:w="8522" w:type="dxa"/>
            <w:noWrap w:val="0"/>
            <w:vAlign w:val="top"/>
          </w:tcPr>
          <w:p w14:paraId="12929BF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2.业务说明：</w:t>
            </w:r>
          </w:p>
          <w:p w14:paraId="797FC61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（1）研考试题申报汇总</w:t>
            </w:r>
          </w:p>
          <w:p w14:paraId="69AF4C3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1）数据源配置</w:t>
            </w:r>
          </w:p>
          <w:p w14:paraId="352F594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研考省级用户通过综合管理平台研考试题申报汇总任意页面，进行数据源配置；支持管理员用户实时调整配置。</w:t>
            </w:r>
          </w:p>
          <w:p w14:paraId="2E7EFD7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74310" cy="2606040"/>
                  <wp:effectExtent l="0" t="0" r="2540" b="381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4"/>
                          <a:stretch>
                            <a:fillRect/>
                          </a:stretch>
                        </pic:blipFill>
                        <pic:spPr>
                          <a:xfrm>
                            <a:off x="0" y="0"/>
                            <a:ext cx="5274310" cy="2606040"/>
                          </a:xfrm>
                          <a:prstGeom prst="rect">
                            <a:avLst/>
                          </a:prstGeom>
                          <a:noFill/>
                          <a:ln>
                            <a:noFill/>
                          </a:ln>
                        </pic:spPr>
                      </pic:pic>
                    </a:graphicData>
                  </a:graphic>
                </wp:inline>
              </w:drawing>
            </w:r>
          </w:p>
          <w:p w14:paraId="3E23FCD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配置【考场安排表】：</w:t>
            </w:r>
          </w:p>
          <w:p w14:paraId="1A7E96B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点击考场安排表【选择】按钮，会弹出数据采集任务中的考场安排表填报任务，选中需要参与汇总的数据采集任务，进行配置。</w:t>
            </w:r>
          </w:p>
          <w:p w14:paraId="2379846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74310" cy="2044065"/>
                  <wp:effectExtent l="0" t="0" r="2540" b="13335"/>
                  <wp:docPr id="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icPr>
                        <pic:blipFill>
                          <a:blip r:embed="rId5"/>
                          <a:stretch>
                            <a:fillRect/>
                          </a:stretch>
                        </pic:blipFill>
                        <pic:spPr>
                          <a:xfrm>
                            <a:off x="0" y="0"/>
                            <a:ext cx="5274310" cy="2044065"/>
                          </a:xfrm>
                          <a:prstGeom prst="rect">
                            <a:avLst/>
                          </a:prstGeom>
                          <a:noFill/>
                          <a:ln>
                            <a:noFill/>
                          </a:ln>
                        </pic:spPr>
                      </pic:pic>
                    </a:graphicData>
                  </a:graphic>
                </wp:inline>
              </w:drawing>
            </w:r>
          </w:p>
          <w:p w14:paraId="18A0CB5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配置【试题申报表】：</w:t>
            </w:r>
          </w:p>
          <w:p w14:paraId="5451FFA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点击试题申报表【选择】按钮，会弹出数据采集任务中的试题申报表填报任务，选中需要参与汇总的数据采集任务，进行配置。</w:t>
            </w:r>
          </w:p>
          <w:p w14:paraId="6D4E7F0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74310" cy="2244090"/>
                  <wp:effectExtent l="0" t="0" r="2540" b="381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6"/>
                          <a:stretch>
                            <a:fillRect/>
                          </a:stretch>
                        </pic:blipFill>
                        <pic:spPr>
                          <a:xfrm>
                            <a:off x="0" y="0"/>
                            <a:ext cx="5274310" cy="2244090"/>
                          </a:xfrm>
                          <a:prstGeom prst="rect">
                            <a:avLst/>
                          </a:prstGeom>
                          <a:noFill/>
                          <a:ln>
                            <a:noFill/>
                          </a:ln>
                        </pic:spPr>
                      </pic:pic>
                    </a:graphicData>
                  </a:graphic>
                </wp:inline>
              </w:drawing>
            </w:r>
          </w:p>
          <w:p w14:paraId="6647516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配置【试题备用表】：</w:t>
            </w:r>
          </w:p>
          <w:p w14:paraId="67AD87D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点击试题备用表【选择】按钮，会弹出文件上传框、已传文件选择框；当没有上传试题备用表数据时，列表为空。此时需要上传准备好的试题备用表，当上传完毕后，页面中会回显已上传的数据信息，以列表形式存在；选中要使用的试题申报备用表完成配置。</w:t>
            </w:r>
          </w:p>
          <w:p w14:paraId="62E3AB4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9230" cy="2537460"/>
                  <wp:effectExtent l="0" t="0" r="7620" b="15240"/>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icPr>
                        <pic:blipFill>
                          <a:blip r:embed="rId7"/>
                          <a:stretch>
                            <a:fillRect/>
                          </a:stretch>
                        </pic:blipFill>
                        <pic:spPr>
                          <a:xfrm>
                            <a:off x="0" y="0"/>
                            <a:ext cx="5269230" cy="2537460"/>
                          </a:xfrm>
                          <a:prstGeom prst="rect">
                            <a:avLst/>
                          </a:prstGeom>
                          <a:noFill/>
                          <a:ln>
                            <a:noFill/>
                          </a:ln>
                        </pic:spPr>
                      </pic:pic>
                    </a:graphicData>
                  </a:graphic>
                </wp:inline>
              </w:drawing>
            </w:r>
          </w:p>
          <w:p w14:paraId="27D8BD5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【上传】上传方式为删除原有数据上传，（机制：当前年度全部删除，重新上传）。</w:t>
            </w:r>
          </w:p>
          <w:p w14:paraId="141AFB3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【删除】删除已上传的数据。</w:t>
            </w:r>
          </w:p>
          <w:p w14:paraId="1FB5A63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【下载】下载已上传的数据。</w:t>
            </w:r>
          </w:p>
          <w:p w14:paraId="5E53645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【配置回显】完成数据源配置后，表格标题会回显已配置的数据表，供核实查阅。</w:t>
            </w:r>
          </w:p>
          <w:p w14:paraId="090E978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74310" cy="2567305"/>
                  <wp:effectExtent l="0" t="0" r="2540" b="4445"/>
                  <wp:docPr id="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pic:cNvPicPr>
                            <a:picLocks noChangeAspect="1"/>
                          </pic:cNvPicPr>
                        </pic:nvPicPr>
                        <pic:blipFill>
                          <a:blip r:embed="rId8"/>
                          <a:stretch>
                            <a:fillRect/>
                          </a:stretch>
                        </pic:blipFill>
                        <pic:spPr>
                          <a:xfrm>
                            <a:off x="0" y="0"/>
                            <a:ext cx="5274310" cy="2567305"/>
                          </a:xfrm>
                          <a:prstGeom prst="rect">
                            <a:avLst/>
                          </a:prstGeom>
                          <a:noFill/>
                          <a:ln>
                            <a:noFill/>
                          </a:ln>
                        </pic:spPr>
                      </pic:pic>
                    </a:graphicData>
                  </a:graphic>
                </wp:inline>
              </w:drawing>
            </w:r>
          </w:p>
          <w:p w14:paraId="1DF3D0E8">
            <w:pPr>
              <w:pStyle w:val="7"/>
              <w:spacing w:line="360" w:lineRule="auto"/>
              <w:rPr>
                <w:rFonts w:hint="eastAsia" w:ascii="宋体" w:hAnsi="宋体" w:eastAsia="宋体" w:cs="宋体"/>
                <w:color w:val="auto"/>
                <w:sz w:val="24"/>
                <w:szCs w:val="24"/>
                <w:lang w:val="en-US" w:eastAsia="zh-CN"/>
              </w:rPr>
            </w:pPr>
          </w:p>
          <w:p w14:paraId="3686667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2）各科试卷袋数量统计（需配置试题申报表数据源）</w:t>
            </w:r>
          </w:p>
          <w:p w14:paraId="0DE9D3E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左侧列表为科目信息，右侧为当前科目查对应的各个考点的试题申报数量实时统计。</w:t>
            </w:r>
          </w:p>
          <w:p w14:paraId="5F288B7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【查询】点击左侧科目切换，实时查询；序号、报名点代码、报名点名称三列固定，后面滑动显示，方便查阅。</w:t>
            </w:r>
          </w:p>
          <w:p w14:paraId="60AE761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【刷新】重新统计当前科目对应的汇总信息。</w:t>
            </w:r>
          </w:p>
          <w:p w14:paraId="6844F62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8735"/>
                  <wp:effectExtent l="0" t="0" r="10160" b="12065"/>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icPr>
                        <pic:blipFill>
                          <a:blip r:embed="rId9"/>
                          <a:stretch>
                            <a:fillRect/>
                          </a:stretch>
                        </pic:blipFill>
                        <pic:spPr>
                          <a:xfrm>
                            <a:off x="0" y="0"/>
                            <a:ext cx="5266690" cy="2578735"/>
                          </a:xfrm>
                          <a:prstGeom prst="rect">
                            <a:avLst/>
                          </a:prstGeom>
                          <a:noFill/>
                          <a:ln>
                            <a:noFill/>
                          </a:ln>
                        </pic:spPr>
                      </pic:pic>
                    </a:graphicData>
                  </a:graphic>
                </wp:inline>
              </w:drawing>
            </w:r>
          </w:p>
          <w:p w14:paraId="640511C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【导出】文件名称规范：科目代码+年度+统计表信息。</w:t>
            </w:r>
          </w:p>
          <w:p w14:paraId="3C28DDF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4076065" cy="247015"/>
                  <wp:effectExtent l="0" t="0" r="635" b="635"/>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icPr>
                        <pic:blipFill>
                          <a:blip r:embed="rId10"/>
                          <a:stretch>
                            <a:fillRect/>
                          </a:stretch>
                        </pic:blipFill>
                        <pic:spPr>
                          <a:xfrm>
                            <a:off x="0" y="0"/>
                            <a:ext cx="4076065" cy="247015"/>
                          </a:xfrm>
                          <a:prstGeom prst="rect">
                            <a:avLst/>
                          </a:prstGeom>
                          <a:noFill/>
                          <a:ln>
                            <a:noFill/>
                          </a:ln>
                        </pic:spPr>
                      </pic:pic>
                    </a:graphicData>
                  </a:graphic>
                </wp:inline>
              </w:drawing>
            </w:r>
          </w:p>
          <w:p w14:paraId="76E2A70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【文件内容】按照原文件模板格式生成。文件中的年度、科目代码、科目名称已对应查询条件。</w:t>
            </w:r>
          </w:p>
          <w:p w14:paraId="223E1EF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71135" cy="5173345"/>
                  <wp:effectExtent l="0" t="0" r="5715" b="8255"/>
                  <wp:docPr id="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
                          <pic:cNvPicPr>
                            <a:picLocks noChangeAspect="1"/>
                          </pic:cNvPicPr>
                        </pic:nvPicPr>
                        <pic:blipFill>
                          <a:blip r:embed="rId11"/>
                          <a:stretch>
                            <a:fillRect/>
                          </a:stretch>
                        </pic:blipFill>
                        <pic:spPr>
                          <a:xfrm>
                            <a:off x="0" y="0"/>
                            <a:ext cx="5271135" cy="5173345"/>
                          </a:xfrm>
                          <a:prstGeom prst="rect">
                            <a:avLst/>
                          </a:prstGeom>
                          <a:noFill/>
                          <a:ln>
                            <a:noFill/>
                          </a:ln>
                        </pic:spPr>
                      </pic:pic>
                    </a:graphicData>
                  </a:graphic>
                </wp:inline>
              </w:drawing>
            </w:r>
          </w:p>
          <w:p w14:paraId="05284A0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【批量导出】批量导出各个考点的统计结果数据。</w:t>
            </w:r>
          </w:p>
          <w:p w14:paraId="7EA0925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8595" cy="3733800"/>
                  <wp:effectExtent l="0" t="0" r="8255" b="0"/>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icPr>
                        <pic:blipFill>
                          <a:blip r:embed="rId12"/>
                          <a:stretch>
                            <a:fillRect/>
                          </a:stretch>
                        </pic:blipFill>
                        <pic:spPr>
                          <a:xfrm>
                            <a:off x="0" y="0"/>
                            <a:ext cx="5268595" cy="3733800"/>
                          </a:xfrm>
                          <a:prstGeom prst="rect">
                            <a:avLst/>
                          </a:prstGeom>
                          <a:noFill/>
                          <a:ln>
                            <a:noFill/>
                          </a:ln>
                        </pic:spPr>
                      </pic:pic>
                    </a:graphicData>
                  </a:graphic>
                </wp:inline>
              </w:drawing>
            </w:r>
          </w:p>
          <w:p w14:paraId="0CA8A7B8">
            <w:pPr>
              <w:pStyle w:val="7"/>
              <w:spacing w:line="360" w:lineRule="auto"/>
              <w:rPr>
                <w:rFonts w:hint="eastAsia" w:ascii="宋体" w:hAnsi="宋体" w:eastAsia="宋体" w:cs="宋体"/>
                <w:color w:val="auto"/>
                <w:sz w:val="24"/>
                <w:szCs w:val="24"/>
                <w:lang w:val="en-US" w:eastAsia="zh-CN"/>
              </w:rPr>
            </w:pPr>
          </w:p>
          <w:p w14:paraId="17ED9D2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3）试题申报年度汇总统计</w:t>
            </w:r>
          </w:p>
          <w:p w14:paraId="359CEAB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按考点、科目进行试题申报年度汇总统计、合计。</w:t>
            </w:r>
          </w:p>
          <w:p w14:paraId="0E9853C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实用表统计：（需配置考场安排表数据源）按考点、科目进行统计。</w:t>
            </w:r>
          </w:p>
          <w:p w14:paraId="64AA784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【查询】点击【实用表统计】进行实时查询。</w:t>
            </w:r>
          </w:p>
          <w:p w14:paraId="433D06E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【刷新】重新统计当前科目结果。</w:t>
            </w:r>
          </w:p>
          <w:p w14:paraId="10D3598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055" cy="2562860"/>
                  <wp:effectExtent l="0" t="0" r="10795" b="8890"/>
                  <wp:docPr id="2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pic:cNvPicPr>
                            <a:picLocks noChangeAspect="1"/>
                          </pic:cNvPicPr>
                        </pic:nvPicPr>
                        <pic:blipFill>
                          <a:blip r:embed="rId13"/>
                          <a:stretch>
                            <a:fillRect/>
                          </a:stretch>
                        </pic:blipFill>
                        <pic:spPr>
                          <a:xfrm>
                            <a:off x="0" y="0"/>
                            <a:ext cx="5266055" cy="2562860"/>
                          </a:xfrm>
                          <a:prstGeom prst="rect">
                            <a:avLst/>
                          </a:prstGeom>
                          <a:noFill/>
                          <a:ln>
                            <a:noFill/>
                          </a:ln>
                        </pic:spPr>
                      </pic:pic>
                    </a:graphicData>
                  </a:graphic>
                </wp:inline>
              </w:drawing>
            </w:r>
          </w:p>
          <w:p w14:paraId="3CE82F2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【导出】文件名称规范：年度+统计表信息。</w:t>
            </w:r>
          </w:p>
          <w:p w14:paraId="07C88B6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4780915" cy="247015"/>
                  <wp:effectExtent l="0" t="0" r="635" b="635"/>
                  <wp:docPr id="2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pic:cNvPicPr>
                            <a:picLocks noChangeAspect="1"/>
                          </pic:cNvPicPr>
                        </pic:nvPicPr>
                        <pic:blipFill>
                          <a:blip r:embed="rId14"/>
                          <a:stretch>
                            <a:fillRect/>
                          </a:stretch>
                        </pic:blipFill>
                        <pic:spPr>
                          <a:xfrm>
                            <a:off x="0" y="0"/>
                            <a:ext cx="4780915" cy="247015"/>
                          </a:xfrm>
                          <a:prstGeom prst="rect">
                            <a:avLst/>
                          </a:prstGeom>
                          <a:noFill/>
                          <a:ln>
                            <a:noFill/>
                          </a:ln>
                        </pic:spPr>
                      </pic:pic>
                    </a:graphicData>
                  </a:graphic>
                </wp:inline>
              </w:drawing>
            </w:r>
          </w:p>
          <w:p w14:paraId="08A53D4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【文件内容】按照原文件模板格式生成。文件中的年度已对应查询条件。</w:t>
            </w:r>
          </w:p>
          <w:p w14:paraId="33E85F0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71135" cy="3596640"/>
                  <wp:effectExtent l="0" t="0" r="5715" b="3810"/>
                  <wp:docPr id="3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icPr>
                        <pic:blipFill>
                          <a:blip r:embed="rId15"/>
                          <a:stretch>
                            <a:fillRect/>
                          </a:stretch>
                        </pic:blipFill>
                        <pic:spPr>
                          <a:xfrm>
                            <a:off x="0" y="0"/>
                            <a:ext cx="5271135" cy="3596640"/>
                          </a:xfrm>
                          <a:prstGeom prst="rect">
                            <a:avLst/>
                          </a:prstGeom>
                          <a:noFill/>
                          <a:ln>
                            <a:noFill/>
                          </a:ln>
                        </pic:spPr>
                      </pic:pic>
                    </a:graphicData>
                  </a:graphic>
                </wp:inline>
              </w:drawing>
            </w:r>
          </w:p>
          <w:p w14:paraId="18430CD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备用表统计：（需配置试题备用表数据源）按考点、科目进行统计、合计。</w:t>
            </w:r>
          </w:p>
          <w:p w14:paraId="0FA8328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【查询】点击【备用表统计】进行实时查询。</w:t>
            </w:r>
          </w:p>
          <w:p w14:paraId="1E003F2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【刷新】重新统计当前科目结果。</w:t>
            </w:r>
          </w:p>
          <w:p w14:paraId="6F62CF3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1610" cy="2531745"/>
                  <wp:effectExtent l="0" t="0" r="15240" b="1905"/>
                  <wp:docPr id="3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pic:cNvPicPr>
                            <a:picLocks noChangeAspect="1"/>
                          </pic:cNvPicPr>
                        </pic:nvPicPr>
                        <pic:blipFill>
                          <a:blip r:embed="rId16"/>
                          <a:stretch>
                            <a:fillRect/>
                          </a:stretch>
                        </pic:blipFill>
                        <pic:spPr>
                          <a:xfrm>
                            <a:off x="0" y="0"/>
                            <a:ext cx="5261610" cy="2531745"/>
                          </a:xfrm>
                          <a:prstGeom prst="rect">
                            <a:avLst/>
                          </a:prstGeom>
                          <a:noFill/>
                          <a:ln>
                            <a:noFill/>
                          </a:ln>
                        </pic:spPr>
                      </pic:pic>
                    </a:graphicData>
                  </a:graphic>
                </wp:inline>
              </w:drawing>
            </w:r>
          </w:p>
          <w:p w14:paraId="7E70D23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【导出】文件名称规范：年度+统计表信息。</w:t>
            </w:r>
          </w:p>
          <w:p w14:paraId="5B8B4F5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4047490" cy="247015"/>
                  <wp:effectExtent l="0" t="0" r="10160" b="635"/>
                  <wp:docPr id="1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icPr>
                        <pic:blipFill>
                          <a:blip r:embed="rId17"/>
                          <a:stretch>
                            <a:fillRect/>
                          </a:stretch>
                        </pic:blipFill>
                        <pic:spPr>
                          <a:xfrm>
                            <a:off x="0" y="0"/>
                            <a:ext cx="4047490" cy="247015"/>
                          </a:xfrm>
                          <a:prstGeom prst="rect">
                            <a:avLst/>
                          </a:prstGeom>
                          <a:noFill/>
                          <a:ln>
                            <a:noFill/>
                          </a:ln>
                        </pic:spPr>
                      </pic:pic>
                    </a:graphicData>
                  </a:graphic>
                </wp:inline>
              </w:drawing>
            </w:r>
          </w:p>
          <w:p w14:paraId="6CCFEE7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【文件内容】按照原文件模板格式生成。文件中的年度已对应查询条件。</w:t>
            </w:r>
          </w:p>
          <w:p w14:paraId="2EF9EE0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9865" cy="3684270"/>
                  <wp:effectExtent l="0" t="0" r="6985" b="11430"/>
                  <wp:docPr id="3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pic:cNvPicPr>
                            <a:picLocks noChangeAspect="1"/>
                          </pic:cNvPicPr>
                        </pic:nvPicPr>
                        <pic:blipFill>
                          <a:blip r:embed="rId18"/>
                          <a:stretch>
                            <a:fillRect/>
                          </a:stretch>
                        </pic:blipFill>
                        <pic:spPr>
                          <a:xfrm>
                            <a:off x="0" y="0"/>
                            <a:ext cx="5269865" cy="3684270"/>
                          </a:xfrm>
                          <a:prstGeom prst="rect">
                            <a:avLst/>
                          </a:prstGeom>
                          <a:noFill/>
                          <a:ln>
                            <a:noFill/>
                          </a:ln>
                        </pic:spPr>
                      </pic:pic>
                    </a:graphicData>
                  </a:graphic>
                </wp:inline>
              </w:drawing>
            </w:r>
          </w:p>
          <w:p w14:paraId="2EB47C5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实发表统计：（需配置考场安排表、试题备用表数据源）考场安排表统计结果、试题备用表统计结果统计、合计。</w:t>
            </w:r>
          </w:p>
          <w:p w14:paraId="059BD29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【查询】点击【实发表统计】进行实时查询。</w:t>
            </w:r>
          </w:p>
          <w:p w14:paraId="5AF8F0B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【刷新】重新统计当前科目结果。</w:t>
            </w:r>
          </w:p>
          <w:p w14:paraId="6678AA1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268855"/>
                  <wp:effectExtent l="0" t="0" r="10160" b="17145"/>
                  <wp:docPr id="3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pic:cNvPicPr>
                            <a:picLocks noChangeAspect="1"/>
                          </pic:cNvPicPr>
                        </pic:nvPicPr>
                        <pic:blipFill>
                          <a:blip r:embed="rId19"/>
                          <a:stretch>
                            <a:fillRect/>
                          </a:stretch>
                        </pic:blipFill>
                        <pic:spPr>
                          <a:xfrm>
                            <a:off x="0" y="0"/>
                            <a:ext cx="5266690" cy="2268855"/>
                          </a:xfrm>
                          <a:prstGeom prst="rect">
                            <a:avLst/>
                          </a:prstGeom>
                          <a:noFill/>
                          <a:ln>
                            <a:noFill/>
                          </a:ln>
                        </pic:spPr>
                      </pic:pic>
                    </a:graphicData>
                  </a:graphic>
                </wp:inline>
              </w:drawing>
            </w:r>
          </w:p>
          <w:p w14:paraId="2B193D9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【导出】文件名称规范：年度+统计表信息。</w:t>
            </w:r>
          </w:p>
          <w:p w14:paraId="6A56ECE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3885565" cy="180340"/>
                  <wp:effectExtent l="0" t="0" r="635" b="10160"/>
                  <wp:docPr id="3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pic:cNvPicPr>
                            <a:picLocks noChangeAspect="1"/>
                          </pic:cNvPicPr>
                        </pic:nvPicPr>
                        <pic:blipFill>
                          <a:blip r:embed="rId20"/>
                          <a:stretch>
                            <a:fillRect/>
                          </a:stretch>
                        </pic:blipFill>
                        <pic:spPr>
                          <a:xfrm>
                            <a:off x="0" y="0"/>
                            <a:ext cx="3885565" cy="180340"/>
                          </a:xfrm>
                          <a:prstGeom prst="rect">
                            <a:avLst/>
                          </a:prstGeom>
                          <a:noFill/>
                          <a:ln>
                            <a:noFill/>
                          </a:ln>
                        </pic:spPr>
                      </pic:pic>
                    </a:graphicData>
                  </a:graphic>
                </wp:inline>
              </w:drawing>
            </w:r>
          </w:p>
          <w:p w14:paraId="3A213C4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【文件内容】按照原文件模板格式生成。文件中的年度已对应查询条件。</w:t>
            </w:r>
          </w:p>
          <w:p w14:paraId="285BE03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7325" cy="3660140"/>
                  <wp:effectExtent l="0" t="0" r="9525" b="16510"/>
                  <wp:docPr id="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8"/>
                          <pic:cNvPicPr>
                            <a:picLocks noChangeAspect="1"/>
                          </pic:cNvPicPr>
                        </pic:nvPicPr>
                        <pic:blipFill>
                          <a:blip r:embed="rId21"/>
                          <a:stretch>
                            <a:fillRect/>
                          </a:stretch>
                        </pic:blipFill>
                        <pic:spPr>
                          <a:xfrm>
                            <a:off x="0" y="0"/>
                            <a:ext cx="5267325" cy="3660140"/>
                          </a:xfrm>
                          <a:prstGeom prst="rect">
                            <a:avLst/>
                          </a:prstGeom>
                          <a:noFill/>
                          <a:ln>
                            <a:noFill/>
                          </a:ln>
                        </pic:spPr>
                      </pic:pic>
                    </a:graphicData>
                  </a:graphic>
                </wp:inline>
              </w:drawing>
            </w:r>
          </w:p>
          <w:p w14:paraId="07DE069B">
            <w:pPr>
              <w:pStyle w:val="7"/>
              <w:spacing w:line="360" w:lineRule="auto"/>
              <w:rPr>
                <w:rFonts w:hint="eastAsia" w:ascii="宋体" w:hAnsi="宋体" w:eastAsia="宋体" w:cs="宋体"/>
                <w:color w:val="auto"/>
                <w:sz w:val="24"/>
                <w:szCs w:val="24"/>
                <w:lang w:val="en-US" w:eastAsia="zh-CN"/>
              </w:rPr>
            </w:pPr>
          </w:p>
          <w:p w14:paraId="0C5289B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4）试题领取登记表（需配置考场安排表、试题备用表数据源）</w:t>
            </w:r>
          </w:p>
          <w:p w14:paraId="4205737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左侧列表为报名点信息，右侧为当前报名点对应的各个科目的试题需用数量、试题备用数量、试题实发数量实时统计、合计。</w:t>
            </w:r>
          </w:p>
          <w:p w14:paraId="4DC168E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【查询】点击左侧报名点切换，实时查询。</w:t>
            </w:r>
          </w:p>
          <w:p w14:paraId="1E2AC04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【刷新】重新统计当前考点对应的汇总信息。</w:t>
            </w:r>
          </w:p>
          <w:p w14:paraId="253E5BF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254885"/>
                  <wp:effectExtent l="0" t="0" r="10160" b="12065"/>
                  <wp:docPr id="1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9"/>
                          <pic:cNvPicPr>
                            <a:picLocks noChangeAspect="1"/>
                          </pic:cNvPicPr>
                        </pic:nvPicPr>
                        <pic:blipFill>
                          <a:blip r:embed="rId22"/>
                          <a:stretch>
                            <a:fillRect/>
                          </a:stretch>
                        </pic:blipFill>
                        <pic:spPr>
                          <a:xfrm>
                            <a:off x="0" y="0"/>
                            <a:ext cx="5266690" cy="2254885"/>
                          </a:xfrm>
                          <a:prstGeom prst="rect">
                            <a:avLst/>
                          </a:prstGeom>
                          <a:noFill/>
                          <a:ln>
                            <a:noFill/>
                          </a:ln>
                        </pic:spPr>
                      </pic:pic>
                    </a:graphicData>
                  </a:graphic>
                </wp:inline>
              </w:drawing>
            </w:r>
          </w:p>
          <w:p w14:paraId="79BED4F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【导出】文件名称规范：报名点代码+报名点名称+年度+统计表信息。</w:t>
            </w:r>
          </w:p>
          <w:p w14:paraId="77A9FDF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161280" cy="199390"/>
                  <wp:effectExtent l="0" t="0" r="1270" b="10160"/>
                  <wp:docPr id="1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0"/>
                          <pic:cNvPicPr>
                            <a:picLocks noChangeAspect="1"/>
                          </pic:cNvPicPr>
                        </pic:nvPicPr>
                        <pic:blipFill>
                          <a:blip r:embed="rId23"/>
                          <a:stretch>
                            <a:fillRect/>
                          </a:stretch>
                        </pic:blipFill>
                        <pic:spPr>
                          <a:xfrm>
                            <a:off x="0" y="0"/>
                            <a:ext cx="5161280" cy="199390"/>
                          </a:xfrm>
                          <a:prstGeom prst="rect">
                            <a:avLst/>
                          </a:prstGeom>
                          <a:noFill/>
                          <a:ln>
                            <a:noFill/>
                          </a:ln>
                        </pic:spPr>
                      </pic:pic>
                    </a:graphicData>
                  </a:graphic>
                </wp:inline>
              </w:drawing>
            </w:r>
          </w:p>
          <w:p w14:paraId="2E17C81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【文件内容】按照原文件模板格式生成。文件中的年度、报名点代码、报名点名称已对应查询条件。</w:t>
            </w:r>
          </w:p>
          <w:p w14:paraId="7D067A7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3762375" cy="5724525"/>
                  <wp:effectExtent l="0" t="0" r="9525" b="9525"/>
                  <wp:docPr id="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1"/>
                          <pic:cNvPicPr>
                            <a:picLocks noChangeAspect="1"/>
                          </pic:cNvPicPr>
                        </pic:nvPicPr>
                        <pic:blipFill>
                          <a:blip r:embed="rId24"/>
                          <a:stretch>
                            <a:fillRect/>
                          </a:stretch>
                        </pic:blipFill>
                        <pic:spPr>
                          <a:xfrm>
                            <a:off x="0" y="0"/>
                            <a:ext cx="3762375" cy="5724525"/>
                          </a:xfrm>
                          <a:prstGeom prst="rect">
                            <a:avLst/>
                          </a:prstGeom>
                          <a:noFill/>
                          <a:ln>
                            <a:noFill/>
                          </a:ln>
                        </pic:spPr>
                      </pic:pic>
                    </a:graphicData>
                  </a:graphic>
                </wp:inline>
              </w:drawing>
            </w:r>
          </w:p>
          <w:p w14:paraId="41A4C4E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【批量导出】批量导出各个考点的统计结果数据。</w:t>
            </w:r>
          </w:p>
          <w:p w14:paraId="37954B6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8595" cy="3733800"/>
                  <wp:effectExtent l="0" t="0" r="8255" b="0"/>
                  <wp:docPr id="1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2"/>
                          <pic:cNvPicPr>
                            <a:picLocks noChangeAspect="1"/>
                          </pic:cNvPicPr>
                        </pic:nvPicPr>
                        <pic:blipFill>
                          <a:blip r:embed="rId25"/>
                          <a:stretch>
                            <a:fillRect/>
                          </a:stretch>
                        </pic:blipFill>
                        <pic:spPr>
                          <a:xfrm>
                            <a:off x="0" y="0"/>
                            <a:ext cx="5268595" cy="3733800"/>
                          </a:xfrm>
                          <a:prstGeom prst="rect">
                            <a:avLst/>
                          </a:prstGeom>
                          <a:noFill/>
                          <a:ln>
                            <a:noFill/>
                          </a:ln>
                        </pic:spPr>
                      </pic:pic>
                    </a:graphicData>
                  </a:graphic>
                </wp:inline>
              </w:drawing>
            </w:r>
          </w:p>
          <w:p w14:paraId="306E7F35">
            <w:pPr>
              <w:pStyle w:val="7"/>
              <w:spacing w:line="360" w:lineRule="auto"/>
              <w:rPr>
                <w:rFonts w:hint="eastAsia" w:ascii="宋体" w:hAnsi="宋体" w:eastAsia="宋体" w:cs="宋体"/>
                <w:color w:val="auto"/>
                <w:sz w:val="24"/>
                <w:szCs w:val="24"/>
                <w:lang w:val="en-US" w:eastAsia="zh-CN"/>
              </w:rPr>
            </w:pPr>
          </w:p>
          <w:p w14:paraId="538B4B0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（2）研究生录取审核</w:t>
            </w:r>
          </w:p>
          <w:p w14:paraId="6B2A40C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1）参数配置</w:t>
            </w:r>
          </w:p>
          <w:p w14:paraId="2B3C0A0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【操作年份】配置研究生录取审核数据归属年份，通过添加操作年份来管理该年份的全部数据。</w:t>
            </w:r>
          </w:p>
          <w:p w14:paraId="476C04E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【添加】创建一个新的年份，如：2026、2027。</w:t>
            </w:r>
          </w:p>
          <w:p w14:paraId="72F3EB1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【删除】、【批量删除】删除已创建的操作年份；删除已经有业务数据的操作年份，会影响数据的正常流转，操作需谨慎。</w:t>
            </w:r>
          </w:p>
          <w:p w14:paraId="4A25BA1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【设为当前年份】默认年份设置。当前年份为互斥配置，只能启用一个，其他非启用年份会自动关闭；设置当前年份后，研究生录取业务中涉及操作年份的选项默认均为此项。</w:t>
            </w:r>
          </w:p>
          <w:p w14:paraId="0CB9723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4150" cy="2581275"/>
                  <wp:effectExtent l="0" t="0" r="12700" b="9525"/>
                  <wp:docPr id="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3"/>
                          <pic:cNvPicPr>
                            <a:picLocks noChangeAspect="1"/>
                          </pic:cNvPicPr>
                        </pic:nvPicPr>
                        <pic:blipFill>
                          <a:blip r:embed="rId26"/>
                          <a:stretch>
                            <a:fillRect/>
                          </a:stretch>
                        </pic:blipFill>
                        <pic:spPr>
                          <a:xfrm>
                            <a:off x="0" y="0"/>
                            <a:ext cx="5264150" cy="2581275"/>
                          </a:xfrm>
                          <a:prstGeom prst="rect">
                            <a:avLst/>
                          </a:prstGeom>
                          <a:noFill/>
                          <a:ln>
                            <a:noFill/>
                          </a:ln>
                        </pic:spPr>
                      </pic:pic>
                    </a:graphicData>
                  </a:graphic>
                </wp:inline>
              </w:drawing>
            </w:r>
          </w:p>
          <w:p w14:paraId="5C8813B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【业务码表】配置研究生录取业务中用到的全部码表。如：上传业务库表时用到的码表字段验证；查询表单时码表数值的替换等。</w:t>
            </w:r>
          </w:p>
          <w:p w14:paraId="770D4F1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【查询】根据码表名称、代码、数值进行数据检索。</w:t>
            </w:r>
          </w:p>
          <w:p w14:paraId="7144826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【添加】为当前选中的码表增加新的码表值。</w:t>
            </w:r>
          </w:p>
          <w:p w14:paraId="685D205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【删除】、【批量删除】删除选中的码表值。</w:t>
            </w:r>
          </w:p>
          <w:p w14:paraId="3DD3A8F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注意事项：码表值与上传库表验证，表单回显密切相关，删除或变更码表值，需参照业务实际需求进行变更。</w:t>
            </w:r>
          </w:p>
          <w:p w14:paraId="7F1DD3D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8735"/>
                  <wp:effectExtent l="0" t="0" r="10160" b="12065"/>
                  <wp:docPr id="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4"/>
                          <pic:cNvPicPr>
                            <a:picLocks noChangeAspect="1"/>
                          </pic:cNvPicPr>
                        </pic:nvPicPr>
                        <pic:blipFill>
                          <a:blip r:embed="rId27"/>
                          <a:stretch>
                            <a:fillRect/>
                          </a:stretch>
                        </pic:blipFill>
                        <pic:spPr>
                          <a:xfrm>
                            <a:off x="0" y="0"/>
                            <a:ext cx="5266690" cy="2578735"/>
                          </a:xfrm>
                          <a:prstGeom prst="rect">
                            <a:avLst/>
                          </a:prstGeom>
                          <a:noFill/>
                          <a:ln>
                            <a:noFill/>
                          </a:ln>
                        </pic:spPr>
                      </pic:pic>
                    </a:graphicData>
                  </a:graphic>
                </wp:inline>
              </w:drawing>
            </w:r>
          </w:p>
          <w:p w14:paraId="3C594ED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1610" cy="2581275"/>
                  <wp:effectExtent l="0" t="0" r="15240" b="9525"/>
                  <wp:docPr id="1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5"/>
                          <pic:cNvPicPr>
                            <a:picLocks noChangeAspect="1"/>
                          </pic:cNvPicPr>
                        </pic:nvPicPr>
                        <pic:blipFill>
                          <a:blip r:embed="rId28"/>
                          <a:stretch>
                            <a:fillRect/>
                          </a:stretch>
                        </pic:blipFill>
                        <pic:spPr>
                          <a:xfrm>
                            <a:off x="0" y="0"/>
                            <a:ext cx="5261610" cy="2581275"/>
                          </a:xfrm>
                          <a:prstGeom prst="rect">
                            <a:avLst/>
                          </a:prstGeom>
                          <a:noFill/>
                          <a:ln>
                            <a:noFill/>
                          </a:ln>
                        </pic:spPr>
                      </pic:pic>
                    </a:graphicData>
                  </a:graphic>
                </wp:inline>
              </w:drawing>
            </w:r>
          </w:p>
          <w:p w14:paraId="7B1E2CE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【用户关联】配置综管平台与研招代码的关联关系。其中标准化考点为综合平台考点用户，单位代码为数据分发时，代码对应的高校。维护关联表正确，用户才能正确下载分发数据。</w:t>
            </w:r>
          </w:p>
          <w:p w14:paraId="26385EE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【添加单位】增加一条新的对应关系数据。</w:t>
            </w:r>
          </w:p>
          <w:p w14:paraId="7A921F5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【获取单位信息】从研招业务系统拉取本年度已有的招生单位数据。可以重复同一年度的数据，拉取时会替换旧的标准化考点数据。</w:t>
            </w:r>
          </w:p>
          <w:p w14:paraId="537A87C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【编辑】修改单位数据。</w:t>
            </w:r>
          </w:p>
          <w:p w14:paraId="1223594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【删除】删除一条单位数据。</w:t>
            </w:r>
          </w:p>
          <w:p w14:paraId="48AC4D1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74310" cy="2322195"/>
                  <wp:effectExtent l="0" t="0" r="2540" b="1905"/>
                  <wp:docPr id="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6"/>
                          <pic:cNvPicPr>
                            <a:picLocks noChangeAspect="1"/>
                          </pic:cNvPicPr>
                        </pic:nvPicPr>
                        <pic:blipFill>
                          <a:blip r:embed="rId29"/>
                          <a:stretch>
                            <a:fillRect/>
                          </a:stretch>
                        </pic:blipFill>
                        <pic:spPr>
                          <a:xfrm>
                            <a:off x="0" y="0"/>
                            <a:ext cx="5274310" cy="2322195"/>
                          </a:xfrm>
                          <a:prstGeom prst="rect">
                            <a:avLst/>
                          </a:prstGeom>
                          <a:noFill/>
                          <a:ln>
                            <a:noFill/>
                          </a:ln>
                        </pic:spPr>
                      </pic:pic>
                    </a:graphicData>
                  </a:graphic>
                </wp:inline>
              </w:drawing>
            </w:r>
          </w:p>
          <w:p w14:paraId="4A9A24A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74310" cy="2632075"/>
                  <wp:effectExtent l="0" t="0" r="2540" b="15875"/>
                  <wp:docPr id="1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7"/>
                          <pic:cNvPicPr>
                            <a:picLocks noChangeAspect="1"/>
                          </pic:cNvPicPr>
                        </pic:nvPicPr>
                        <pic:blipFill>
                          <a:blip r:embed="rId30"/>
                          <a:stretch>
                            <a:fillRect/>
                          </a:stretch>
                        </pic:blipFill>
                        <pic:spPr>
                          <a:xfrm>
                            <a:off x="0" y="0"/>
                            <a:ext cx="5274310" cy="2632075"/>
                          </a:xfrm>
                          <a:prstGeom prst="rect">
                            <a:avLst/>
                          </a:prstGeom>
                          <a:noFill/>
                          <a:ln>
                            <a:noFill/>
                          </a:ln>
                        </pic:spPr>
                      </pic:pic>
                    </a:graphicData>
                  </a:graphic>
                </wp:inline>
              </w:drawing>
            </w:r>
          </w:p>
          <w:p w14:paraId="63B6EC6A">
            <w:pPr>
              <w:pStyle w:val="7"/>
              <w:spacing w:line="360" w:lineRule="auto"/>
              <w:rPr>
                <w:rFonts w:hint="eastAsia" w:ascii="宋体" w:hAnsi="宋体" w:eastAsia="宋体" w:cs="宋体"/>
                <w:color w:val="auto"/>
                <w:sz w:val="24"/>
                <w:szCs w:val="24"/>
                <w:lang w:val="en-US" w:eastAsia="zh-CN"/>
              </w:rPr>
            </w:pPr>
          </w:p>
          <w:p w14:paraId="080379A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2）硕士录取审核库表上传</w:t>
            </w:r>
          </w:p>
          <w:p w14:paraId="72E5FDB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【专业库】选择需要上传专业库的年份，选择对应的专业库DBF文件，点击上传。</w:t>
            </w:r>
          </w:p>
          <w:p w14:paraId="67ED750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【上传（全量）】系统会先删除当前年份专业库数据再写入新的数据。</w:t>
            </w:r>
          </w:p>
          <w:p w14:paraId="7389474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【上传（增量）】系统会对增量数据进行判断，当增量门类代码、专业代码已存在于系统中时，会替换为增量表上传的新数据；不存在时直接追加数据。</w:t>
            </w:r>
          </w:p>
          <w:p w14:paraId="62854B1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【查询任务进度】点击查询当前上传任务的进度。</w:t>
            </w:r>
          </w:p>
          <w:p w14:paraId="10EC036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【验证忽略】可根据用户需求忽略验证不通过的项，仅对当次上传有效，当上传成功后，忽略标记将自动删除。</w:t>
            </w:r>
          </w:p>
          <w:p w14:paraId="48828F5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任务流程分为：</w:t>
            </w:r>
          </w:p>
          <w:p w14:paraId="5C3D14F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①数据校验：系统正在执行数据校验中...</w:t>
            </w:r>
          </w:p>
          <w:p w14:paraId="6E62417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②校验结束：数据校验结束；当存在检测不通过项时，系统会返回全部检测不通过的数据标识及不通过原因，用户需参照检测结果修正数据后，再次上传。当检测通过时，系统会继续向下执行。</w:t>
            </w:r>
          </w:p>
          <w:p w14:paraId="6AA77F9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③执行入库：检测通过的数据，系统执行批量插入...</w:t>
            </w:r>
          </w:p>
          <w:p w14:paraId="60CFC9D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④入库完成：批量插入已完成，数据全部入库，此时会显示入库的数据条数。</w:t>
            </w:r>
          </w:p>
          <w:p w14:paraId="0FE2DAB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⑤异常终止：当执行任务时发生意外，系统会自动终止操作，请联系管理员处理。</w:t>
            </w:r>
          </w:p>
          <w:p w14:paraId="227B9E0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任务时间：显示当前任务执行环节的时间。</w:t>
            </w:r>
          </w:p>
          <w:p w14:paraId="345CA79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注意事项：当任务处于①数据校验、③执行入库操作时，会停止接收该类型新的上传数据，确保本次数据完整处理后再执行新的任务，保证当前数据的一致与有效性。</w:t>
            </w:r>
          </w:p>
          <w:p w14:paraId="2F221BB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73040" cy="2596515"/>
                  <wp:effectExtent l="0" t="0" r="3810" b="13335"/>
                  <wp:docPr id="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8"/>
                          <pic:cNvPicPr>
                            <a:picLocks noChangeAspect="1"/>
                          </pic:cNvPicPr>
                        </pic:nvPicPr>
                        <pic:blipFill>
                          <a:blip r:embed="rId31"/>
                          <a:stretch>
                            <a:fillRect/>
                          </a:stretch>
                        </pic:blipFill>
                        <pic:spPr>
                          <a:xfrm>
                            <a:off x="0" y="0"/>
                            <a:ext cx="5273040" cy="2596515"/>
                          </a:xfrm>
                          <a:prstGeom prst="rect">
                            <a:avLst/>
                          </a:prstGeom>
                          <a:noFill/>
                          <a:ln>
                            <a:noFill/>
                          </a:ln>
                        </pic:spPr>
                      </pic:pic>
                    </a:graphicData>
                  </a:graphic>
                </wp:inline>
              </w:drawing>
            </w:r>
          </w:p>
          <w:p w14:paraId="0B56374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上传完成后，可通过页面查询条件查询已上传的数据。</w:t>
            </w:r>
          </w:p>
          <w:p w14:paraId="3FE4F41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83815"/>
                  <wp:effectExtent l="0" t="0" r="10160" b="6985"/>
                  <wp:docPr id="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9"/>
                          <pic:cNvPicPr>
                            <a:picLocks noChangeAspect="1"/>
                          </pic:cNvPicPr>
                        </pic:nvPicPr>
                        <pic:blipFill>
                          <a:blip r:embed="rId32"/>
                          <a:stretch>
                            <a:fillRect/>
                          </a:stretch>
                        </pic:blipFill>
                        <pic:spPr>
                          <a:xfrm>
                            <a:off x="0" y="0"/>
                            <a:ext cx="5266690" cy="2583815"/>
                          </a:xfrm>
                          <a:prstGeom prst="rect">
                            <a:avLst/>
                          </a:prstGeom>
                          <a:noFill/>
                          <a:ln>
                            <a:noFill/>
                          </a:ln>
                        </pic:spPr>
                      </pic:pic>
                    </a:graphicData>
                  </a:graphic>
                </wp:inline>
              </w:drawing>
            </w:r>
          </w:p>
          <w:p w14:paraId="668AB42F">
            <w:pPr>
              <w:pStyle w:val="7"/>
              <w:spacing w:line="360" w:lineRule="auto"/>
              <w:rPr>
                <w:rFonts w:hint="eastAsia" w:ascii="宋体" w:hAnsi="宋体" w:eastAsia="宋体" w:cs="宋体"/>
                <w:color w:val="auto"/>
                <w:sz w:val="24"/>
                <w:szCs w:val="24"/>
                <w:lang w:val="en-US" w:eastAsia="zh-CN"/>
              </w:rPr>
            </w:pPr>
          </w:p>
          <w:p w14:paraId="59C8CBE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【报考库】选择需要上传报考库的年份，选择对应的报考库DBF文件，点击上传。</w:t>
            </w:r>
          </w:p>
          <w:p w14:paraId="5FBFAF1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【上传（全量）】系统会先删除当前年份报考库数据再写入新的数据。</w:t>
            </w:r>
          </w:p>
          <w:p w14:paraId="67DA5EE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【上传（增量）】系统会对增量数据进行判断，当增量考生编号已存在于系统中时，会替换为增量表上传的新数据；不存在时直接追加数据。</w:t>
            </w:r>
          </w:p>
          <w:p w14:paraId="07CF574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【查询任务进度】点击查询当前上传任务的进度。</w:t>
            </w:r>
          </w:p>
          <w:p w14:paraId="79B87C8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【验证忽略】可根据用户需求忽略验证不通过的项，仅对当次上传有效，当上传成功后，忽略标记将自动删除。</w:t>
            </w:r>
          </w:p>
          <w:p w14:paraId="1179632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【忽略】可批量忽略验证不通过的项，不能忽略的错误，为不可选中状态。</w:t>
            </w:r>
          </w:p>
          <w:p w14:paraId="0CB9BC1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【取消忽略】可批量取消忽略验证的项。</w:t>
            </w:r>
          </w:p>
          <w:p w14:paraId="1F963DF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【导出验证信息】可导出当前数据验证产生的校验结果信息。</w:t>
            </w:r>
          </w:p>
          <w:p w14:paraId="52A18BD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【查询历史验证信息】查询上一次成功导入时的忽略验证信息。系统仅保存最后一次导入成功时的忽略验证信息，并提供查询。</w:t>
            </w:r>
          </w:p>
          <w:p w14:paraId="4D7C9248">
            <w:pPr>
              <w:pStyle w:val="7"/>
              <w:spacing w:line="360" w:lineRule="auto"/>
              <w:rPr>
                <w:rFonts w:hint="eastAsia" w:ascii="宋体" w:hAnsi="宋体" w:eastAsia="宋体" w:cs="宋体"/>
                <w:color w:val="auto"/>
                <w:sz w:val="24"/>
                <w:szCs w:val="24"/>
                <w:lang w:val="en-US" w:eastAsia="zh-CN"/>
              </w:rPr>
            </w:pPr>
          </w:p>
          <w:p w14:paraId="597D695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任务流程分为：</w:t>
            </w:r>
          </w:p>
          <w:p w14:paraId="6488E1A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①数据校验：系统正在执行数据校验中...</w:t>
            </w:r>
          </w:p>
          <w:p w14:paraId="6DE84DD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②校验结束：数据校验结束；当存在检测不通过项时，系统会返回全部检测不通过的数据标识及不通过原因，用户需参照检测结果修正数据后，再次上传。当检测通过时，系统会继续向下执行。</w:t>
            </w:r>
          </w:p>
          <w:p w14:paraId="289CE2A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③执行入库：检测通过的数据，系统执行批量插入...</w:t>
            </w:r>
          </w:p>
          <w:p w14:paraId="7661CAA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④入库完成：批量插入已完成，数据全部入库，此时会显示入库的数据条数。</w:t>
            </w:r>
          </w:p>
          <w:p w14:paraId="1700207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⑤异常终止：当执行任务时发生意外，系统会自动终止操作，请联系管理员处理。</w:t>
            </w:r>
          </w:p>
          <w:p w14:paraId="2204CEB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任务时间：显示当前任务执行环节的时间。</w:t>
            </w:r>
          </w:p>
          <w:p w14:paraId="624E98A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注意事项：当任务处于①数据校验、③执行入库操作时，会停止接收该类型新的上传数据，确保本次数据完整处理后再执行新的任务，保证当前数据的一致与有效性。</w:t>
            </w:r>
          </w:p>
          <w:p w14:paraId="2C91EF9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95245"/>
                  <wp:effectExtent l="0" t="0" r="10160" b="14605"/>
                  <wp:docPr id="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0"/>
                          <pic:cNvPicPr>
                            <a:picLocks noChangeAspect="1"/>
                          </pic:cNvPicPr>
                        </pic:nvPicPr>
                        <pic:blipFill>
                          <a:blip r:embed="rId33"/>
                          <a:stretch>
                            <a:fillRect/>
                          </a:stretch>
                        </pic:blipFill>
                        <pic:spPr>
                          <a:xfrm>
                            <a:off x="0" y="0"/>
                            <a:ext cx="5266690" cy="2595245"/>
                          </a:xfrm>
                          <a:prstGeom prst="rect">
                            <a:avLst/>
                          </a:prstGeom>
                          <a:noFill/>
                          <a:ln>
                            <a:noFill/>
                          </a:ln>
                        </pic:spPr>
                      </pic:pic>
                    </a:graphicData>
                  </a:graphic>
                </wp:inline>
              </w:drawing>
            </w:r>
          </w:p>
          <w:p w14:paraId="3071A4D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4150" cy="2578735"/>
                  <wp:effectExtent l="0" t="0" r="12700" b="12065"/>
                  <wp:docPr id="1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1"/>
                          <pic:cNvPicPr>
                            <a:picLocks noChangeAspect="1"/>
                          </pic:cNvPicPr>
                        </pic:nvPicPr>
                        <pic:blipFill>
                          <a:blip r:embed="rId34"/>
                          <a:stretch>
                            <a:fillRect/>
                          </a:stretch>
                        </pic:blipFill>
                        <pic:spPr>
                          <a:xfrm>
                            <a:off x="0" y="0"/>
                            <a:ext cx="5264150" cy="2578735"/>
                          </a:xfrm>
                          <a:prstGeom prst="rect">
                            <a:avLst/>
                          </a:prstGeom>
                          <a:noFill/>
                          <a:ln>
                            <a:noFill/>
                          </a:ln>
                        </pic:spPr>
                      </pic:pic>
                    </a:graphicData>
                  </a:graphic>
                </wp:inline>
              </w:drawing>
            </w:r>
          </w:p>
          <w:p w14:paraId="5D59564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上传完成后，可通过页面查询条件查询已上传的数据。</w:t>
            </w:r>
          </w:p>
          <w:p w14:paraId="5DAE4CE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1610" cy="2567940"/>
                  <wp:effectExtent l="0" t="0" r="15240" b="3810"/>
                  <wp:docPr id="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2"/>
                          <pic:cNvPicPr>
                            <a:picLocks noChangeAspect="1"/>
                          </pic:cNvPicPr>
                        </pic:nvPicPr>
                        <pic:blipFill>
                          <a:blip r:embed="rId35"/>
                          <a:stretch>
                            <a:fillRect/>
                          </a:stretch>
                        </pic:blipFill>
                        <pic:spPr>
                          <a:xfrm>
                            <a:off x="0" y="0"/>
                            <a:ext cx="5261610" cy="2567940"/>
                          </a:xfrm>
                          <a:prstGeom prst="rect">
                            <a:avLst/>
                          </a:prstGeom>
                          <a:noFill/>
                          <a:ln>
                            <a:noFill/>
                          </a:ln>
                        </pic:spPr>
                      </pic:pic>
                    </a:graphicData>
                  </a:graphic>
                </wp:inline>
              </w:drawing>
            </w:r>
          </w:p>
          <w:p w14:paraId="4F23C67C">
            <w:pPr>
              <w:pStyle w:val="7"/>
              <w:spacing w:line="360" w:lineRule="auto"/>
              <w:rPr>
                <w:rFonts w:hint="eastAsia" w:ascii="宋体" w:hAnsi="宋体" w:eastAsia="宋体" w:cs="宋体"/>
                <w:color w:val="auto"/>
                <w:sz w:val="24"/>
                <w:szCs w:val="24"/>
                <w:lang w:val="en-US" w:eastAsia="zh-CN"/>
              </w:rPr>
            </w:pPr>
          </w:p>
          <w:p w14:paraId="79CAD0D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【拟录取库】选择需要上传拟录取库的年份，选择对应的拟录取库DBF文件，点击上传。</w:t>
            </w:r>
          </w:p>
          <w:p w14:paraId="271A801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【上传（全量）】系统会先删除当前年份拟录取库数据再写入新的数据。</w:t>
            </w:r>
          </w:p>
          <w:p w14:paraId="1AAB44B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【上传（增量）】系统会对增量数据进行判断，当增量考生编号已存在于系统中时，会替换为增量表上传的新数据；不存在时直接追加数据。</w:t>
            </w:r>
          </w:p>
          <w:p w14:paraId="52CC1C0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【查询任务进度】点击查询当前上传任务的进度。</w:t>
            </w:r>
          </w:p>
          <w:p w14:paraId="55816AF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【验证忽略】可根据用户需求忽略验证不通过的项，仅对当次上传有效，当上传成功后，忽略标记将自动删除。</w:t>
            </w:r>
          </w:p>
          <w:p w14:paraId="0B98467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【忽略】可批量忽略验证不通过的项，不能忽略的错误，为不可选中状态。</w:t>
            </w:r>
          </w:p>
          <w:p w14:paraId="6E6C36C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【取消忽略】可批量取消忽略验证的项。</w:t>
            </w:r>
          </w:p>
          <w:p w14:paraId="72E6BEC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【导出验证信息】可导出当前数据验证产生的校验结果信息。</w:t>
            </w:r>
          </w:p>
          <w:p w14:paraId="4F65ED7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【查询历史验证信息】查询上一次成功导入时的忽略验证信息。系统仅保存最后一次导入成功时的忽略验证信息，并提供查询。</w:t>
            </w:r>
          </w:p>
          <w:p w14:paraId="44707478">
            <w:pPr>
              <w:pStyle w:val="7"/>
              <w:spacing w:line="360" w:lineRule="auto"/>
              <w:rPr>
                <w:rFonts w:hint="eastAsia" w:ascii="宋体" w:hAnsi="宋体" w:eastAsia="宋体" w:cs="宋体"/>
                <w:color w:val="auto"/>
                <w:sz w:val="24"/>
                <w:szCs w:val="24"/>
                <w:lang w:val="en-US" w:eastAsia="zh-CN"/>
              </w:rPr>
            </w:pPr>
          </w:p>
          <w:p w14:paraId="4F054F4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任务流程分为：</w:t>
            </w:r>
          </w:p>
          <w:p w14:paraId="089ECF9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①数据校验：系统正在执行数据校验中...</w:t>
            </w:r>
          </w:p>
          <w:p w14:paraId="4C73138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②校验结束：数据校验结束；当存在检测不通过项时，系统会返回全部检测不通过的数据标识及不通过原因，用户需参照检测结果修正数据后，再次上传。当检测通过时，系统会继续向下执行。</w:t>
            </w:r>
          </w:p>
          <w:p w14:paraId="4A4200B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③执行入库：检测通过的数据，系统执行批量插入...</w:t>
            </w:r>
          </w:p>
          <w:p w14:paraId="208B277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④入库完成：批量插入已完成，数据全部入库，此时会显示入库的数据条数。</w:t>
            </w:r>
          </w:p>
          <w:p w14:paraId="3991612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⑤异常终止：当执行任务时发生意外，系统会自动终止操作，请联系管理员处理。</w:t>
            </w:r>
          </w:p>
          <w:p w14:paraId="476C18E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任务时间：显示当前任务执行环节的时间。</w:t>
            </w:r>
          </w:p>
          <w:p w14:paraId="0CA61FC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注意事项：当任务处于①数据校验、③执行入库操作时，会停止接收该类型新的上传数据，确保本次数据完整处理后再执行新的任务，保证当前数据的一致与有效性。</w:t>
            </w:r>
          </w:p>
          <w:p w14:paraId="460A390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34920"/>
                  <wp:effectExtent l="0" t="0" r="10160" b="17780"/>
                  <wp:docPr id="1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3"/>
                          <pic:cNvPicPr>
                            <a:picLocks noChangeAspect="1"/>
                          </pic:cNvPicPr>
                        </pic:nvPicPr>
                        <pic:blipFill>
                          <a:blip r:embed="rId36"/>
                          <a:stretch>
                            <a:fillRect/>
                          </a:stretch>
                        </pic:blipFill>
                        <pic:spPr>
                          <a:xfrm>
                            <a:off x="0" y="0"/>
                            <a:ext cx="5266690" cy="2534920"/>
                          </a:xfrm>
                          <a:prstGeom prst="rect">
                            <a:avLst/>
                          </a:prstGeom>
                          <a:noFill/>
                          <a:ln>
                            <a:noFill/>
                          </a:ln>
                        </pic:spPr>
                      </pic:pic>
                    </a:graphicData>
                  </a:graphic>
                </wp:inline>
              </w:drawing>
            </w:r>
          </w:p>
          <w:p w14:paraId="215B5BE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1610" cy="2597785"/>
                  <wp:effectExtent l="0" t="0" r="15240" b="12065"/>
                  <wp:docPr id="1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4"/>
                          <pic:cNvPicPr>
                            <a:picLocks noChangeAspect="1"/>
                          </pic:cNvPicPr>
                        </pic:nvPicPr>
                        <pic:blipFill>
                          <a:blip r:embed="rId37"/>
                          <a:stretch>
                            <a:fillRect/>
                          </a:stretch>
                        </pic:blipFill>
                        <pic:spPr>
                          <a:xfrm>
                            <a:off x="0" y="0"/>
                            <a:ext cx="5261610" cy="2597785"/>
                          </a:xfrm>
                          <a:prstGeom prst="rect">
                            <a:avLst/>
                          </a:prstGeom>
                          <a:noFill/>
                          <a:ln>
                            <a:noFill/>
                          </a:ln>
                        </pic:spPr>
                      </pic:pic>
                    </a:graphicData>
                  </a:graphic>
                </wp:inline>
              </w:drawing>
            </w:r>
          </w:p>
          <w:p w14:paraId="5D49381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上传完成后，可通过页面查询条件查询已上传的数据。</w:t>
            </w:r>
          </w:p>
          <w:p w14:paraId="0EF6973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58435" cy="2575560"/>
                  <wp:effectExtent l="0" t="0" r="18415" b="15240"/>
                  <wp:docPr id="42"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5"/>
                          <pic:cNvPicPr>
                            <a:picLocks noChangeAspect="1"/>
                          </pic:cNvPicPr>
                        </pic:nvPicPr>
                        <pic:blipFill>
                          <a:blip r:embed="rId38"/>
                          <a:stretch>
                            <a:fillRect/>
                          </a:stretch>
                        </pic:blipFill>
                        <pic:spPr>
                          <a:xfrm>
                            <a:off x="0" y="0"/>
                            <a:ext cx="5258435" cy="2575560"/>
                          </a:xfrm>
                          <a:prstGeom prst="rect">
                            <a:avLst/>
                          </a:prstGeom>
                          <a:noFill/>
                          <a:ln>
                            <a:noFill/>
                          </a:ln>
                        </pic:spPr>
                      </pic:pic>
                    </a:graphicData>
                  </a:graphic>
                </wp:inline>
              </w:drawing>
            </w:r>
          </w:p>
          <w:p w14:paraId="3471FC2D">
            <w:pPr>
              <w:pStyle w:val="7"/>
              <w:spacing w:line="360" w:lineRule="auto"/>
              <w:rPr>
                <w:rFonts w:hint="eastAsia" w:ascii="宋体" w:hAnsi="宋体" w:eastAsia="宋体" w:cs="宋体"/>
                <w:color w:val="auto"/>
                <w:sz w:val="24"/>
                <w:szCs w:val="24"/>
                <w:lang w:val="en-US" w:eastAsia="zh-CN"/>
              </w:rPr>
            </w:pPr>
          </w:p>
          <w:p w14:paraId="34D96BA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【军队标记】选择需要上传军队标记的年份，选择对应的军队标记DBF文件，点击上传。</w:t>
            </w:r>
          </w:p>
          <w:p w14:paraId="5968FA5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【上传（全量）】系统会先删除当前年份军队标记数据再写入新的数据。</w:t>
            </w:r>
          </w:p>
          <w:p w14:paraId="62F7272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【上传（增量）】系统会对增量数据进行判断，当增量考生编号已存在于系统中时，会替换为增量表上传的新数据；不存在时直接追加数据。</w:t>
            </w:r>
          </w:p>
          <w:p w14:paraId="64B8CB2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【查询任务进度】点击查询当前上传任务的进度。</w:t>
            </w:r>
          </w:p>
          <w:p w14:paraId="1F72726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【验证忽略】可根据用户需求忽略验证不通过的项，仅对当次上传有效，当上传成功后，忽略标记将自动删除。</w:t>
            </w:r>
          </w:p>
          <w:p w14:paraId="6F14FDD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【忽略】可批量忽略验证不通过的项，不能忽略的错误，为不可选中状态。</w:t>
            </w:r>
          </w:p>
          <w:p w14:paraId="15B04F1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【取消忽略】可批量取消忽略验证的项。</w:t>
            </w:r>
          </w:p>
          <w:p w14:paraId="5D44275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【导出验证信息】可导出当前数据验证产生的校验结果信息。</w:t>
            </w:r>
          </w:p>
          <w:p w14:paraId="166FDE2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【查询历史验证信息】查询上一次成功导入时的忽略验证信息。系统仅保存最后一次导入成功时的忽略验证信息，并提供查询。</w:t>
            </w:r>
          </w:p>
          <w:p w14:paraId="2B0625B3">
            <w:pPr>
              <w:pStyle w:val="7"/>
              <w:spacing w:line="360" w:lineRule="auto"/>
              <w:rPr>
                <w:rFonts w:hint="eastAsia" w:ascii="宋体" w:hAnsi="宋体" w:eastAsia="宋体" w:cs="宋体"/>
                <w:color w:val="auto"/>
                <w:sz w:val="24"/>
                <w:szCs w:val="24"/>
                <w:lang w:val="en-US" w:eastAsia="zh-CN"/>
              </w:rPr>
            </w:pPr>
          </w:p>
          <w:p w14:paraId="70C99EB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当军队标记不存在于拟录取库中时也会一并检出。</w:t>
            </w:r>
          </w:p>
          <w:p w14:paraId="07DF5D7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任务流程分为：</w:t>
            </w:r>
          </w:p>
          <w:p w14:paraId="772914D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①数据校验：系统正在执行数据校验中...</w:t>
            </w:r>
          </w:p>
          <w:p w14:paraId="5B31A6C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②校验结束：数据校验结束；当存在检测不通过项时，系统会返回全部检测不通过的数据标识及不通过原因，用户需参照检测结果修正数据后，再次上传。当检测通过时，系统会继续向下执行。</w:t>
            </w:r>
          </w:p>
          <w:p w14:paraId="5D25085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③执行入库：检测通过的数据，系统执行批量插入...</w:t>
            </w:r>
          </w:p>
          <w:p w14:paraId="04D8750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④入库完成：批量插入已完成，数据全部入库，此时会显示入库的数据条数。</w:t>
            </w:r>
          </w:p>
          <w:p w14:paraId="03E88D7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⑤异常终止：当执行任务时发生意外，系统会自动终止操作，请联系管理员处理。</w:t>
            </w:r>
          </w:p>
          <w:p w14:paraId="426EE2C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任务时间：显示当前任务执行环节的时间。</w:t>
            </w:r>
          </w:p>
          <w:p w14:paraId="6BD6910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注意事项：当任务处于①数据校验、③执行入库操作时，会停止接收该类型新的上传数据，确保本次数据完整处理后再执行新的任务，保证当前数据的一致与有效性。</w:t>
            </w:r>
          </w:p>
          <w:p w14:paraId="2190501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3020"/>
                  <wp:effectExtent l="0" t="0" r="10160" b="17780"/>
                  <wp:docPr id="51"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6"/>
                          <pic:cNvPicPr>
                            <a:picLocks noChangeAspect="1"/>
                          </pic:cNvPicPr>
                        </pic:nvPicPr>
                        <pic:blipFill>
                          <a:blip r:embed="rId39"/>
                          <a:stretch>
                            <a:fillRect/>
                          </a:stretch>
                        </pic:blipFill>
                        <pic:spPr>
                          <a:xfrm>
                            <a:off x="0" y="0"/>
                            <a:ext cx="5266690" cy="2573020"/>
                          </a:xfrm>
                          <a:prstGeom prst="rect">
                            <a:avLst/>
                          </a:prstGeom>
                          <a:noFill/>
                          <a:ln>
                            <a:noFill/>
                          </a:ln>
                        </pic:spPr>
                      </pic:pic>
                    </a:graphicData>
                  </a:graphic>
                </wp:inline>
              </w:drawing>
            </w:r>
          </w:p>
          <w:p w14:paraId="0A7D9D7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81275"/>
                  <wp:effectExtent l="0" t="0" r="10160" b="9525"/>
                  <wp:docPr id="44"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7"/>
                          <pic:cNvPicPr>
                            <a:picLocks noChangeAspect="1"/>
                          </pic:cNvPicPr>
                        </pic:nvPicPr>
                        <pic:blipFill>
                          <a:blip r:embed="rId40"/>
                          <a:stretch>
                            <a:fillRect/>
                          </a:stretch>
                        </pic:blipFill>
                        <pic:spPr>
                          <a:xfrm>
                            <a:off x="0" y="0"/>
                            <a:ext cx="5266690" cy="2581275"/>
                          </a:xfrm>
                          <a:prstGeom prst="rect">
                            <a:avLst/>
                          </a:prstGeom>
                          <a:noFill/>
                          <a:ln>
                            <a:noFill/>
                          </a:ln>
                        </pic:spPr>
                      </pic:pic>
                    </a:graphicData>
                  </a:graphic>
                </wp:inline>
              </w:drawing>
            </w:r>
          </w:p>
          <w:p w14:paraId="79A9664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上传完成后，可通过页面查询条件查询已上传的数据。</w:t>
            </w:r>
          </w:p>
          <w:p w14:paraId="74F3B56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0480"/>
                  <wp:effectExtent l="0" t="0" r="10160" b="1270"/>
                  <wp:docPr id="49"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8"/>
                          <pic:cNvPicPr>
                            <a:picLocks noChangeAspect="1"/>
                          </pic:cNvPicPr>
                        </pic:nvPicPr>
                        <pic:blipFill>
                          <a:blip r:embed="rId41"/>
                          <a:stretch>
                            <a:fillRect/>
                          </a:stretch>
                        </pic:blipFill>
                        <pic:spPr>
                          <a:xfrm>
                            <a:off x="0" y="0"/>
                            <a:ext cx="5266690" cy="2570480"/>
                          </a:xfrm>
                          <a:prstGeom prst="rect">
                            <a:avLst/>
                          </a:prstGeom>
                          <a:noFill/>
                          <a:ln>
                            <a:noFill/>
                          </a:ln>
                        </pic:spPr>
                      </pic:pic>
                    </a:graphicData>
                  </a:graphic>
                </wp:inline>
              </w:drawing>
            </w:r>
          </w:p>
          <w:p w14:paraId="6B40577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【破格标记】查询有破格标记的考生，可通过页面查询条件查询已上传的数据。</w:t>
            </w:r>
          </w:p>
          <w:p w14:paraId="169A6C8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0480"/>
                  <wp:effectExtent l="0" t="0" r="10160" b="1270"/>
                  <wp:docPr id="43"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9"/>
                          <pic:cNvPicPr>
                            <a:picLocks noChangeAspect="1"/>
                          </pic:cNvPicPr>
                        </pic:nvPicPr>
                        <pic:blipFill>
                          <a:blip r:embed="rId41"/>
                          <a:stretch>
                            <a:fillRect/>
                          </a:stretch>
                        </pic:blipFill>
                        <pic:spPr>
                          <a:xfrm>
                            <a:off x="0" y="0"/>
                            <a:ext cx="5266690" cy="2570480"/>
                          </a:xfrm>
                          <a:prstGeom prst="rect">
                            <a:avLst/>
                          </a:prstGeom>
                          <a:noFill/>
                          <a:ln>
                            <a:noFill/>
                          </a:ln>
                        </pic:spPr>
                      </pic:pic>
                    </a:graphicData>
                  </a:graphic>
                </wp:inline>
              </w:drawing>
            </w:r>
          </w:p>
          <w:p w14:paraId="1821E8F8">
            <w:pPr>
              <w:pStyle w:val="7"/>
              <w:spacing w:line="360" w:lineRule="auto"/>
              <w:rPr>
                <w:rFonts w:hint="eastAsia" w:ascii="宋体" w:hAnsi="宋体" w:eastAsia="宋体" w:cs="宋体"/>
                <w:color w:val="auto"/>
                <w:sz w:val="24"/>
                <w:szCs w:val="24"/>
                <w:lang w:val="en-US" w:eastAsia="zh-CN"/>
              </w:rPr>
            </w:pPr>
          </w:p>
          <w:p w14:paraId="7AEA89F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3）硕士录取初审审核</w:t>
            </w:r>
          </w:p>
          <w:p w14:paraId="75E6975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【硕士录取初审审核】对录取考生进行初审审核，用户查看录取考生数据，并对考生进行审核，未经审核的考生为未审核状态，审核时用户对考生进行标记，审核结果为通过、不通过。</w:t>
            </w:r>
          </w:p>
          <w:p w14:paraId="116D30C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未审核：未经审核的考生，院长审核可审核。</w:t>
            </w:r>
          </w:p>
          <w:p w14:paraId="743606F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通过：已通过初审的考生，院长审核可审核。</w:t>
            </w:r>
          </w:p>
          <w:p w14:paraId="5C32967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不通过：不通过初审的考生，院长审核时不显示该考生，不能参与院长审核。</w:t>
            </w:r>
          </w:p>
          <w:p w14:paraId="676CFE9C">
            <w:pPr>
              <w:pStyle w:val="7"/>
              <w:spacing w:line="360" w:lineRule="auto"/>
              <w:rPr>
                <w:rFonts w:hint="eastAsia" w:ascii="宋体" w:hAnsi="宋体" w:eastAsia="宋体" w:cs="宋体"/>
                <w:color w:val="auto"/>
                <w:sz w:val="24"/>
                <w:szCs w:val="24"/>
                <w:lang w:val="en-US" w:eastAsia="zh-CN"/>
              </w:rPr>
            </w:pPr>
          </w:p>
          <w:p w14:paraId="394E63C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【首行统计】实时统计当前全部录取单位未审核、已通过、未通过、总人数考生数据。</w:t>
            </w:r>
          </w:p>
          <w:p w14:paraId="34753C5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【通过该单位未审核学生】批量通过已选单位全部的未审核考生。</w:t>
            </w:r>
          </w:p>
          <w:p w14:paraId="5123364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【撤销审核结果】撤销全部审核结果，还原为未审核状态。</w:t>
            </w:r>
          </w:p>
          <w:p w14:paraId="6E5BAF1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【录取单位名称】点击后可下探当前单位、考试方式层级。</w:t>
            </w:r>
          </w:p>
          <w:p w14:paraId="35EB1E6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73040" cy="2560320"/>
                  <wp:effectExtent l="0" t="0" r="3810" b="11430"/>
                  <wp:docPr id="35"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0"/>
                          <pic:cNvPicPr>
                            <a:picLocks noChangeAspect="1"/>
                          </pic:cNvPicPr>
                        </pic:nvPicPr>
                        <pic:blipFill>
                          <a:blip r:embed="rId42"/>
                          <a:stretch>
                            <a:fillRect/>
                          </a:stretch>
                        </pic:blipFill>
                        <pic:spPr>
                          <a:xfrm>
                            <a:off x="0" y="0"/>
                            <a:ext cx="5273040" cy="2560320"/>
                          </a:xfrm>
                          <a:prstGeom prst="rect">
                            <a:avLst/>
                          </a:prstGeom>
                          <a:noFill/>
                          <a:ln>
                            <a:noFill/>
                          </a:ln>
                        </pic:spPr>
                      </pic:pic>
                    </a:graphicData>
                  </a:graphic>
                </wp:inline>
              </w:drawing>
            </w:r>
          </w:p>
          <w:p w14:paraId="59F0DB8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【首行统计】实时统计当前考试方式未审核、已通过、未通过、总人数考生数据。</w:t>
            </w:r>
          </w:p>
          <w:p w14:paraId="66B09C9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【考试方式】点击后可下探当前单位、考试方式、门类层级。</w:t>
            </w:r>
          </w:p>
          <w:p w14:paraId="2BEFB70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0480"/>
                  <wp:effectExtent l="0" t="0" r="10160" b="1270"/>
                  <wp:docPr id="45"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1"/>
                          <pic:cNvPicPr>
                            <a:picLocks noChangeAspect="1"/>
                          </pic:cNvPicPr>
                        </pic:nvPicPr>
                        <pic:blipFill>
                          <a:blip r:embed="rId43"/>
                          <a:stretch>
                            <a:fillRect/>
                          </a:stretch>
                        </pic:blipFill>
                        <pic:spPr>
                          <a:xfrm>
                            <a:off x="0" y="0"/>
                            <a:ext cx="5266690" cy="2570480"/>
                          </a:xfrm>
                          <a:prstGeom prst="rect">
                            <a:avLst/>
                          </a:prstGeom>
                          <a:noFill/>
                          <a:ln>
                            <a:noFill/>
                          </a:ln>
                        </pic:spPr>
                      </pic:pic>
                    </a:graphicData>
                  </a:graphic>
                </wp:inline>
              </w:drawing>
            </w:r>
          </w:p>
          <w:p w14:paraId="6E08E08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【首行统计】实时统计当前门类未审核、已通过、未通过、总人数考生数据。</w:t>
            </w:r>
          </w:p>
          <w:p w14:paraId="6338743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【考试方式】点击后可下探当前单位、考试方式、门类、专业层级。</w:t>
            </w:r>
          </w:p>
          <w:p w14:paraId="3D2DD5C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48255"/>
                  <wp:effectExtent l="0" t="0" r="10160" b="4445"/>
                  <wp:docPr id="36"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2"/>
                          <pic:cNvPicPr>
                            <a:picLocks noChangeAspect="1"/>
                          </pic:cNvPicPr>
                        </pic:nvPicPr>
                        <pic:blipFill>
                          <a:blip r:embed="rId44"/>
                          <a:stretch>
                            <a:fillRect/>
                          </a:stretch>
                        </pic:blipFill>
                        <pic:spPr>
                          <a:xfrm>
                            <a:off x="0" y="0"/>
                            <a:ext cx="5266690" cy="2548255"/>
                          </a:xfrm>
                          <a:prstGeom prst="rect">
                            <a:avLst/>
                          </a:prstGeom>
                          <a:noFill/>
                          <a:ln>
                            <a:noFill/>
                          </a:ln>
                        </pic:spPr>
                      </pic:pic>
                    </a:graphicData>
                  </a:graphic>
                </wp:inline>
              </w:drawing>
            </w:r>
          </w:p>
          <w:p w14:paraId="374F439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【首行统计】实时统计当前专业未审核、已通过、未通过、总人数考生数据。</w:t>
            </w:r>
          </w:p>
          <w:p w14:paraId="1933AAC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【考试方式】点击后可下探当前单位、考试方式、门类、专业、考生层级。</w:t>
            </w:r>
          </w:p>
          <w:p w14:paraId="008203CD">
            <w:pPr>
              <w:pStyle w:val="7"/>
              <w:spacing w:line="360" w:lineRule="auto"/>
              <w:rPr>
                <w:rFonts w:hint="eastAsia" w:ascii="宋体" w:hAnsi="宋体" w:eastAsia="宋体" w:cs="宋体"/>
                <w:color w:val="auto"/>
                <w:sz w:val="24"/>
                <w:szCs w:val="24"/>
                <w:lang w:val="en-US" w:eastAsia="zh-CN"/>
              </w:rPr>
            </w:pPr>
          </w:p>
          <w:p w14:paraId="348C8D6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【所有未审核考生（通过）】批量通过当前专业全部的未审核考生，范围（当前专业未审核状态考生）</w:t>
            </w:r>
          </w:p>
          <w:p w14:paraId="3C36DA6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【撤销审核结果】批量撤销当前专业已审核的考生，还原为未审核状态。</w:t>
            </w:r>
          </w:p>
          <w:p w14:paraId="7BD1FF2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【已选考生（通过）】多选选中考生通过。</w:t>
            </w:r>
          </w:p>
          <w:p w14:paraId="0098D46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【已选考生（不通过）】多选选中考生不通过。</w:t>
            </w:r>
          </w:p>
          <w:p w14:paraId="14B2901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【已选考生（撤销）】多选选中考生撤销审核结果。</w:t>
            </w:r>
          </w:p>
          <w:p w14:paraId="5BF259C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【不通过】单选选中考生不通过。</w:t>
            </w:r>
          </w:p>
          <w:p w14:paraId="1E6B5F8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【通过】单选选中考生通过。</w:t>
            </w:r>
          </w:p>
          <w:p w14:paraId="0080803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【返回录取单位】【返回考试方式】【返回门类】点击返回对应的上层节点。</w:t>
            </w:r>
          </w:p>
          <w:p w14:paraId="6C79882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5560"/>
                  <wp:effectExtent l="0" t="0" r="10160" b="15240"/>
                  <wp:docPr id="38"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3"/>
                          <pic:cNvPicPr>
                            <a:picLocks noChangeAspect="1"/>
                          </pic:cNvPicPr>
                        </pic:nvPicPr>
                        <pic:blipFill>
                          <a:blip r:embed="rId45"/>
                          <a:stretch>
                            <a:fillRect/>
                          </a:stretch>
                        </pic:blipFill>
                        <pic:spPr>
                          <a:xfrm>
                            <a:off x="0" y="0"/>
                            <a:ext cx="5266690" cy="2575560"/>
                          </a:xfrm>
                          <a:prstGeom prst="rect">
                            <a:avLst/>
                          </a:prstGeom>
                          <a:noFill/>
                          <a:ln>
                            <a:noFill/>
                          </a:ln>
                        </pic:spPr>
                      </pic:pic>
                    </a:graphicData>
                  </a:graphic>
                </wp:inline>
              </w:drawing>
            </w:r>
          </w:p>
          <w:p w14:paraId="0C79D874">
            <w:pPr>
              <w:pStyle w:val="7"/>
              <w:spacing w:line="360" w:lineRule="auto"/>
              <w:rPr>
                <w:rFonts w:hint="eastAsia" w:ascii="宋体" w:hAnsi="宋体" w:eastAsia="宋体" w:cs="宋体"/>
                <w:color w:val="auto"/>
                <w:sz w:val="24"/>
                <w:szCs w:val="24"/>
                <w:lang w:val="en-US" w:eastAsia="zh-CN"/>
              </w:rPr>
            </w:pPr>
          </w:p>
          <w:p w14:paraId="43742DB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4）硕士录取院长审核</w:t>
            </w:r>
          </w:p>
          <w:p w14:paraId="5C45E2C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【硕士录取院长审核】对录取考生进行终审审核，用户查看初审未审核、已通过的考生数据，并对考生进行终审审核，未经审核的考生为未审核状态，审核时用户对考生进行标记，审核结果为通过、不通过。</w:t>
            </w:r>
          </w:p>
          <w:p w14:paraId="641BB6E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未审核：未经审核的考生（包含初审未审核、已通过的考生）。</w:t>
            </w:r>
          </w:p>
          <w:p w14:paraId="685F9C4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通过：通过终审的考生。</w:t>
            </w:r>
          </w:p>
          <w:p w14:paraId="70A75C9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不通过：不通过终审的考生。</w:t>
            </w:r>
          </w:p>
          <w:p w14:paraId="1707D981">
            <w:pPr>
              <w:pStyle w:val="7"/>
              <w:spacing w:line="360" w:lineRule="auto"/>
              <w:rPr>
                <w:rFonts w:hint="eastAsia" w:ascii="宋体" w:hAnsi="宋体" w:eastAsia="宋体" w:cs="宋体"/>
                <w:color w:val="auto"/>
                <w:sz w:val="24"/>
                <w:szCs w:val="24"/>
                <w:lang w:val="en-US" w:eastAsia="zh-CN"/>
              </w:rPr>
            </w:pPr>
          </w:p>
          <w:p w14:paraId="7724BAA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【首行统计】实时统计当前全部录取单位未审核、已通过、未通过、总人数考生数据。</w:t>
            </w:r>
          </w:p>
          <w:p w14:paraId="7FA8596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【通过该单位未审核学生】批量通过已选单位全部的未审核考生。</w:t>
            </w:r>
          </w:p>
          <w:p w14:paraId="5875E5F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【撤销审核结果】撤销全部审核结果，还原为未审核状态。</w:t>
            </w:r>
          </w:p>
          <w:p w14:paraId="3865030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【录取单位名称】点击后可下探当前单位、考试方式层级。</w:t>
            </w:r>
          </w:p>
          <w:p w14:paraId="369F6B1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04440"/>
                  <wp:effectExtent l="0" t="0" r="10160" b="10160"/>
                  <wp:docPr id="41"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4"/>
                          <pic:cNvPicPr>
                            <a:picLocks noChangeAspect="1"/>
                          </pic:cNvPicPr>
                        </pic:nvPicPr>
                        <pic:blipFill>
                          <a:blip r:embed="rId46"/>
                          <a:stretch>
                            <a:fillRect/>
                          </a:stretch>
                        </pic:blipFill>
                        <pic:spPr>
                          <a:xfrm>
                            <a:off x="0" y="0"/>
                            <a:ext cx="5266690" cy="2504440"/>
                          </a:xfrm>
                          <a:prstGeom prst="rect">
                            <a:avLst/>
                          </a:prstGeom>
                          <a:noFill/>
                          <a:ln>
                            <a:noFill/>
                          </a:ln>
                        </pic:spPr>
                      </pic:pic>
                    </a:graphicData>
                  </a:graphic>
                </wp:inline>
              </w:drawing>
            </w:r>
          </w:p>
          <w:p w14:paraId="2CA688A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【首行统计】实时统计当前考试方式未审核、已通过、未通过、总人数考生数据。</w:t>
            </w:r>
          </w:p>
          <w:p w14:paraId="271CD6D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【考试方式】点击后可下探当前单位、考试方式、门类层级。</w:t>
            </w:r>
          </w:p>
          <w:p w14:paraId="7473791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5560"/>
                  <wp:effectExtent l="0" t="0" r="10160" b="15240"/>
                  <wp:docPr id="40"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5"/>
                          <pic:cNvPicPr>
                            <a:picLocks noChangeAspect="1"/>
                          </pic:cNvPicPr>
                        </pic:nvPicPr>
                        <pic:blipFill>
                          <a:blip r:embed="rId47"/>
                          <a:stretch>
                            <a:fillRect/>
                          </a:stretch>
                        </pic:blipFill>
                        <pic:spPr>
                          <a:xfrm>
                            <a:off x="0" y="0"/>
                            <a:ext cx="5266690" cy="2575560"/>
                          </a:xfrm>
                          <a:prstGeom prst="rect">
                            <a:avLst/>
                          </a:prstGeom>
                          <a:noFill/>
                          <a:ln>
                            <a:noFill/>
                          </a:ln>
                        </pic:spPr>
                      </pic:pic>
                    </a:graphicData>
                  </a:graphic>
                </wp:inline>
              </w:drawing>
            </w:r>
          </w:p>
          <w:p w14:paraId="6737C27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【首行统计】实时统计当前门类未审核、已通过、未通过、总人数考生数据。</w:t>
            </w:r>
          </w:p>
          <w:p w14:paraId="0367975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【考试方式】点击后可下探当前单位、考试方式、门类、专业层级。</w:t>
            </w:r>
          </w:p>
          <w:p w14:paraId="19C0DBB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1610" cy="2589530"/>
                  <wp:effectExtent l="0" t="0" r="15240" b="127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48"/>
                          <a:stretch>
                            <a:fillRect/>
                          </a:stretch>
                        </pic:blipFill>
                        <pic:spPr>
                          <a:xfrm>
                            <a:off x="0" y="0"/>
                            <a:ext cx="5261610" cy="2589530"/>
                          </a:xfrm>
                          <a:prstGeom prst="rect">
                            <a:avLst/>
                          </a:prstGeom>
                          <a:noFill/>
                          <a:ln>
                            <a:noFill/>
                          </a:ln>
                        </pic:spPr>
                      </pic:pic>
                    </a:graphicData>
                  </a:graphic>
                </wp:inline>
              </w:drawing>
            </w:r>
          </w:p>
          <w:p w14:paraId="13A09B5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【首行统计】实时统计当前专业未审核、已通过、未通过、总人数考生数据。</w:t>
            </w:r>
          </w:p>
          <w:p w14:paraId="02374F1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【考试方式】点击后可下探当前单位、考试方式、门类、专业、考生层级。</w:t>
            </w:r>
          </w:p>
          <w:p w14:paraId="464E3D2C">
            <w:pPr>
              <w:pStyle w:val="7"/>
              <w:spacing w:line="360" w:lineRule="auto"/>
              <w:rPr>
                <w:rFonts w:hint="eastAsia" w:ascii="宋体" w:hAnsi="宋体" w:eastAsia="宋体" w:cs="宋体"/>
                <w:color w:val="auto"/>
                <w:sz w:val="24"/>
                <w:szCs w:val="24"/>
                <w:lang w:val="en-US" w:eastAsia="zh-CN"/>
              </w:rPr>
            </w:pPr>
          </w:p>
          <w:p w14:paraId="0D38DD3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【所有未审核考生（通过）】批量通过当前专业全部的未审核考生，范围（当前专业未审核状态考生）</w:t>
            </w:r>
          </w:p>
          <w:p w14:paraId="550B9F1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【撤销审核结果】批量撤销当前专业已审核的考生，还原为未审核状态。</w:t>
            </w:r>
          </w:p>
          <w:p w14:paraId="427D7EC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【已选考生（通过）】多选选中考生通过。</w:t>
            </w:r>
          </w:p>
          <w:p w14:paraId="26854DE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【已选考生（不通过）】多选选中考生不通过。</w:t>
            </w:r>
          </w:p>
          <w:p w14:paraId="1EA8961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【已选考生（撤销）】多选选中考生撤销审核结果。</w:t>
            </w:r>
          </w:p>
          <w:p w14:paraId="37A5721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【不通过】单选选中考生不通过。</w:t>
            </w:r>
          </w:p>
          <w:p w14:paraId="06D68B5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【通过】单选选中考生通过。</w:t>
            </w:r>
          </w:p>
          <w:p w14:paraId="16BB9D2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【返回录取单位】【返回考试方式】【返回门类】点击返回对应的上层节点。</w:t>
            </w:r>
          </w:p>
          <w:p w14:paraId="5DBB79D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34920"/>
                  <wp:effectExtent l="0" t="0" r="10160" b="17780"/>
                  <wp:docPr id="3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7"/>
                          <pic:cNvPicPr>
                            <a:picLocks noChangeAspect="1"/>
                          </pic:cNvPicPr>
                        </pic:nvPicPr>
                        <pic:blipFill>
                          <a:blip r:embed="rId49"/>
                          <a:stretch>
                            <a:fillRect/>
                          </a:stretch>
                        </pic:blipFill>
                        <pic:spPr>
                          <a:xfrm>
                            <a:off x="0" y="0"/>
                            <a:ext cx="5266690" cy="2534920"/>
                          </a:xfrm>
                          <a:prstGeom prst="rect">
                            <a:avLst/>
                          </a:prstGeom>
                          <a:noFill/>
                          <a:ln>
                            <a:noFill/>
                          </a:ln>
                        </pic:spPr>
                      </pic:pic>
                    </a:graphicData>
                  </a:graphic>
                </wp:inline>
              </w:drawing>
            </w:r>
          </w:p>
          <w:p w14:paraId="6898D482">
            <w:pPr>
              <w:pStyle w:val="7"/>
              <w:spacing w:line="360" w:lineRule="auto"/>
              <w:rPr>
                <w:rFonts w:hint="eastAsia" w:ascii="宋体" w:hAnsi="宋体" w:eastAsia="宋体" w:cs="宋体"/>
                <w:color w:val="auto"/>
                <w:sz w:val="24"/>
                <w:szCs w:val="24"/>
                <w:lang w:val="en-US" w:eastAsia="zh-CN"/>
              </w:rPr>
            </w:pPr>
          </w:p>
          <w:p w14:paraId="06E8824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5）硕士录取审核结果</w:t>
            </w:r>
          </w:p>
          <w:p w14:paraId="7106FD4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【硕士录取审核结果】查询院长审核后的最终结果（当初审存在不通过考生时最终结果中将不会显示该考生）。</w:t>
            </w:r>
          </w:p>
          <w:p w14:paraId="785570C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通过查询条件查询对应录取单位的终审审核结果。</w:t>
            </w:r>
          </w:p>
          <w:p w14:paraId="47544B3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0480"/>
                  <wp:effectExtent l="0" t="0" r="10160" b="1270"/>
                  <wp:docPr id="47"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8"/>
                          <pic:cNvPicPr>
                            <a:picLocks noChangeAspect="1"/>
                          </pic:cNvPicPr>
                        </pic:nvPicPr>
                        <pic:blipFill>
                          <a:blip r:embed="rId50"/>
                          <a:stretch>
                            <a:fillRect/>
                          </a:stretch>
                        </pic:blipFill>
                        <pic:spPr>
                          <a:xfrm>
                            <a:off x="0" y="0"/>
                            <a:ext cx="5266690" cy="2570480"/>
                          </a:xfrm>
                          <a:prstGeom prst="rect">
                            <a:avLst/>
                          </a:prstGeom>
                          <a:noFill/>
                          <a:ln>
                            <a:noFill/>
                          </a:ln>
                        </pic:spPr>
                      </pic:pic>
                    </a:graphicData>
                  </a:graphic>
                </wp:inline>
              </w:drawing>
            </w:r>
          </w:p>
          <w:p w14:paraId="0076390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【全部导出】下载最终审核的PDF大表，全部（未审核、已通过、未通过）、未通过、已通过，根据需求导出。</w:t>
            </w:r>
          </w:p>
          <w:p w14:paraId="7F48618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【按单位导出】按检索单位，下载最终审核的PDF大表全部（未审核、已通过、未通过）、未通过、已通过，根据需求导出。</w:t>
            </w:r>
          </w:p>
          <w:p w14:paraId="3006E4F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表单支持签名文件。</w:t>
            </w:r>
          </w:p>
          <w:p w14:paraId="46B1A27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支持人数与页码计算。</w:t>
            </w:r>
          </w:p>
          <w:p w14:paraId="09C4F09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支持军队标记与地方计划分表合并显示。</w:t>
            </w:r>
          </w:p>
          <w:p w14:paraId="4CB0DE0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9230" cy="3886200"/>
                  <wp:effectExtent l="0" t="0" r="7620" b="0"/>
                  <wp:docPr id="3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49"/>
                          <pic:cNvPicPr>
                            <a:picLocks noChangeAspect="1"/>
                          </pic:cNvPicPr>
                        </pic:nvPicPr>
                        <pic:blipFill>
                          <a:blip r:embed="rId51"/>
                          <a:stretch>
                            <a:fillRect/>
                          </a:stretch>
                        </pic:blipFill>
                        <pic:spPr>
                          <a:xfrm>
                            <a:off x="0" y="0"/>
                            <a:ext cx="5269230" cy="3886200"/>
                          </a:xfrm>
                          <a:prstGeom prst="rect">
                            <a:avLst/>
                          </a:prstGeom>
                          <a:noFill/>
                          <a:ln>
                            <a:noFill/>
                          </a:ln>
                        </pic:spPr>
                      </pic:pic>
                    </a:graphicData>
                  </a:graphic>
                </wp:inline>
              </w:drawing>
            </w:r>
          </w:p>
          <w:p w14:paraId="472BB4B3">
            <w:pPr>
              <w:pStyle w:val="7"/>
              <w:spacing w:line="360" w:lineRule="auto"/>
              <w:rPr>
                <w:rFonts w:hint="eastAsia" w:ascii="宋体" w:hAnsi="宋体" w:eastAsia="宋体" w:cs="宋体"/>
                <w:color w:val="auto"/>
                <w:sz w:val="24"/>
                <w:szCs w:val="24"/>
                <w:lang w:val="en-US" w:eastAsia="zh-CN"/>
              </w:rPr>
            </w:pPr>
          </w:p>
          <w:p w14:paraId="67489AD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6）博士录取审核库表上传</w:t>
            </w:r>
          </w:p>
          <w:p w14:paraId="32BB7AE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【报考库】选择需要上传报考库的年份，选择对应的报考库DBF文件，点击上传。</w:t>
            </w:r>
          </w:p>
          <w:p w14:paraId="4880D7C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【上传（全量）】系统会先删除当前年份报考库数据再写入新的数据。</w:t>
            </w:r>
          </w:p>
          <w:p w14:paraId="22708AC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【上传（增量）】系统会对增量数据进行判断，当增量考生编号已存在于系统中时，会替换为增量表上传的新数据；不存在时直接追加数据。</w:t>
            </w:r>
          </w:p>
          <w:p w14:paraId="67A94B8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【查询任务进度】点击查询当前上传任务的进度。</w:t>
            </w:r>
          </w:p>
          <w:p w14:paraId="1F807D4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【验证忽略】可根据用户需求忽略验证不通过的项，仅对当次上传有效，当上传成功后，忽略标记将自动删除。</w:t>
            </w:r>
          </w:p>
          <w:p w14:paraId="41D5ECA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【忽略】可批量忽略验证不通过的项，不能忽略的错误，为不可选中状态。</w:t>
            </w:r>
          </w:p>
          <w:p w14:paraId="497C223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【取消忽略】可批量取消忽略验证的项。</w:t>
            </w:r>
          </w:p>
          <w:p w14:paraId="39613E6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【导出验证信息】可导出当前数据验证产生的校验结果信息。</w:t>
            </w:r>
          </w:p>
          <w:p w14:paraId="36EF67A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【查询历史验证信息】查询上一次成功导入时的忽略验证信息。系统仅保存最后一次导入成功时的忽略验证信息，并提供查询。</w:t>
            </w:r>
          </w:p>
          <w:p w14:paraId="385FD427">
            <w:pPr>
              <w:pStyle w:val="7"/>
              <w:spacing w:line="360" w:lineRule="auto"/>
              <w:rPr>
                <w:rFonts w:hint="eastAsia" w:ascii="宋体" w:hAnsi="宋体" w:eastAsia="宋体" w:cs="宋体"/>
                <w:color w:val="auto"/>
                <w:sz w:val="24"/>
                <w:szCs w:val="24"/>
                <w:lang w:val="en-US" w:eastAsia="zh-CN"/>
              </w:rPr>
            </w:pPr>
          </w:p>
          <w:p w14:paraId="43F012E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任务流程分为：</w:t>
            </w:r>
          </w:p>
          <w:p w14:paraId="298BB90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①数据校验：系统正在执行数据校验中...</w:t>
            </w:r>
          </w:p>
          <w:p w14:paraId="18DE0A7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②校验结束：数据校验结束；当存在检测不通过项时，系统会返回全部检测不通过的数据标识及不通过原因，用户需参照检测结果修正数据后，再次上传。当检测通过时，系统会继续向下执行。</w:t>
            </w:r>
          </w:p>
          <w:p w14:paraId="3CE1D9D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③执行入库：检测通过的数据，系统执行批量插入...</w:t>
            </w:r>
          </w:p>
          <w:p w14:paraId="7E21F05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④入库完成：批量插入已完成，数据全部入库，此时会显示入库的数据条数。</w:t>
            </w:r>
          </w:p>
          <w:p w14:paraId="7F8C575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⑤异常终止：当执行任务时发生意外，系统会自动终止操作，请联系管理员处理。</w:t>
            </w:r>
          </w:p>
          <w:p w14:paraId="3AA7F5B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任务时间：显示当前任务执行环节的时间。</w:t>
            </w:r>
          </w:p>
          <w:p w14:paraId="084F3C0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注意事项：当任务处于①数据校验、③执行入库操作时，会停止接收该类型新的上传数据，确保本次数据完整处理后再执行新的任务，保证当前数据的一致与有效性。</w:t>
            </w:r>
          </w:p>
          <w:p w14:paraId="6E90E01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89530"/>
                  <wp:effectExtent l="0" t="0" r="10160" b="1270"/>
                  <wp:docPr id="48"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0"/>
                          <pic:cNvPicPr>
                            <a:picLocks noChangeAspect="1"/>
                          </pic:cNvPicPr>
                        </pic:nvPicPr>
                        <pic:blipFill>
                          <a:blip r:embed="rId52"/>
                          <a:stretch>
                            <a:fillRect/>
                          </a:stretch>
                        </pic:blipFill>
                        <pic:spPr>
                          <a:xfrm>
                            <a:off x="0" y="0"/>
                            <a:ext cx="5266690" cy="2589530"/>
                          </a:xfrm>
                          <a:prstGeom prst="rect">
                            <a:avLst/>
                          </a:prstGeom>
                          <a:noFill/>
                          <a:ln>
                            <a:noFill/>
                          </a:ln>
                        </pic:spPr>
                      </pic:pic>
                    </a:graphicData>
                  </a:graphic>
                </wp:inline>
              </w:drawing>
            </w:r>
          </w:p>
          <w:p w14:paraId="2D04E0B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4150" cy="2589530"/>
                  <wp:effectExtent l="0" t="0" r="12700" b="1270"/>
                  <wp:docPr id="50"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1"/>
                          <pic:cNvPicPr>
                            <a:picLocks noChangeAspect="1"/>
                          </pic:cNvPicPr>
                        </pic:nvPicPr>
                        <pic:blipFill>
                          <a:blip r:embed="rId53"/>
                          <a:stretch>
                            <a:fillRect/>
                          </a:stretch>
                        </pic:blipFill>
                        <pic:spPr>
                          <a:xfrm>
                            <a:off x="0" y="0"/>
                            <a:ext cx="5264150" cy="2589530"/>
                          </a:xfrm>
                          <a:prstGeom prst="rect">
                            <a:avLst/>
                          </a:prstGeom>
                          <a:noFill/>
                          <a:ln>
                            <a:noFill/>
                          </a:ln>
                        </pic:spPr>
                      </pic:pic>
                    </a:graphicData>
                  </a:graphic>
                </wp:inline>
              </w:drawing>
            </w:r>
          </w:p>
          <w:p w14:paraId="4C009C5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上传完成后，可通过页面查询条件查询已上传的数据。</w:t>
            </w:r>
          </w:p>
          <w:p w14:paraId="605ACEA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86990"/>
                  <wp:effectExtent l="0" t="0" r="10160" b="3810"/>
                  <wp:docPr id="57"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2"/>
                          <pic:cNvPicPr>
                            <a:picLocks noChangeAspect="1"/>
                          </pic:cNvPicPr>
                        </pic:nvPicPr>
                        <pic:blipFill>
                          <a:blip r:embed="rId54"/>
                          <a:stretch>
                            <a:fillRect/>
                          </a:stretch>
                        </pic:blipFill>
                        <pic:spPr>
                          <a:xfrm>
                            <a:off x="0" y="0"/>
                            <a:ext cx="5266690" cy="2586990"/>
                          </a:xfrm>
                          <a:prstGeom prst="rect">
                            <a:avLst/>
                          </a:prstGeom>
                          <a:noFill/>
                          <a:ln>
                            <a:noFill/>
                          </a:ln>
                        </pic:spPr>
                      </pic:pic>
                    </a:graphicData>
                  </a:graphic>
                </wp:inline>
              </w:drawing>
            </w:r>
          </w:p>
          <w:p w14:paraId="465AECE6">
            <w:pPr>
              <w:pStyle w:val="7"/>
              <w:spacing w:line="360" w:lineRule="auto"/>
              <w:rPr>
                <w:rFonts w:hint="eastAsia" w:ascii="宋体" w:hAnsi="宋体" w:eastAsia="宋体" w:cs="宋体"/>
                <w:color w:val="auto"/>
                <w:sz w:val="24"/>
                <w:szCs w:val="24"/>
                <w:lang w:val="en-US" w:eastAsia="zh-CN"/>
              </w:rPr>
            </w:pPr>
          </w:p>
          <w:p w14:paraId="17BEA4C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【录取库】选择需要上传录取库的年份，选择对应的录取库DBF文件，点击上传。</w:t>
            </w:r>
          </w:p>
          <w:p w14:paraId="1DEEA0A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【上传（全量）】系统会先删除当前年份录取库数据再写入新的数据。</w:t>
            </w:r>
          </w:p>
          <w:p w14:paraId="3687712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【上传（增量）】系统会对增量数据进行判断，当增量考生编号已存在于系统中时，会替换为增量表上传的新数据；不存在时直接追加数据。</w:t>
            </w:r>
          </w:p>
          <w:p w14:paraId="34CA6CD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【查询任务进度】点击查询当前上传任务的进度。</w:t>
            </w:r>
          </w:p>
          <w:p w14:paraId="3C568EB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【验证忽略】可根据用户需求忽略验证不通过的项，仅对当次上传有效，当上传成功后，忽略标记将自动删除。</w:t>
            </w:r>
          </w:p>
          <w:p w14:paraId="5FAA3FD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【忽略】可批量忽略验证不通过的项，不能忽略的错误，为不可选中状态。</w:t>
            </w:r>
          </w:p>
          <w:p w14:paraId="6347A67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【取消忽略】可批量取消忽略验证的项。</w:t>
            </w:r>
          </w:p>
          <w:p w14:paraId="7DD1DCF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【导出验证信息】可导出当前数据验证产生的校验结果信息。</w:t>
            </w:r>
          </w:p>
          <w:p w14:paraId="15D3E71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【查询历史验证信息】查询上一次成功导入时的忽略验证信息。系统仅保存最后一次导入成功时的忽略验证信息，并提供查询。</w:t>
            </w:r>
          </w:p>
          <w:p w14:paraId="1B674773">
            <w:pPr>
              <w:pStyle w:val="7"/>
              <w:spacing w:line="360" w:lineRule="auto"/>
              <w:rPr>
                <w:rFonts w:hint="eastAsia" w:ascii="宋体" w:hAnsi="宋体" w:eastAsia="宋体" w:cs="宋体"/>
                <w:color w:val="auto"/>
                <w:sz w:val="24"/>
                <w:szCs w:val="24"/>
                <w:lang w:val="en-US" w:eastAsia="zh-CN"/>
              </w:rPr>
            </w:pPr>
          </w:p>
          <w:p w14:paraId="43E7220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任务流程分为：</w:t>
            </w:r>
          </w:p>
          <w:p w14:paraId="10B87CC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①数据校验：系统正在执行数据校验中...</w:t>
            </w:r>
          </w:p>
          <w:p w14:paraId="769751A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②校验结束：数据校验结束；当存在检测不通过项时，系统会返回全部检测不通过的数据标识及不通过原因，用户需参照检测结果修正数据后，再次上传。当检测通过时，系统会继续向下执行。</w:t>
            </w:r>
          </w:p>
          <w:p w14:paraId="34E0FFC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③执行入库：检测通过的数据，系统执行批量插入...</w:t>
            </w:r>
          </w:p>
          <w:p w14:paraId="1B7DD4E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④入库完成：批量插入已完成，数据全部入库，此时会显示入库的数据条数。</w:t>
            </w:r>
          </w:p>
          <w:p w14:paraId="22636B0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⑤异常终止：当执行任务时发生意外，系统会自动终止操作，请联系管理员处理。</w:t>
            </w:r>
          </w:p>
          <w:p w14:paraId="214D576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任务时间：显示当前任务执行环节的时间。</w:t>
            </w:r>
          </w:p>
          <w:p w14:paraId="4CB58E9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注意事项：当任务处于①数据校验、③执行入库操作时，会停止接收该类型新的上传数据，确保本次数据完整处理后再执行新的任务，保证当前数据的一致与有效性。</w:t>
            </w:r>
          </w:p>
          <w:p w14:paraId="3C35790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8735"/>
                  <wp:effectExtent l="0" t="0" r="10160" b="12065"/>
                  <wp:docPr id="58"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3"/>
                          <pic:cNvPicPr>
                            <a:picLocks noChangeAspect="1"/>
                          </pic:cNvPicPr>
                        </pic:nvPicPr>
                        <pic:blipFill>
                          <a:blip r:embed="rId55"/>
                          <a:stretch>
                            <a:fillRect/>
                          </a:stretch>
                        </pic:blipFill>
                        <pic:spPr>
                          <a:xfrm>
                            <a:off x="0" y="0"/>
                            <a:ext cx="5266690" cy="2578735"/>
                          </a:xfrm>
                          <a:prstGeom prst="rect">
                            <a:avLst/>
                          </a:prstGeom>
                          <a:noFill/>
                          <a:ln>
                            <a:noFill/>
                          </a:ln>
                        </pic:spPr>
                      </pic:pic>
                    </a:graphicData>
                  </a:graphic>
                </wp:inline>
              </w:drawing>
            </w:r>
          </w:p>
          <w:p w14:paraId="7305634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4150" cy="2589530"/>
                  <wp:effectExtent l="0" t="0" r="12700" b="1270"/>
                  <wp:docPr id="56"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4"/>
                          <pic:cNvPicPr>
                            <a:picLocks noChangeAspect="1"/>
                          </pic:cNvPicPr>
                        </pic:nvPicPr>
                        <pic:blipFill>
                          <a:blip r:embed="rId56"/>
                          <a:stretch>
                            <a:fillRect/>
                          </a:stretch>
                        </pic:blipFill>
                        <pic:spPr>
                          <a:xfrm>
                            <a:off x="0" y="0"/>
                            <a:ext cx="5264150" cy="2589530"/>
                          </a:xfrm>
                          <a:prstGeom prst="rect">
                            <a:avLst/>
                          </a:prstGeom>
                          <a:noFill/>
                          <a:ln>
                            <a:noFill/>
                          </a:ln>
                        </pic:spPr>
                      </pic:pic>
                    </a:graphicData>
                  </a:graphic>
                </wp:inline>
              </w:drawing>
            </w:r>
          </w:p>
          <w:p w14:paraId="219733C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上传完成后，可通过页面查询条件查询已上传的数据。</w:t>
            </w:r>
          </w:p>
          <w:p w14:paraId="22E82A9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89530"/>
                  <wp:effectExtent l="0" t="0" r="10160" b="1270"/>
                  <wp:docPr id="66"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5"/>
                          <pic:cNvPicPr>
                            <a:picLocks noChangeAspect="1"/>
                          </pic:cNvPicPr>
                        </pic:nvPicPr>
                        <pic:blipFill>
                          <a:blip r:embed="rId57"/>
                          <a:stretch>
                            <a:fillRect/>
                          </a:stretch>
                        </pic:blipFill>
                        <pic:spPr>
                          <a:xfrm>
                            <a:off x="0" y="0"/>
                            <a:ext cx="5266690" cy="2589530"/>
                          </a:xfrm>
                          <a:prstGeom prst="rect">
                            <a:avLst/>
                          </a:prstGeom>
                          <a:noFill/>
                          <a:ln>
                            <a:noFill/>
                          </a:ln>
                        </pic:spPr>
                      </pic:pic>
                    </a:graphicData>
                  </a:graphic>
                </wp:inline>
              </w:drawing>
            </w:r>
          </w:p>
          <w:p w14:paraId="2AE3DDA5">
            <w:pPr>
              <w:pStyle w:val="7"/>
              <w:spacing w:line="360" w:lineRule="auto"/>
              <w:rPr>
                <w:rFonts w:hint="eastAsia" w:ascii="宋体" w:hAnsi="宋体" w:eastAsia="宋体" w:cs="宋体"/>
                <w:color w:val="auto"/>
                <w:sz w:val="24"/>
                <w:szCs w:val="24"/>
                <w:lang w:val="en-US" w:eastAsia="zh-CN"/>
              </w:rPr>
            </w:pPr>
          </w:p>
          <w:p w14:paraId="366BF19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【军队标记】选择需要上传军队标记的年份，选择对应的军队标记DBF文件，点击上传。</w:t>
            </w:r>
          </w:p>
          <w:p w14:paraId="20D4954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【上传（全量）】系统会先删除当前年份军队标记数据再写入新的数据。</w:t>
            </w:r>
          </w:p>
          <w:p w14:paraId="1F049EF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【上传（增量）】系统会对增量数据进行判断，当增量考生编号已存在于系统中时，会替换为增量表上传的新数据；不存在时直接追加数据。</w:t>
            </w:r>
          </w:p>
          <w:p w14:paraId="7CDF87D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【查询任务进度】点击查询当前上传任务的进度。</w:t>
            </w:r>
          </w:p>
          <w:p w14:paraId="1FDDF19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【验证忽略】可根据用户需求忽略验证不通过的项，仅对当次上传有效，当上传成功后，忽略标记将自动删除。</w:t>
            </w:r>
          </w:p>
          <w:p w14:paraId="2F2D694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【忽略】可批量忽略验证不通过的项，不能忽略的错误，为不可选中状态。</w:t>
            </w:r>
          </w:p>
          <w:p w14:paraId="150C65F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【取消忽略】可批量取消忽略验证的项。</w:t>
            </w:r>
          </w:p>
          <w:p w14:paraId="2E2B5DE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【导出验证信息】可导出当前数据验证产生的校验结果信息。</w:t>
            </w:r>
          </w:p>
          <w:p w14:paraId="731D994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【查询历史验证信息】查询上一次成功导入时的忽略验证信息。系统仅保存最后一次导入成功时的忽略验证信息，并提供查询。</w:t>
            </w:r>
          </w:p>
          <w:p w14:paraId="690FE7F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当军队标记不存在于拟录取库中时也会一并检出。</w:t>
            </w:r>
          </w:p>
          <w:p w14:paraId="76A5F35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任务流程分为：</w:t>
            </w:r>
          </w:p>
          <w:p w14:paraId="4A1A65E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①数据校验：系统正在执行数据校验中...</w:t>
            </w:r>
          </w:p>
          <w:p w14:paraId="31BE02C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②校验结束：数据校验结束；当存在检测不通过项时，系统会返回全部检测不通过的数据标识及不通过原因，用户需参照检测结果修正数据后，再次上传。当检测通过时，系统会继续向下执行。</w:t>
            </w:r>
          </w:p>
          <w:p w14:paraId="01278A0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③执行入库：检测通过的数据，系统执行批量插入...</w:t>
            </w:r>
          </w:p>
          <w:p w14:paraId="1D9A98D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④入库完成：批量插入已完成，数据全部入库，此时会显示入库的数据条数。</w:t>
            </w:r>
          </w:p>
          <w:p w14:paraId="4410741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⑤异常终止：当执行任务时发生意外，系统会自动终止操作，请联系管理员处理。</w:t>
            </w:r>
          </w:p>
          <w:p w14:paraId="2FD5CB9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任务时间：显示当前任务执行环节的时间。</w:t>
            </w:r>
          </w:p>
          <w:p w14:paraId="3E4EB05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注意事项：当任务处于①数据校验、③执行入库操作时，会停止接收该类型新的上传数据，确保本次数据完整处理后再执行新的任务，保证当前数据的一致与有效性。</w:t>
            </w:r>
          </w:p>
          <w:p w14:paraId="7E20DBB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600325"/>
                  <wp:effectExtent l="0" t="0" r="10160" b="9525"/>
                  <wp:docPr id="64"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6"/>
                          <pic:cNvPicPr>
                            <a:picLocks noChangeAspect="1"/>
                          </pic:cNvPicPr>
                        </pic:nvPicPr>
                        <pic:blipFill>
                          <a:blip r:embed="rId58"/>
                          <a:stretch>
                            <a:fillRect/>
                          </a:stretch>
                        </pic:blipFill>
                        <pic:spPr>
                          <a:xfrm>
                            <a:off x="0" y="0"/>
                            <a:ext cx="5266690" cy="2600325"/>
                          </a:xfrm>
                          <a:prstGeom prst="rect">
                            <a:avLst/>
                          </a:prstGeom>
                          <a:noFill/>
                          <a:ln>
                            <a:noFill/>
                          </a:ln>
                        </pic:spPr>
                      </pic:pic>
                    </a:graphicData>
                  </a:graphic>
                </wp:inline>
              </w:drawing>
            </w:r>
          </w:p>
          <w:p w14:paraId="187DC7D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83815"/>
                  <wp:effectExtent l="0" t="0" r="10160" b="6985"/>
                  <wp:docPr id="53"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7"/>
                          <pic:cNvPicPr>
                            <a:picLocks noChangeAspect="1"/>
                          </pic:cNvPicPr>
                        </pic:nvPicPr>
                        <pic:blipFill>
                          <a:blip r:embed="rId59"/>
                          <a:stretch>
                            <a:fillRect/>
                          </a:stretch>
                        </pic:blipFill>
                        <pic:spPr>
                          <a:xfrm>
                            <a:off x="0" y="0"/>
                            <a:ext cx="5266690" cy="2583815"/>
                          </a:xfrm>
                          <a:prstGeom prst="rect">
                            <a:avLst/>
                          </a:prstGeom>
                          <a:noFill/>
                          <a:ln>
                            <a:noFill/>
                          </a:ln>
                        </pic:spPr>
                      </pic:pic>
                    </a:graphicData>
                  </a:graphic>
                </wp:inline>
              </w:drawing>
            </w:r>
          </w:p>
          <w:p w14:paraId="4F8A18E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上传完成后，可通过页面查询条件查询已上传的数据。</w:t>
            </w:r>
          </w:p>
          <w:p w14:paraId="02F125E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4150" cy="2586990"/>
                  <wp:effectExtent l="0" t="0" r="12700" b="3810"/>
                  <wp:docPr id="59"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8"/>
                          <pic:cNvPicPr>
                            <a:picLocks noChangeAspect="1"/>
                          </pic:cNvPicPr>
                        </pic:nvPicPr>
                        <pic:blipFill>
                          <a:blip r:embed="rId60"/>
                          <a:stretch>
                            <a:fillRect/>
                          </a:stretch>
                        </pic:blipFill>
                        <pic:spPr>
                          <a:xfrm>
                            <a:off x="0" y="0"/>
                            <a:ext cx="5264150" cy="2586990"/>
                          </a:xfrm>
                          <a:prstGeom prst="rect">
                            <a:avLst/>
                          </a:prstGeom>
                          <a:noFill/>
                          <a:ln>
                            <a:noFill/>
                          </a:ln>
                        </pic:spPr>
                      </pic:pic>
                    </a:graphicData>
                  </a:graphic>
                </wp:inline>
              </w:drawing>
            </w:r>
          </w:p>
          <w:p w14:paraId="34B656C4">
            <w:pPr>
              <w:pStyle w:val="7"/>
              <w:spacing w:line="360" w:lineRule="auto"/>
              <w:rPr>
                <w:rFonts w:hint="eastAsia" w:ascii="宋体" w:hAnsi="宋体" w:eastAsia="宋体" w:cs="宋体"/>
                <w:color w:val="auto"/>
                <w:sz w:val="24"/>
                <w:szCs w:val="24"/>
                <w:lang w:val="en-US" w:eastAsia="zh-CN"/>
              </w:rPr>
            </w:pPr>
          </w:p>
          <w:p w14:paraId="1D48D5F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7）博士录取初审审核</w:t>
            </w:r>
          </w:p>
          <w:p w14:paraId="4D314E3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【博士录取初审审核】对录取考生进行初审审核，用户查看录取考生数据，并对考生进行审核，未经审核的考生为未审核状态，审核时用户对考生进行标记，审核结果为通过、不通过。</w:t>
            </w:r>
          </w:p>
          <w:p w14:paraId="3FB6793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未审核：未经审核的考生，院长审核可审核。</w:t>
            </w:r>
          </w:p>
          <w:p w14:paraId="64B944E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通过：已通过初审的考生，院长审核可审核。</w:t>
            </w:r>
          </w:p>
          <w:p w14:paraId="7E9C4B4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不通过：不通过初审的考生，院长审核时不显示该考生，不能参与院长审核。</w:t>
            </w:r>
          </w:p>
          <w:p w14:paraId="50A773AD">
            <w:pPr>
              <w:pStyle w:val="7"/>
              <w:spacing w:line="360" w:lineRule="auto"/>
              <w:rPr>
                <w:rFonts w:hint="eastAsia" w:ascii="宋体" w:hAnsi="宋体" w:eastAsia="宋体" w:cs="宋体"/>
                <w:color w:val="auto"/>
                <w:sz w:val="24"/>
                <w:szCs w:val="24"/>
                <w:lang w:val="en-US" w:eastAsia="zh-CN"/>
              </w:rPr>
            </w:pPr>
          </w:p>
          <w:p w14:paraId="60BCDED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【首行统计】实时统计当前全部录取单位未审核、已通过、未通过、总人数考生数据。</w:t>
            </w:r>
          </w:p>
          <w:p w14:paraId="67CFF5D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【通过该单位未审核学生】批量通过已选单位全部的未审核考生。</w:t>
            </w:r>
          </w:p>
          <w:p w14:paraId="0DACD51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【撤销审核结果】撤销全部审核结果，还原为未审核状态。</w:t>
            </w:r>
          </w:p>
          <w:p w14:paraId="72BBC2B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【录取单位名称】点击后可下探当前单位、考生层级。</w:t>
            </w:r>
          </w:p>
          <w:p w14:paraId="2286548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43175"/>
                  <wp:effectExtent l="0" t="0" r="10160" b="9525"/>
                  <wp:docPr id="54"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9"/>
                          <pic:cNvPicPr>
                            <a:picLocks noChangeAspect="1"/>
                          </pic:cNvPicPr>
                        </pic:nvPicPr>
                        <pic:blipFill>
                          <a:blip r:embed="rId61"/>
                          <a:stretch>
                            <a:fillRect/>
                          </a:stretch>
                        </pic:blipFill>
                        <pic:spPr>
                          <a:xfrm>
                            <a:off x="0" y="0"/>
                            <a:ext cx="5266690" cy="2543175"/>
                          </a:xfrm>
                          <a:prstGeom prst="rect">
                            <a:avLst/>
                          </a:prstGeom>
                          <a:noFill/>
                          <a:ln>
                            <a:noFill/>
                          </a:ln>
                        </pic:spPr>
                      </pic:pic>
                    </a:graphicData>
                  </a:graphic>
                </wp:inline>
              </w:drawing>
            </w:r>
          </w:p>
          <w:p w14:paraId="6155CE8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【首行统计】实时统计当前单位未审核、已通过、未通过、总人数考生数据。</w:t>
            </w:r>
          </w:p>
          <w:p w14:paraId="4272EDD0">
            <w:pPr>
              <w:pStyle w:val="7"/>
              <w:spacing w:line="360" w:lineRule="auto"/>
              <w:rPr>
                <w:rFonts w:hint="eastAsia" w:ascii="宋体" w:hAnsi="宋体" w:eastAsia="宋体" w:cs="宋体"/>
                <w:color w:val="auto"/>
                <w:sz w:val="24"/>
                <w:szCs w:val="24"/>
                <w:lang w:val="en-US" w:eastAsia="zh-CN"/>
              </w:rPr>
            </w:pPr>
          </w:p>
          <w:p w14:paraId="540A84D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【所有未审核考生（通过）】批量通过当前单位全部的未审核考生，范围（当前单位未审核状态考生）</w:t>
            </w:r>
          </w:p>
          <w:p w14:paraId="17A53D7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【撤销审核结果】批量撤销当前专业已审核的考生，还原为未审核状态。</w:t>
            </w:r>
          </w:p>
          <w:p w14:paraId="54D689C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【已选考生（通过）】多选选中考生通过。</w:t>
            </w:r>
          </w:p>
          <w:p w14:paraId="4B074C4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【已选考生（不通过）】多选选中考生不通过。</w:t>
            </w:r>
          </w:p>
          <w:p w14:paraId="3623323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【已选考生（撤销）】多选选中考生撤销审核结果。</w:t>
            </w:r>
          </w:p>
          <w:p w14:paraId="68AFB97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【不通过】单选选中考生不通过。</w:t>
            </w:r>
          </w:p>
          <w:p w14:paraId="2AD5F50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【通过】单选选中考生通过。</w:t>
            </w:r>
          </w:p>
          <w:p w14:paraId="1DD0976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【返回录取单位】点击返回对应的上层节点。</w:t>
            </w:r>
          </w:p>
          <w:p w14:paraId="1C03BA6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40000"/>
                  <wp:effectExtent l="0" t="0" r="10160" b="12700"/>
                  <wp:docPr id="63"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0"/>
                          <pic:cNvPicPr>
                            <a:picLocks noChangeAspect="1"/>
                          </pic:cNvPicPr>
                        </pic:nvPicPr>
                        <pic:blipFill>
                          <a:blip r:embed="rId62"/>
                          <a:stretch>
                            <a:fillRect/>
                          </a:stretch>
                        </pic:blipFill>
                        <pic:spPr>
                          <a:xfrm>
                            <a:off x="0" y="0"/>
                            <a:ext cx="5266690" cy="2540000"/>
                          </a:xfrm>
                          <a:prstGeom prst="rect">
                            <a:avLst/>
                          </a:prstGeom>
                          <a:noFill/>
                          <a:ln>
                            <a:noFill/>
                          </a:ln>
                        </pic:spPr>
                      </pic:pic>
                    </a:graphicData>
                  </a:graphic>
                </wp:inline>
              </w:drawing>
            </w:r>
          </w:p>
          <w:p w14:paraId="4488543F">
            <w:pPr>
              <w:pStyle w:val="7"/>
              <w:spacing w:line="360" w:lineRule="auto"/>
              <w:rPr>
                <w:rFonts w:hint="eastAsia" w:ascii="宋体" w:hAnsi="宋体" w:eastAsia="宋体" w:cs="宋体"/>
                <w:color w:val="auto"/>
                <w:sz w:val="24"/>
                <w:szCs w:val="24"/>
                <w:lang w:val="en-US" w:eastAsia="zh-CN"/>
              </w:rPr>
            </w:pPr>
          </w:p>
          <w:p w14:paraId="4103504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8）博士录取院长审核</w:t>
            </w:r>
          </w:p>
          <w:p w14:paraId="1EF6122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【博士录取院长审核】对录取考生进行终审审核，用户查看初审未审核、已通过的考生数据，并对考生进行终审审核，未经审核的考生为未审核状态，审核时用户对考生进行标记，审核结果为通过、不通过。</w:t>
            </w:r>
          </w:p>
          <w:p w14:paraId="3BCE25F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未审核：未经审核的考生（包含初审未审核、已通过的考生）。</w:t>
            </w:r>
          </w:p>
          <w:p w14:paraId="2792415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通过：通过终审的考生。</w:t>
            </w:r>
          </w:p>
          <w:p w14:paraId="4096A64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不通过：不通过终审的考生。</w:t>
            </w:r>
          </w:p>
          <w:p w14:paraId="54498429">
            <w:pPr>
              <w:pStyle w:val="7"/>
              <w:spacing w:line="360" w:lineRule="auto"/>
              <w:rPr>
                <w:rFonts w:hint="eastAsia" w:ascii="宋体" w:hAnsi="宋体" w:eastAsia="宋体" w:cs="宋体"/>
                <w:color w:val="auto"/>
                <w:sz w:val="24"/>
                <w:szCs w:val="24"/>
                <w:lang w:val="en-US" w:eastAsia="zh-CN"/>
              </w:rPr>
            </w:pPr>
          </w:p>
          <w:p w14:paraId="3B2F820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【首行统计】实时统计当前全部录取单位未审核、已通过、未通过、总人数考生数据。</w:t>
            </w:r>
          </w:p>
          <w:p w14:paraId="546602D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【通过该单位未审核学生】批量通过已选单位全部的未审核考生。</w:t>
            </w:r>
          </w:p>
          <w:p w14:paraId="16A98AF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【撤销审核结果】撤销全部审核结果，还原为未审核状态。</w:t>
            </w:r>
          </w:p>
          <w:p w14:paraId="50112E3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【录取单位名称】点击后可下探当前单位、考生层级。</w:t>
            </w:r>
          </w:p>
          <w:p w14:paraId="0015FFD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43175"/>
                  <wp:effectExtent l="0" t="0" r="10160" b="9525"/>
                  <wp:docPr id="55"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61"/>
                          <pic:cNvPicPr>
                            <a:picLocks noChangeAspect="1"/>
                          </pic:cNvPicPr>
                        </pic:nvPicPr>
                        <pic:blipFill>
                          <a:blip r:embed="rId63"/>
                          <a:stretch>
                            <a:fillRect/>
                          </a:stretch>
                        </pic:blipFill>
                        <pic:spPr>
                          <a:xfrm>
                            <a:off x="0" y="0"/>
                            <a:ext cx="5266690" cy="2543175"/>
                          </a:xfrm>
                          <a:prstGeom prst="rect">
                            <a:avLst/>
                          </a:prstGeom>
                          <a:noFill/>
                          <a:ln>
                            <a:noFill/>
                          </a:ln>
                        </pic:spPr>
                      </pic:pic>
                    </a:graphicData>
                  </a:graphic>
                </wp:inline>
              </w:drawing>
            </w:r>
          </w:p>
          <w:p w14:paraId="48DC65B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【首行统计】实时统计当前单位未审核、已通过、未通过、总人数考生数据。</w:t>
            </w:r>
          </w:p>
          <w:p w14:paraId="26640AAF">
            <w:pPr>
              <w:pStyle w:val="7"/>
              <w:spacing w:line="360" w:lineRule="auto"/>
              <w:rPr>
                <w:rFonts w:hint="eastAsia" w:ascii="宋体" w:hAnsi="宋体" w:eastAsia="宋体" w:cs="宋体"/>
                <w:color w:val="auto"/>
                <w:sz w:val="24"/>
                <w:szCs w:val="24"/>
                <w:lang w:val="en-US" w:eastAsia="zh-CN"/>
              </w:rPr>
            </w:pPr>
          </w:p>
          <w:p w14:paraId="1C25BB9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【所有未审核考生（通过）】批量通过当前单位全部的未审核考生，范围（当前单位未审核状态考生）</w:t>
            </w:r>
          </w:p>
          <w:p w14:paraId="09F1640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【撤销审核结果】批量撤销当前专业已审核的考生，还原为未审核状态。</w:t>
            </w:r>
          </w:p>
          <w:p w14:paraId="77AEE9E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【已选考生（通过）】多选选中考生通过。</w:t>
            </w:r>
          </w:p>
          <w:p w14:paraId="0412DA0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【已选考生（不通过）】多选选中考生不通过。</w:t>
            </w:r>
          </w:p>
          <w:p w14:paraId="751A652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【已选考生（撤销）】多选选中考生撤销审核结果。</w:t>
            </w:r>
          </w:p>
          <w:p w14:paraId="78974F3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【不通过】单选选中考生不通过。</w:t>
            </w:r>
          </w:p>
          <w:p w14:paraId="11EDE94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【通过】单选选中考生通过。</w:t>
            </w:r>
          </w:p>
          <w:p w14:paraId="597860C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【返回录取单位】点击返回对应的上层节点。</w:t>
            </w:r>
          </w:p>
          <w:p w14:paraId="4EC937B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37460"/>
                  <wp:effectExtent l="0" t="0" r="10160" b="15240"/>
                  <wp:docPr id="60"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2"/>
                          <pic:cNvPicPr>
                            <a:picLocks noChangeAspect="1"/>
                          </pic:cNvPicPr>
                        </pic:nvPicPr>
                        <pic:blipFill>
                          <a:blip r:embed="rId64"/>
                          <a:stretch>
                            <a:fillRect/>
                          </a:stretch>
                        </pic:blipFill>
                        <pic:spPr>
                          <a:xfrm>
                            <a:off x="0" y="0"/>
                            <a:ext cx="5266690" cy="2537460"/>
                          </a:xfrm>
                          <a:prstGeom prst="rect">
                            <a:avLst/>
                          </a:prstGeom>
                          <a:noFill/>
                          <a:ln>
                            <a:noFill/>
                          </a:ln>
                        </pic:spPr>
                      </pic:pic>
                    </a:graphicData>
                  </a:graphic>
                </wp:inline>
              </w:drawing>
            </w:r>
          </w:p>
          <w:p w14:paraId="5FE9DCCD">
            <w:pPr>
              <w:pStyle w:val="7"/>
              <w:spacing w:line="360" w:lineRule="auto"/>
              <w:rPr>
                <w:rFonts w:hint="eastAsia" w:ascii="宋体" w:hAnsi="宋体" w:eastAsia="宋体" w:cs="宋体"/>
                <w:color w:val="auto"/>
                <w:sz w:val="24"/>
                <w:szCs w:val="24"/>
                <w:lang w:val="en-US" w:eastAsia="zh-CN"/>
              </w:rPr>
            </w:pPr>
          </w:p>
          <w:p w14:paraId="1422048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9）博士录取审核结果</w:t>
            </w:r>
          </w:p>
          <w:p w14:paraId="2FE5D95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【博士录取审核结果】查询院长审核后的最终结果（当初审存在不通过考生时最终结果中将不会显示该考生）。</w:t>
            </w:r>
          </w:p>
          <w:p w14:paraId="6387F87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通过查询条件查询对应录取单位的终审审核结果。</w:t>
            </w:r>
          </w:p>
          <w:p w14:paraId="3B9875C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8735"/>
                  <wp:effectExtent l="0" t="0" r="10160" b="12065"/>
                  <wp:docPr id="65"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3"/>
                          <pic:cNvPicPr>
                            <a:picLocks noChangeAspect="1"/>
                          </pic:cNvPicPr>
                        </pic:nvPicPr>
                        <pic:blipFill>
                          <a:blip r:embed="rId65"/>
                          <a:stretch>
                            <a:fillRect/>
                          </a:stretch>
                        </pic:blipFill>
                        <pic:spPr>
                          <a:xfrm>
                            <a:off x="0" y="0"/>
                            <a:ext cx="5266690" cy="2578735"/>
                          </a:xfrm>
                          <a:prstGeom prst="rect">
                            <a:avLst/>
                          </a:prstGeom>
                          <a:noFill/>
                          <a:ln>
                            <a:noFill/>
                          </a:ln>
                        </pic:spPr>
                      </pic:pic>
                    </a:graphicData>
                  </a:graphic>
                </wp:inline>
              </w:drawing>
            </w:r>
          </w:p>
          <w:p w14:paraId="188F54F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【全部导出】下载最终审核的PDF大表，全部（未审核、已通过、未通过）、未通过、已通过，根据需求导出。</w:t>
            </w:r>
          </w:p>
          <w:p w14:paraId="3173735B">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【按单位导出】按检索单位，下载最终审核的PDF大表全部（未审核、已通过、未通过）、未通过、已通过，根据需求导出。</w:t>
            </w:r>
          </w:p>
          <w:p w14:paraId="4E38430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表单支持签名文件。</w:t>
            </w:r>
          </w:p>
          <w:p w14:paraId="1743BBE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支持人数与页码计算。</w:t>
            </w:r>
          </w:p>
          <w:p w14:paraId="79AA40F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支持军队标记与地方计划分表合并显示。</w:t>
            </w:r>
          </w:p>
          <w:p w14:paraId="36E4D66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4150" cy="3857625"/>
                  <wp:effectExtent l="0" t="0" r="12700" b="9525"/>
                  <wp:docPr id="61"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4"/>
                          <pic:cNvPicPr>
                            <a:picLocks noChangeAspect="1"/>
                          </pic:cNvPicPr>
                        </pic:nvPicPr>
                        <pic:blipFill>
                          <a:blip r:embed="rId66"/>
                          <a:stretch>
                            <a:fillRect/>
                          </a:stretch>
                        </pic:blipFill>
                        <pic:spPr>
                          <a:xfrm>
                            <a:off x="0" y="0"/>
                            <a:ext cx="5264150" cy="3857625"/>
                          </a:xfrm>
                          <a:prstGeom prst="rect">
                            <a:avLst/>
                          </a:prstGeom>
                          <a:noFill/>
                          <a:ln>
                            <a:noFill/>
                          </a:ln>
                        </pic:spPr>
                      </pic:pic>
                    </a:graphicData>
                  </a:graphic>
                </wp:inline>
              </w:drawing>
            </w:r>
          </w:p>
          <w:p w14:paraId="6818F13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10）录取审核结果分发</w:t>
            </w:r>
          </w:p>
          <w:p w14:paraId="00FA273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【硕士录取审核结果】批量导入硕士审核结果，经签章后，将结果回传到系统中，系统根据【用户关系表】分发到不同账号下，提供下载；</w:t>
            </w:r>
          </w:p>
          <w:p w14:paraId="5C754510">
            <w:pPr>
              <w:pStyle w:val="7"/>
              <w:spacing w:line="360" w:lineRule="auto"/>
              <w:rPr>
                <w:rFonts w:hint="eastAsia" w:ascii="宋体" w:hAnsi="宋体" w:eastAsia="宋体" w:cs="宋体"/>
                <w:color w:val="auto"/>
                <w:sz w:val="24"/>
                <w:szCs w:val="24"/>
                <w:lang w:val="en-US" w:eastAsia="zh-CN"/>
              </w:rPr>
            </w:pPr>
          </w:p>
          <w:p w14:paraId="32A57CA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分发数据配置】硕士录取审核结果页面，点击【分发数据配置】选择操作年份，点击【下载】系统会打包操作年份对应的院长审核通过的PDF文件，提供ZIP下载。待完成文件签章后，需保持文件名称不变，已ZIP压缩包的方式回传回系统。</w:t>
            </w:r>
          </w:p>
          <w:p w14:paraId="3148545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【上传】将签章后的ZIP压缩包回传回系统，回传成功后，列表中会显示上传后的文件列表。</w:t>
            </w:r>
          </w:p>
          <w:p w14:paraId="770FA7D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48255"/>
                  <wp:effectExtent l="0" t="0" r="10160" b="4445"/>
                  <wp:docPr id="67"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5"/>
                          <pic:cNvPicPr>
                            <a:picLocks noChangeAspect="1"/>
                          </pic:cNvPicPr>
                        </pic:nvPicPr>
                        <pic:blipFill>
                          <a:blip r:embed="rId67"/>
                          <a:stretch>
                            <a:fillRect/>
                          </a:stretch>
                        </pic:blipFill>
                        <pic:spPr>
                          <a:xfrm>
                            <a:off x="0" y="0"/>
                            <a:ext cx="5266690" cy="2548255"/>
                          </a:xfrm>
                          <a:prstGeom prst="rect">
                            <a:avLst/>
                          </a:prstGeom>
                          <a:noFill/>
                          <a:ln>
                            <a:noFill/>
                          </a:ln>
                        </pic:spPr>
                      </pic:pic>
                    </a:graphicData>
                  </a:graphic>
                </wp:inline>
              </w:drawing>
            </w:r>
          </w:p>
          <w:p w14:paraId="75707814">
            <w:pPr>
              <w:pStyle w:val="7"/>
              <w:spacing w:line="360" w:lineRule="auto"/>
              <w:rPr>
                <w:rFonts w:hint="eastAsia" w:ascii="宋体" w:hAnsi="宋体" w:eastAsia="宋体" w:cs="宋体"/>
                <w:color w:val="auto"/>
                <w:sz w:val="24"/>
                <w:szCs w:val="24"/>
                <w:lang w:val="en-US" w:eastAsia="zh-CN"/>
              </w:rPr>
            </w:pPr>
          </w:p>
          <w:p w14:paraId="0CC56FF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【硕士录取审核结果】页面显示已上传成功的文件列表。</w:t>
            </w:r>
          </w:p>
          <w:p w14:paraId="0145CFF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【删除分发数据】删除当前年度已分发的数据。</w:t>
            </w:r>
          </w:p>
          <w:p w14:paraId="031B5AF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【开放下载】控制用户是否可进行下载。</w:t>
            </w:r>
          </w:p>
          <w:p w14:paraId="0C0D40D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【下载】下载文件。</w:t>
            </w:r>
          </w:p>
          <w:p w14:paraId="77EDAB4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【删除】删除当前选中的分发数据。</w:t>
            </w:r>
          </w:p>
          <w:p w14:paraId="2884E7B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注意事项：分发需要有分发文件，同时维护用户关系表。用户关系表请查看【参数配置】页面操作。</w:t>
            </w:r>
          </w:p>
          <w:p w14:paraId="221DEDB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64765"/>
                  <wp:effectExtent l="0" t="0" r="10160" b="6985"/>
                  <wp:docPr id="68"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6"/>
                          <pic:cNvPicPr>
                            <a:picLocks noChangeAspect="1"/>
                          </pic:cNvPicPr>
                        </pic:nvPicPr>
                        <pic:blipFill>
                          <a:blip r:embed="rId68"/>
                          <a:stretch>
                            <a:fillRect/>
                          </a:stretch>
                        </pic:blipFill>
                        <pic:spPr>
                          <a:xfrm>
                            <a:off x="0" y="0"/>
                            <a:ext cx="5266690" cy="2564765"/>
                          </a:xfrm>
                          <a:prstGeom prst="rect">
                            <a:avLst/>
                          </a:prstGeom>
                          <a:noFill/>
                          <a:ln>
                            <a:noFill/>
                          </a:ln>
                        </pic:spPr>
                      </pic:pic>
                    </a:graphicData>
                  </a:graphic>
                </wp:inline>
              </w:drawing>
            </w:r>
          </w:p>
          <w:p w14:paraId="65F8B16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【博士录取审核结果】批量导入博士审核结果，经签章后，将结果回传到系统中，系统根据【用户关系表】分发到不同账号下，提供下载；</w:t>
            </w:r>
          </w:p>
          <w:p w14:paraId="46130B54">
            <w:pPr>
              <w:pStyle w:val="7"/>
              <w:spacing w:line="360" w:lineRule="auto"/>
              <w:rPr>
                <w:rFonts w:hint="eastAsia" w:ascii="宋体" w:hAnsi="宋体" w:eastAsia="宋体" w:cs="宋体"/>
                <w:color w:val="auto"/>
                <w:sz w:val="24"/>
                <w:szCs w:val="24"/>
                <w:lang w:val="en-US" w:eastAsia="zh-CN"/>
              </w:rPr>
            </w:pPr>
          </w:p>
          <w:p w14:paraId="1D501934">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分发数据配置】博士录取审核结果页面，点击【分发数据配置】选择操作年份，点击【下载】系统会打包操作年份对应的院长审核通过的PDF文件，提供ZIP下载。待完成文件签章后，需保持文件名称不变，已ZIP压缩包的方式回传回系统。</w:t>
            </w:r>
          </w:p>
          <w:p w14:paraId="035D750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【上传】将签章后的ZIP压缩包回传回系统，回传成功后，列表中会显示上传后的文件列表。</w:t>
            </w:r>
          </w:p>
          <w:p w14:paraId="47140DC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75560"/>
                  <wp:effectExtent l="0" t="0" r="10160" b="15240"/>
                  <wp:docPr id="62"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7"/>
                          <pic:cNvPicPr>
                            <a:picLocks noChangeAspect="1"/>
                          </pic:cNvPicPr>
                        </pic:nvPicPr>
                        <pic:blipFill>
                          <a:blip r:embed="rId69"/>
                          <a:stretch>
                            <a:fillRect/>
                          </a:stretch>
                        </pic:blipFill>
                        <pic:spPr>
                          <a:xfrm>
                            <a:off x="0" y="0"/>
                            <a:ext cx="5266690" cy="2575560"/>
                          </a:xfrm>
                          <a:prstGeom prst="rect">
                            <a:avLst/>
                          </a:prstGeom>
                          <a:noFill/>
                          <a:ln>
                            <a:noFill/>
                          </a:ln>
                        </pic:spPr>
                      </pic:pic>
                    </a:graphicData>
                  </a:graphic>
                </wp:inline>
              </w:drawing>
            </w:r>
          </w:p>
          <w:p w14:paraId="0E16BD3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【博士录取审核结果】页面显示已上传成功的文件列表。</w:t>
            </w:r>
          </w:p>
          <w:p w14:paraId="0191BC0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【删除分发数据】删除当前年度已分发的数据。</w:t>
            </w:r>
          </w:p>
          <w:p w14:paraId="6CCBD252">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【开放下载】控制用户是否可进行下载。</w:t>
            </w:r>
          </w:p>
          <w:p w14:paraId="0147C28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【下载】下载文件。</w:t>
            </w:r>
          </w:p>
          <w:p w14:paraId="5E43F7E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【删除】删除当前选中的分发数据。</w:t>
            </w:r>
          </w:p>
          <w:p w14:paraId="2E7061A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注意事项：分发需要有分发文件，同时维护用户关系表。用户关系表请查看【参数配置】页面操作。</w:t>
            </w:r>
          </w:p>
          <w:p w14:paraId="796D4F4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6690" cy="2581275"/>
                  <wp:effectExtent l="0" t="0" r="10160" b="9525"/>
                  <wp:docPr id="52"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68"/>
                          <pic:cNvPicPr>
                            <a:picLocks noChangeAspect="1"/>
                          </pic:cNvPicPr>
                        </pic:nvPicPr>
                        <pic:blipFill>
                          <a:blip r:embed="rId70"/>
                          <a:stretch>
                            <a:fillRect/>
                          </a:stretch>
                        </pic:blipFill>
                        <pic:spPr>
                          <a:xfrm>
                            <a:off x="0" y="0"/>
                            <a:ext cx="5266690" cy="2581275"/>
                          </a:xfrm>
                          <a:prstGeom prst="rect">
                            <a:avLst/>
                          </a:prstGeom>
                          <a:noFill/>
                          <a:ln>
                            <a:noFill/>
                          </a:ln>
                        </pic:spPr>
                      </pic:pic>
                    </a:graphicData>
                  </a:graphic>
                </wp:inline>
              </w:drawing>
            </w:r>
          </w:p>
          <w:p w14:paraId="54815786">
            <w:pPr>
              <w:pStyle w:val="7"/>
              <w:spacing w:line="360" w:lineRule="auto"/>
              <w:rPr>
                <w:rFonts w:hint="eastAsia" w:ascii="宋体" w:hAnsi="宋体" w:eastAsia="宋体" w:cs="宋体"/>
                <w:color w:val="auto"/>
                <w:sz w:val="24"/>
                <w:szCs w:val="24"/>
                <w:lang w:val="en-US" w:eastAsia="zh-CN"/>
              </w:rPr>
            </w:pPr>
          </w:p>
          <w:p w14:paraId="2AB8BC6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（3）智能巡查</w:t>
            </w:r>
          </w:p>
          <w:p w14:paraId="4595DA2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省、市、县、校四级智能巡查告警信息列表查询功能；告警类别、智能分析内容、告警时间段等多条件高级检索功能。</w:t>
            </w:r>
          </w:p>
          <w:p w14:paraId="74DCFA43">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2245" cy="2480310"/>
                  <wp:effectExtent l="0" t="0" r="14605" b="15240"/>
                  <wp:docPr id="72"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9"/>
                          <pic:cNvPicPr>
                            <a:picLocks noChangeAspect="1"/>
                          </pic:cNvPicPr>
                        </pic:nvPicPr>
                        <pic:blipFill>
                          <a:blip r:embed="rId71"/>
                          <a:stretch>
                            <a:fillRect/>
                          </a:stretch>
                        </pic:blipFill>
                        <pic:spPr>
                          <a:xfrm>
                            <a:off x="0" y="0"/>
                            <a:ext cx="5262245" cy="2480310"/>
                          </a:xfrm>
                          <a:prstGeom prst="rect">
                            <a:avLst/>
                          </a:prstGeom>
                          <a:noFill/>
                          <a:ln>
                            <a:noFill/>
                          </a:ln>
                        </pic:spPr>
                      </pic:pic>
                    </a:graphicData>
                  </a:graphic>
                </wp:inline>
              </w:drawing>
            </w:r>
          </w:p>
          <w:p w14:paraId="757AB72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【详情】告警信息详情。</w:t>
            </w:r>
          </w:p>
          <w:p w14:paraId="2FC2F49C">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【告警信息、图片】告警事件信息、图片展示功能。</w:t>
            </w:r>
          </w:p>
          <w:p w14:paraId="4D99538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【视频播放】告警视频在线播放功能。</w:t>
            </w:r>
          </w:p>
          <w:p w14:paraId="14E56080">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5268595" cy="2505075"/>
                  <wp:effectExtent l="0" t="0" r="8255" b="9525"/>
                  <wp:docPr id="75"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0"/>
                          <pic:cNvPicPr>
                            <a:picLocks noChangeAspect="1"/>
                          </pic:cNvPicPr>
                        </pic:nvPicPr>
                        <pic:blipFill>
                          <a:blip r:embed="rId72"/>
                          <a:stretch>
                            <a:fillRect/>
                          </a:stretch>
                        </pic:blipFill>
                        <pic:spPr>
                          <a:xfrm>
                            <a:off x="0" y="0"/>
                            <a:ext cx="5268595" cy="2505075"/>
                          </a:xfrm>
                          <a:prstGeom prst="rect">
                            <a:avLst/>
                          </a:prstGeom>
                          <a:noFill/>
                          <a:ln>
                            <a:noFill/>
                          </a:ln>
                        </pic:spPr>
                      </pic:pic>
                    </a:graphicData>
                  </a:graphic>
                </wp:inline>
              </w:drawing>
            </w:r>
          </w:p>
          <w:p w14:paraId="7D9DC910">
            <w:pPr>
              <w:pStyle w:val="7"/>
              <w:spacing w:line="360" w:lineRule="auto"/>
              <w:rPr>
                <w:rFonts w:hint="eastAsia" w:ascii="宋体" w:hAnsi="宋体" w:eastAsia="宋体" w:cs="宋体"/>
                <w:color w:val="auto"/>
                <w:sz w:val="24"/>
                <w:szCs w:val="24"/>
                <w:lang w:val="en-US" w:eastAsia="zh-CN"/>
              </w:rPr>
            </w:pPr>
          </w:p>
          <w:p w14:paraId="1B5D5C4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（4）业务完善与改进</w:t>
            </w:r>
          </w:p>
          <w:p w14:paraId="7AEE652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1）新增：考试工作人员填报进度进度功能；实时查询考试工作人员填报结果统计；导出填报进度。</w:t>
            </w:r>
          </w:p>
          <w:p w14:paraId="5484408A">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2）新增：考场关联进度功能；实时查询考场关联进度统计结果；导出关联进度。</w:t>
            </w:r>
          </w:p>
          <w:p w14:paraId="241B129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3）新增：文件群发、文件上报增加任务短信功能，可对收件人发送自定义短信。</w:t>
            </w:r>
          </w:p>
          <w:p w14:paraId="14D2BFD6">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4）新增：数据填报任务共享功能；任务创建人可通过选取共享人进行多人共同处理任务。</w:t>
            </w:r>
          </w:p>
          <w:p w14:paraId="7DDD003D">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5）重构：填报人界面；增加创建、删除、使用分组功能；增加分组内人员列表更新功能；增加省、市、县、校人数显示功能；优化机构、人员检索定位功能。</w:t>
            </w:r>
          </w:p>
          <w:p w14:paraId="3B289738">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6）重构：用户密码重置页面，优化密码识别检测，重置流程。</w:t>
            </w:r>
          </w:p>
          <w:p w14:paraId="4D2CA219">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7）优化：市区用户仅督促已启用的数据填报任务。</w:t>
            </w:r>
          </w:p>
          <w:p w14:paraId="638846FF">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8）优化：数据填报导出汇总表增加机构名称、考点名称。</w:t>
            </w:r>
          </w:p>
          <w:p w14:paraId="789E6C61">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9）优化：人员管理增加用户账号、手机号检索。</w:t>
            </w:r>
          </w:p>
          <w:p w14:paraId="49AD223E">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10）页面、数据库：涉及相关业务的配套数据库及页面开发。</w:t>
            </w:r>
          </w:p>
          <w:p w14:paraId="4982F315">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11）系统日常使用应急响应处理。</w:t>
            </w:r>
          </w:p>
          <w:p w14:paraId="0126F207">
            <w:pPr>
              <w:pStyle w:val="7"/>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12）服务器定期维护，功能发布，软件更新。</w:t>
            </w:r>
          </w:p>
        </w:tc>
      </w:tr>
      <w:tr w14:paraId="6B13B4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11" w:hRule="atLeast"/>
        </w:trPr>
        <w:tc>
          <w:tcPr>
            <w:tcW w:w="703" w:type="dxa"/>
            <w:noWrap w:val="0"/>
            <w:vAlign w:val="center"/>
          </w:tcPr>
          <w:p w14:paraId="29D663DC">
            <w:pPr>
              <w:pStyle w:val="7"/>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p>
        </w:tc>
        <w:tc>
          <w:tcPr>
            <w:tcW w:w="8522" w:type="dxa"/>
            <w:noWrap w:val="0"/>
            <w:vAlign w:val="top"/>
          </w:tcPr>
          <w:p w14:paraId="6ECE5BAD">
            <w:pPr>
              <w:pStyle w:val="3"/>
              <w:shd w:val="clear" w:color="auto" w:fill="FFFFFF"/>
              <w:spacing w:before="240" w:beforeAutospacing="0" w:after="240" w:afterAutospacing="0"/>
              <w:rPr>
                <w:rStyle w:val="6"/>
                <w:rFonts w:ascii="宋体" w:hAnsi="宋体" w:eastAsia="宋体" w:cs="等线"/>
                <w:color w:val="auto"/>
                <w:shd w:val="clear" w:color="auto" w:fill="FFFFFF"/>
              </w:rPr>
            </w:pPr>
            <w:r>
              <w:rPr>
                <w:rStyle w:val="6"/>
                <w:rFonts w:hint="eastAsia" w:ascii="宋体" w:hAnsi="宋体" w:eastAsia="宋体" w:cs="等线"/>
                <w:b w:val="0"/>
                <w:color w:val="auto"/>
                <w:shd w:val="clear" w:color="auto" w:fill="FFFFFF"/>
              </w:rPr>
              <w:t>硬件环境：</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0"/>
              <w:gridCol w:w="3963"/>
            </w:tblGrid>
            <w:tr w14:paraId="63FC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522" w:type="dxa"/>
                  <w:gridSpan w:val="2"/>
                  <w:noWrap w:val="0"/>
                  <w:vAlign w:val="center"/>
                </w:tcPr>
                <w:p w14:paraId="4F2353AC">
                  <w:pPr>
                    <w:pStyle w:val="3"/>
                    <w:spacing w:beforeAutospacing="0" w:after="192" w:afterAutospacing="0" w:line="312" w:lineRule="atLeast"/>
                    <w:jc w:val="center"/>
                    <w:rPr>
                      <w:rFonts w:ascii="宋体" w:hAnsi="宋体" w:eastAsia="宋体"/>
                      <w:b/>
                      <w:color w:val="auto"/>
                    </w:rPr>
                  </w:pPr>
                  <w:r>
                    <w:rPr>
                      <w:rStyle w:val="6"/>
                      <w:rFonts w:hint="eastAsia" w:ascii="宋体" w:hAnsi="宋体" w:eastAsia="宋体" w:cs="等线"/>
                      <w:b w:val="0"/>
                      <w:color w:val="auto"/>
                      <w:shd w:val="clear" w:color="auto" w:fill="FFFFFF"/>
                    </w:rPr>
                    <w:t>服务器环境</w:t>
                  </w:r>
                </w:p>
              </w:tc>
            </w:tr>
            <w:tr w14:paraId="614B6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4A2A18AF">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服务器品牌</w:t>
                  </w:r>
                </w:p>
              </w:tc>
              <w:tc>
                <w:tcPr>
                  <w:tcW w:w="4261" w:type="dxa"/>
                  <w:noWrap w:val="0"/>
                  <w:vAlign w:val="center"/>
                </w:tcPr>
                <w:p w14:paraId="52992859">
                  <w:pPr>
                    <w:pStyle w:val="3"/>
                    <w:spacing w:beforeAutospacing="0" w:after="192" w:afterAutospacing="0" w:line="312" w:lineRule="atLeast"/>
                    <w:jc w:val="center"/>
                    <w:rPr>
                      <w:rFonts w:ascii="宋体" w:hAnsi="宋体" w:eastAsia="宋体"/>
                      <w:color w:val="auto"/>
                    </w:rPr>
                  </w:pPr>
                  <w:r>
                    <w:rPr>
                      <w:rFonts w:hint="eastAsia" w:ascii="宋体" w:hAnsi="宋体" w:eastAsia="宋体"/>
                      <w:color w:val="auto"/>
                    </w:rPr>
                    <w:t>阿里云服务器</w:t>
                  </w:r>
                </w:p>
              </w:tc>
            </w:tr>
            <w:tr w14:paraId="31F47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103D724E">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CPU</w:t>
                  </w:r>
                </w:p>
              </w:tc>
              <w:tc>
                <w:tcPr>
                  <w:tcW w:w="4261" w:type="dxa"/>
                  <w:noWrap w:val="0"/>
                  <w:vAlign w:val="center"/>
                </w:tcPr>
                <w:p w14:paraId="1E2C6BD7">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Fonts w:ascii="宋体" w:hAnsi="宋体" w:eastAsia="宋体"/>
                      <w:color w:val="auto"/>
                    </w:rPr>
                    <w:t>10</w:t>
                  </w:r>
                  <w:r>
                    <w:rPr>
                      <w:rFonts w:hint="eastAsia" w:ascii="宋体" w:hAnsi="宋体" w:eastAsia="宋体"/>
                      <w:color w:val="auto"/>
                    </w:rPr>
                    <w:t>核心</w:t>
                  </w:r>
                  <w:r>
                    <w:rPr>
                      <w:rFonts w:ascii="宋体" w:hAnsi="宋体" w:eastAsia="宋体"/>
                      <w:color w:val="auto"/>
                    </w:rPr>
                    <w:t>20</w:t>
                  </w:r>
                  <w:r>
                    <w:rPr>
                      <w:rFonts w:hint="eastAsia" w:ascii="宋体" w:hAnsi="宋体" w:eastAsia="宋体"/>
                      <w:color w:val="auto"/>
                    </w:rPr>
                    <w:t>线程，主频2</w:t>
                  </w:r>
                  <w:r>
                    <w:rPr>
                      <w:rFonts w:ascii="宋体" w:hAnsi="宋体" w:eastAsia="宋体"/>
                      <w:color w:val="auto"/>
                    </w:rPr>
                    <w:t>.1</w:t>
                  </w:r>
                  <w:r>
                    <w:rPr>
                      <w:rFonts w:hint="eastAsia" w:ascii="宋体" w:hAnsi="宋体" w:eastAsia="宋体"/>
                      <w:color w:val="auto"/>
                    </w:rPr>
                    <w:t>G</w:t>
                  </w:r>
                </w:p>
              </w:tc>
            </w:tr>
            <w:tr w14:paraId="7440B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71F3BDD4">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内存</w:t>
                  </w:r>
                </w:p>
              </w:tc>
              <w:tc>
                <w:tcPr>
                  <w:tcW w:w="4261" w:type="dxa"/>
                  <w:noWrap w:val="0"/>
                  <w:vAlign w:val="center"/>
                </w:tcPr>
                <w:p w14:paraId="15A1BE76">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Fonts w:hint="eastAsia" w:ascii="宋体" w:hAnsi="宋体" w:eastAsia="宋体"/>
                      <w:color w:val="auto"/>
                    </w:rPr>
                    <w:t>6</w:t>
                  </w:r>
                  <w:r>
                    <w:rPr>
                      <w:rFonts w:ascii="宋体" w:hAnsi="宋体" w:eastAsia="宋体"/>
                      <w:color w:val="auto"/>
                    </w:rPr>
                    <w:t>4G</w:t>
                  </w:r>
                </w:p>
              </w:tc>
            </w:tr>
            <w:tr w14:paraId="3843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1F30F77F">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硬盘</w:t>
                  </w:r>
                </w:p>
              </w:tc>
              <w:tc>
                <w:tcPr>
                  <w:tcW w:w="4261" w:type="dxa"/>
                  <w:noWrap w:val="0"/>
                  <w:vAlign w:val="center"/>
                </w:tcPr>
                <w:p w14:paraId="398BEB78">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Fonts w:hint="eastAsia" w:ascii="宋体" w:hAnsi="宋体" w:eastAsia="宋体"/>
                      <w:color w:val="auto"/>
                    </w:rPr>
                    <w:t>1</w:t>
                  </w:r>
                  <w:r>
                    <w:rPr>
                      <w:rFonts w:ascii="宋体" w:hAnsi="宋体" w:eastAsia="宋体"/>
                      <w:color w:val="auto"/>
                    </w:rPr>
                    <w:t>T SSD</w:t>
                  </w:r>
                </w:p>
              </w:tc>
            </w:tr>
            <w:tr w14:paraId="210A8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6BB39D2D">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网口</w:t>
                  </w:r>
                </w:p>
              </w:tc>
              <w:tc>
                <w:tcPr>
                  <w:tcW w:w="4261" w:type="dxa"/>
                  <w:noWrap w:val="0"/>
                  <w:vAlign w:val="center"/>
                </w:tcPr>
                <w:p w14:paraId="06E8ACBD">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Fonts w:hint="eastAsia" w:ascii="宋体" w:hAnsi="宋体" w:eastAsia="宋体"/>
                      <w:color w:val="auto"/>
                    </w:rPr>
                    <w:t>双万兆网络接口。</w:t>
                  </w:r>
                </w:p>
              </w:tc>
            </w:tr>
            <w:tr w14:paraId="58303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522" w:type="dxa"/>
                  <w:gridSpan w:val="2"/>
                  <w:noWrap w:val="0"/>
                  <w:vAlign w:val="center"/>
                </w:tcPr>
                <w:p w14:paraId="16477989">
                  <w:pPr>
                    <w:pStyle w:val="3"/>
                    <w:spacing w:beforeAutospacing="0" w:after="192" w:afterAutospacing="0" w:line="312" w:lineRule="atLeast"/>
                    <w:jc w:val="center"/>
                    <w:rPr>
                      <w:rFonts w:ascii="宋体" w:hAnsi="宋体" w:eastAsia="宋体"/>
                      <w:b/>
                      <w:color w:val="auto"/>
                    </w:rPr>
                  </w:pPr>
                  <w:r>
                    <w:rPr>
                      <w:rStyle w:val="6"/>
                      <w:rFonts w:hint="eastAsia" w:ascii="宋体" w:hAnsi="宋体" w:eastAsia="宋体" w:cs="等线"/>
                      <w:b w:val="0"/>
                      <w:color w:val="auto"/>
                      <w:shd w:val="clear" w:color="auto" w:fill="FFFFFF"/>
                    </w:rPr>
                    <w:t>客户端环境</w:t>
                  </w:r>
                </w:p>
              </w:tc>
            </w:tr>
            <w:tr w14:paraId="3011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7BF8591F">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主机品牌</w:t>
                  </w:r>
                </w:p>
              </w:tc>
              <w:tc>
                <w:tcPr>
                  <w:tcW w:w="4261" w:type="dxa"/>
                  <w:noWrap w:val="0"/>
                  <w:vAlign w:val="center"/>
                </w:tcPr>
                <w:p w14:paraId="00D5FC0E">
                  <w:pPr>
                    <w:pStyle w:val="3"/>
                    <w:spacing w:beforeAutospacing="0" w:after="192" w:afterAutospacing="0" w:line="312" w:lineRule="atLeast"/>
                    <w:jc w:val="center"/>
                    <w:rPr>
                      <w:rFonts w:ascii="宋体" w:hAnsi="宋体" w:eastAsia="宋体"/>
                      <w:color w:val="auto"/>
                    </w:rPr>
                  </w:pPr>
                  <w:r>
                    <w:rPr>
                      <w:rFonts w:hint="eastAsia" w:ascii="宋体" w:hAnsi="宋体" w:eastAsia="宋体"/>
                      <w:color w:val="auto"/>
                    </w:rPr>
                    <w:t>联想</w:t>
                  </w:r>
                </w:p>
              </w:tc>
            </w:tr>
            <w:tr w14:paraId="45B8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20BC9BCE">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CPU</w:t>
                  </w:r>
                </w:p>
              </w:tc>
              <w:tc>
                <w:tcPr>
                  <w:tcW w:w="4261" w:type="dxa"/>
                  <w:noWrap w:val="0"/>
                  <w:vAlign w:val="center"/>
                </w:tcPr>
                <w:p w14:paraId="77975265">
                  <w:pPr>
                    <w:pStyle w:val="3"/>
                    <w:spacing w:beforeAutospacing="0" w:after="192" w:afterAutospacing="0" w:line="312" w:lineRule="atLeast"/>
                    <w:jc w:val="center"/>
                    <w:rPr>
                      <w:rFonts w:ascii="宋体" w:hAnsi="宋体" w:eastAsia="宋体"/>
                      <w:color w:val="auto"/>
                    </w:rPr>
                  </w:pPr>
                  <w:r>
                    <w:rPr>
                      <w:rFonts w:hint="eastAsia" w:ascii="宋体" w:hAnsi="宋体" w:eastAsia="宋体"/>
                      <w:color w:val="auto"/>
                    </w:rPr>
                    <w:t>Intel</w:t>
                  </w:r>
                  <w:r>
                    <w:rPr>
                      <w:rFonts w:ascii="宋体" w:hAnsi="宋体" w:eastAsia="宋体"/>
                      <w:color w:val="auto"/>
                    </w:rPr>
                    <w:t xml:space="preserve"> </w:t>
                  </w:r>
                  <w:r>
                    <w:rPr>
                      <w:rFonts w:hint="eastAsia" w:ascii="宋体" w:hAnsi="宋体" w:eastAsia="宋体"/>
                      <w:color w:val="auto"/>
                    </w:rPr>
                    <w:t>i</w:t>
                  </w:r>
                  <w:r>
                    <w:rPr>
                      <w:rFonts w:ascii="宋体" w:hAnsi="宋体" w:eastAsia="宋体"/>
                      <w:color w:val="auto"/>
                    </w:rPr>
                    <w:t>5 6</w:t>
                  </w:r>
                  <w:r>
                    <w:rPr>
                      <w:rFonts w:hint="eastAsia" w:ascii="宋体" w:hAnsi="宋体" w:eastAsia="宋体"/>
                      <w:color w:val="auto"/>
                    </w:rPr>
                    <w:t>核，1</w:t>
                  </w:r>
                  <w:r>
                    <w:rPr>
                      <w:rFonts w:ascii="宋体" w:hAnsi="宋体" w:eastAsia="宋体"/>
                      <w:color w:val="auto"/>
                    </w:rPr>
                    <w:t>2</w:t>
                  </w:r>
                  <w:r>
                    <w:rPr>
                      <w:rFonts w:hint="eastAsia" w:ascii="宋体" w:hAnsi="宋体" w:eastAsia="宋体"/>
                      <w:color w:val="auto"/>
                    </w:rPr>
                    <w:t>线程；主频3</w:t>
                  </w:r>
                  <w:r>
                    <w:rPr>
                      <w:rFonts w:ascii="宋体" w:hAnsi="宋体" w:eastAsia="宋体"/>
                      <w:color w:val="auto"/>
                    </w:rPr>
                    <w:t>.4</w:t>
                  </w:r>
                  <w:r>
                    <w:rPr>
                      <w:rFonts w:hint="eastAsia" w:ascii="宋体" w:hAnsi="宋体" w:eastAsia="宋体"/>
                      <w:color w:val="auto"/>
                    </w:rPr>
                    <w:t>G</w:t>
                  </w:r>
                </w:p>
              </w:tc>
            </w:tr>
            <w:tr w14:paraId="57724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0EB611B3">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内存</w:t>
                  </w:r>
                </w:p>
              </w:tc>
              <w:tc>
                <w:tcPr>
                  <w:tcW w:w="4261" w:type="dxa"/>
                  <w:noWrap w:val="0"/>
                  <w:vAlign w:val="center"/>
                </w:tcPr>
                <w:p w14:paraId="15943391">
                  <w:pPr>
                    <w:pStyle w:val="3"/>
                    <w:spacing w:beforeAutospacing="0" w:after="192" w:afterAutospacing="0" w:line="312" w:lineRule="atLeast"/>
                    <w:jc w:val="center"/>
                    <w:rPr>
                      <w:rFonts w:ascii="宋体" w:hAnsi="宋体" w:eastAsia="宋体"/>
                      <w:color w:val="auto"/>
                    </w:rPr>
                  </w:pPr>
                  <w:r>
                    <w:rPr>
                      <w:rFonts w:hint="eastAsia" w:ascii="宋体" w:hAnsi="宋体" w:eastAsia="宋体"/>
                      <w:color w:val="auto"/>
                    </w:rPr>
                    <w:t>1</w:t>
                  </w:r>
                  <w:r>
                    <w:rPr>
                      <w:rFonts w:ascii="宋体" w:hAnsi="宋体" w:eastAsia="宋体"/>
                      <w:color w:val="auto"/>
                    </w:rPr>
                    <w:t>6</w:t>
                  </w:r>
                  <w:r>
                    <w:rPr>
                      <w:rFonts w:hint="eastAsia" w:ascii="宋体" w:hAnsi="宋体" w:eastAsia="宋体"/>
                      <w:color w:val="auto"/>
                    </w:rPr>
                    <w:t>G</w:t>
                  </w:r>
                </w:p>
              </w:tc>
            </w:tr>
            <w:tr w14:paraId="399EA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6E6D292F">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硬盘</w:t>
                  </w:r>
                </w:p>
              </w:tc>
              <w:tc>
                <w:tcPr>
                  <w:tcW w:w="4261" w:type="dxa"/>
                  <w:noWrap w:val="0"/>
                  <w:vAlign w:val="center"/>
                </w:tcPr>
                <w:p w14:paraId="01D08EC0">
                  <w:pPr>
                    <w:pStyle w:val="3"/>
                    <w:spacing w:beforeAutospacing="0" w:after="192" w:afterAutospacing="0" w:line="312" w:lineRule="atLeast"/>
                    <w:jc w:val="center"/>
                    <w:rPr>
                      <w:rFonts w:ascii="宋体" w:hAnsi="宋体" w:eastAsia="宋体"/>
                      <w:color w:val="auto"/>
                    </w:rPr>
                  </w:pPr>
                  <w:r>
                    <w:rPr>
                      <w:rFonts w:hint="eastAsia" w:ascii="宋体" w:hAnsi="宋体" w:eastAsia="宋体"/>
                      <w:color w:val="auto"/>
                    </w:rPr>
                    <w:t>5</w:t>
                  </w:r>
                  <w:r>
                    <w:rPr>
                      <w:rFonts w:ascii="宋体" w:hAnsi="宋体" w:eastAsia="宋体"/>
                      <w:color w:val="auto"/>
                    </w:rPr>
                    <w:t>00</w:t>
                  </w:r>
                  <w:r>
                    <w:rPr>
                      <w:rFonts w:hint="eastAsia" w:ascii="宋体" w:hAnsi="宋体" w:eastAsia="宋体"/>
                      <w:color w:val="auto"/>
                    </w:rPr>
                    <w:t>G</w:t>
                  </w:r>
                  <w:r>
                    <w:rPr>
                      <w:rFonts w:ascii="宋体" w:hAnsi="宋体" w:eastAsia="宋体"/>
                      <w:color w:val="auto"/>
                    </w:rPr>
                    <w:t xml:space="preserve"> </w:t>
                  </w:r>
                  <w:r>
                    <w:rPr>
                      <w:rFonts w:hint="eastAsia" w:ascii="宋体" w:hAnsi="宋体" w:eastAsia="宋体"/>
                      <w:color w:val="auto"/>
                    </w:rPr>
                    <w:t>SSD</w:t>
                  </w:r>
                </w:p>
              </w:tc>
            </w:tr>
            <w:tr w14:paraId="569C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7434DED4">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网口</w:t>
                  </w:r>
                </w:p>
              </w:tc>
              <w:tc>
                <w:tcPr>
                  <w:tcW w:w="4261" w:type="dxa"/>
                  <w:noWrap w:val="0"/>
                  <w:vAlign w:val="center"/>
                </w:tcPr>
                <w:p w14:paraId="1DA3B7BB">
                  <w:pPr>
                    <w:pStyle w:val="3"/>
                    <w:spacing w:beforeAutospacing="0" w:after="192" w:afterAutospacing="0" w:line="312" w:lineRule="atLeast"/>
                    <w:jc w:val="center"/>
                    <w:rPr>
                      <w:rFonts w:ascii="宋体" w:hAnsi="宋体" w:eastAsia="宋体"/>
                      <w:color w:val="auto"/>
                    </w:rPr>
                  </w:pPr>
                  <w:r>
                    <w:rPr>
                      <w:rFonts w:hint="eastAsia" w:ascii="宋体" w:hAnsi="宋体" w:eastAsia="宋体"/>
                      <w:color w:val="auto"/>
                    </w:rPr>
                    <w:t>千兆网口</w:t>
                  </w:r>
                </w:p>
              </w:tc>
            </w:tr>
            <w:tr w14:paraId="7F97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center"/>
                </w:tcPr>
                <w:p w14:paraId="3DC41A29">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显示器</w:t>
                  </w:r>
                </w:p>
              </w:tc>
              <w:tc>
                <w:tcPr>
                  <w:tcW w:w="4261" w:type="dxa"/>
                  <w:noWrap w:val="0"/>
                  <w:vAlign w:val="center"/>
                </w:tcPr>
                <w:p w14:paraId="366C3058">
                  <w:pPr>
                    <w:pStyle w:val="3"/>
                    <w:spacing w:beforeAutospacing="0" w:after="192" w:afterAutospacing="0" w:line="312" w:lineRule="atLeast"/>
                    <w:jc w:val="center"/>
                    <w:rPr>
                      <w:rFonts w:ascii="宋体" w:hAnsi="宋体" w:eastAsia="宋体"/>
                      <w:color w:val="auto"/>
                    </w:rPr>
                  </w:pPr>
                  <w:r>
                    <w:rPr>
                      <w:rFonts w:hint="eastAsia" w:ascii="宋体" w:hAnsi="宋体" w:eastAsia="宋体"/>
                      <w:color w:val="auto"/>
                    </w:rPr>
                    <w:t>2</w:t>
                  </w:r>
                  <w:r>
                    <w:rPr>
                      <w:rFonts w:ascii="宋体" w:hAnsi="宋体" w:eastAsia="宋体"/>
                      <w:color w:val="auto"/>
                    </w:rPr>
                    <w:t>4</w:t>
                  </w:r>
                  <w:r>
                    <w:rPr>
                      <w:rFonts w:hint="eastAsia" w:ascii="宋体" w:hAnsi="宋体" w:eastAsia="宋体"/>
                      <w:color w:val="auto"/>
                    </w:rPr>
                    <w:t>寸，</w:t>
                  </w:r>
                  <w:r>
                    <w:rPr>
                      <w:rFonts w:ascii="宋体" w:hAnsi="宋体" w:eastAsia="宋体"/>
                      <w:color w:val="auto"/>
                    </w:rPr>
                    <w:t>1920*1080</w:t>
                  </w:r>
                  <w:r>
                    <w:rPr>
                      <w:rFonts w:hint="eastAsia" w:ascii="宋体" w:hAnsi="宋体" w:eastAsia="宋体"/>
                      <w:color w:val="auto"/>
                    </w:rPr>
                    <w:t>分辨率</w:t>
                  </w:r>
                </w:p>
              </w:tc>
            </w:tr>
          </w:tbl>
          <w:p w14:paraId="40A1F384">
            <w:pPr>
              <w:pStyle w:val="3"/>
              <w:shd w:val="clear" w:color="auto" w:fill="FFFFFF"/>
              <w:spacing w:before="240" w:beforeAutospacing="0" w:after="240" w:afterAutospacing="0"/>
              <w:rPr>
                <w:rStyle w:val="6"/>
                <w:rFonts w:ascii="宋体" w:hAnsi="宋体" w:eastAsia="宋体" w:cs="等线"/>
                <w:color w:val="auto"/>
                <w:shd w:val="clear" w:color="auto" w:fill="FFFFFF"/>
              </w:rPr>
            </w:pPr>
            <w:r>
              <w:rPr>
                <w:rStyle w:val="6"/>
                <w:rFonts w:hint="eastAsia" w:ascii="宋体" w:hAnsi="宋体" w:eastAsia="宋体" w:cs="等线"/>
                <w:b w:val="0"/>
                <w:color w:val="auto"/>
                <w:shd w:val="clear" w:color="auto" w:fill="FFFFFF"/>
              </w:rPr>
              <w:t>软件环境：</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37"/>
              <w:gridCol w:w="4016"/>
            </w:tblGrid>
            <w:tr w14:paraId="335F1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top"/>
                </w:tcPr>
                <w:p w14:paraId="541DDE20">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操作系统</w:t>
                  </w:r>
                </w:p>
              </w:tc>
              <w:tc>
                <w:tcPr>
                  <w:tcW w:w="4261" w:type="dxa"/>
                  <w:noWrap w:val="0"/>
                  <w:vAlign w:val="top"/>
                </w:tcPr>
                <w:p w14:paraId="521720F5">
                  <w:pPr>
                    <w:pStyle w:val="3"/>
                    <w:spacing w:beforeAutospacing="0" w:after="192" w:afterAutospacing="0" w:line="312" w:lineRule="atLeast"/>
                    <w:jc w:val="center"/>
                    <w:rPr>
                      <w:rFonts w:ascii="宋体" w:hAnsi="宋体" w:eastAsia="宋体"/>
                      <w:color w:val="auto"/>
                    </w:rPr>
                  </w:pPr>
                  <w:r>
                    <w:rPr>
                      <w:rFonts w:hint="eastAsia" w:ascii="宋体" w:hAnsi="宋体" w:eastAsia="宋体"/>
                      <w:color w:val="auto"/>
                    </w:rPr>
                    <w:t>Linux (CentOS</w:t>
                  </w:r>
                  <w:r>
                    <w:rPr>
                      <w:rFonts w:ascii="宋体" w:hAnsi="宋体" w:eastAsia="宋体"/>
                      <w:color w:val="auto"/>
                    </w:rPr>
                    <w:t xml:space="preserve"> 7.8</w:t>
                  </w:r>
                  <w:r>
                    <w:rPr>
                      <w:rFonts w:hint="eastAsia" w:ascii="宋体" w:hAnsi="宋体" w:eastAsia="宋体"/>
                      <w:color w:val="auto"/>
                    </w:rPr>
                    <w:t>)</w:t>
                  </w:r>
                </w:p>
              </w:tc>
            </w:tr>
            <w:tr w14:paraId="312B0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top"/>
                </w:tcPr>
                <w:p w14:paraId="279FE78E">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运行环境</w:t>
                  </w:r>
                </w:p>
              </w:tc>
              <w:tc>
                <w:tcPr>
                  <w:tcW w:w="4261" w:type="dxa"/>
                  <w:noWrap w:val="0"/>
                  <w:vAlign w:val="top"/>
                </w:tcPr>
                <w:p w14:paraId="2142BD1D">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Fonts w:hint="eastAsia" w:ascii="宋体" w:hAnsi="宋体" w:eastAsia="宋体"/>
                      <w:color w:val="auto"/>
                    </w:rPr>
                    <w:t>Java SE 8.0（jdk 8.0）</w:t>
                  </w:r>
                </w:p>
              </w:tc>
            </w:tr>
            <w:tr w14:paraId="513B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exact"/>
              </w:trPr>
              <w:tc>
                <w:tcPr>
                  <w:tcW w:w="4261" w:type="dxa"/>
                  <w:noWrap w:val="0"/>
                  <w:vAlign w:val="top"/>
                </w:tcPr>
                <w:p w14:paraId="086D6179">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系统环境</w:t>
                  </w:r>
                </w:p>
              </w:tc>
              <w:tc>
                <w:tcPr>
                  <w:tcW w:w="4261" w:type="dxa"/>
                  <w:noWrap w:val="0"/>
                  <w:vAlign w:val="top"/>
                </w:tcPr>
                <w:p w14:paraId="6FCC4E5B">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Fonts w:hint="eastAsia" w:ascii="宋体" w:hAnsi="宋体" w:eastAsia="宋体"/>
                      <w:color w:val="auto"/>
                    </w:rPr>
                    <w:t>nginx、redis、tomcat、f</w:t>
                  </w:r>
                  <w:r>
                    <w:rPr>
                      <w:rFonts w:ascii="宋体" w:hAnsi="宋体" w:eastAsia="宋体"/>
                      <w:color w:val="auto"/>
                    </w:rPr>
                    <w:t>astdfs</w:t>
                  </w:r>
                  <w:r>
                    <w:rPr>
                      <w:rFonts w:hint="eastAsia" w:ascii="宋体" w:hAnsi="宋体" w:eastAsia="宋体"/>
                      <w:color w:val="auto"/>
                    </w:rPr>
                    <w:t>、jdk环境</w:t>
                  </w:r>
                </w:p>
              </w:tc>
            </w:tr>
            <w:tr w14:paraId="4803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top"/>
                </w:tcPr>
                <w:p w14:paraId="6EF01BBD">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Web服务器</w:t>
                  </w:r>
                </w:p>
              </w:tc>
              <w:tc>
                <w:tcPr>
                  <w:tcW w:w="4261" w:type="dxa"/>
                  <w:noWrap w:val="0"/>
                  <w:vAlign w:val="top"/>
                </w:tcPr>
                <w:p w14:paraId="5E469C19">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Fonts w:ascii="宋体" w:hAnsi="宋体" w:eastAsia="宋体"/>
                      <w:color w:val="auto"/>
                    </w:rPr>
                    <w:t>Apache</w:t>
                  </w:r>
                  <w:r>
                    <w:rPr>
                      <w:rFonts w:hint="eastAsia" w:ascii="宋体" w:hAnsi="宋体" w:eastAsia="宋体"/>
                      <w:color w:val="auto"/>
                    </w:rPr>
                    <w:t xml:space="preserve"> Tomcat </w:t>
                  </w:r>
                  <w:r>
                    <w:rPr>
                      <w:rFonts w:ascii="宋体" w:hAnsi="宋体" w:eastAsia="宋体"/>
                      <w:color w:val="auto"/>
                    </w:rPr>
                    <w:t>9.0.55</w:t>
                  </w:r>
                </w:p>
              </w:tc>
            </w:tr>
            <w:tr w14:paraId="3FC8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exact"/>
              </w:trPr>
              <w:tc>
                <w:tcPr>
                  <w:tcW w:w="4261" w:type="dxa"/>
                  <w:noWrap w:val="0"/>
                  <w:vAlign w:val="top"/>
                </w:tcPr>
                <w:p w14:paraId="7AB7FF0C">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测试工具</w:t>
                  </w:r>
                </w:p>
              </w:tc>
              <w:tc>
                <w:tcPr>
                  <w:tcW w:w="4261" w:type="dxa"/>
                  <w:noWrap w:val="0"/>
                  <w:vAlign w:val="top"/>
                </w:tcPr>
                <w:p w14:paraId="085EEF72">
                  <w:pPr>
                    <w:pStyle w:val="3"/>
                    <w:spacing w:beforeAutospacing="0" w:after="192" w:afterAutospacing="0" w:line="312" w:lineRule="atLeast"/>
                    <w:jc w:val="center"/>
                    <w:rPr>
                      <w:rFonts w:ascii="宋体" w:hAnsi="宋体" w:eastAsia="宋体"/>
                      <w:color w:val="auto"/>
                    </w:rPr>
                  </w:pPr>
                  <w:r>
                    <w:rPr>
                      <w:rFonts w:ascii="宋体" w:hAnsi="宋体" w:eastAsia="宋体"/>
                      <w:color w:val="auto"/>
                    </w:rPr>
                    <w:t>SecureCRT</w:t>
                  </w:r>
                  <w:r>
                    <w:rPr>
                      <w:rFonts w:hint="eastAsia" w:ascii="宋体" w:hAnsi="宋体" w:eastAsia="宋体"/>
                      <w:color w:val="auto"/>
                    </w:rPr>
                    <w:t>、</w:t>
                  </w:r>
                  <w:r>
                    <w:rPr>
                      <w:rFonts w:ascii="宋体" w:hAnsi="宋体" w:eastAsia="宋体"/>
                      <w:color w:val="auto"/>
                    </w:rPr>
                    <w:t>MySQLWorkbench</w:t>
                  </w:r>
                  <w:r>
                    <w:rPr>
                      <w:rFonts w:hint="eastAsia" w:ascii="宋体" w:hAnsi="宋体" w:eastAsia="宋体"/>
                      <w:color w:val="auto"/>
                    </w:rPr>
                    <w:t>、</w:t>
                  </w:r>
                  <w:r>
                    <w:rPr>
                      <w:rFonts w:ascii="宋体" w:hAnsi="宋体" w:eastAsia="宋体"/>
                      <w:color w:val="auto"/>
                    </w:rPr>
                    <w:t>apache-jmeter</w:t>
                  </w:r>
                </w:p>
              </w:tc>
            </w:tr>
            <w:tr w14:paraId="2EE8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top"/>
                </w:tcPr>
                <w:p w14:paraId="29F62F53">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测试数据</w:t>
                  </w:r>
                </w:p>
              </w:tc>
              <w:tc>
                <w:tcPr>
                  <w:tcW w:w="4261" w:type="dxa"/>
                  <w:noWrap w:val="0"/>
                  <w:vAlign w:val="top"/>
                </w:tcPr>
                <w:p w14:paraId="4FC13E6F">
                  <w:pPr>
                    <w:pStyle w:val="3"/>
                    <w:spacing w:beforeAutospacing="0" w:after="192" w:afterAutospacing="0" w:line="312" w:lineRule="atLeast"/>
                    <w:jc w:val="center"/>
                    <w:rPr>
                      <w:rFonts w:ascii="宋体" w:hAnsi="宋体" w:eastAsia="宋体"/>
                      <w:color w:val="auto"/>
                    </w:rPr>
                  </w:pPr>
                  <w:r>
                    <w:rPr>
                      <w:rFonts w:hint="eastAsia" w:ascii="宋体" w:hAnsi="宋体" w:eastAsia="宋体"/>
                      <w:color w:val="auto"/>
                    </w:rPr>
                    <w:t>系统初始化数据</w:t>
                  </w:r>
                </w:p>
              </w:tc>
            </w:tr>
          </w:tbl>
          <w:p w14:paraId="1BA53FD6">
            <w:pPr>
              <w:pStyle w:val="3"/>
              <w:shd w:val="clear" w:color="auto" w:fill="FFFFFF"/>
              <w:spacing w:before="240" w:beforeAutospacing="0" w:after="240" w:afterAutospacing="0"/>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编程语言：</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78"/>
              <w:gridCol w:w="3975"/>
            </w:tblGrid>
            <w:tr w14:paraId="5131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noWrap w:val="0"/>
                  <w:vAlign w:val="top"/>
                </w:tcPr>
                <w:p w14:paraId="4D834B77">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服务端</w:t>
                  </w:r>
                </w:p>
              </w:tc>
              <w:tc>
                <w:tcPr>
                  <w:tcW w:w="4261" w:type="dxa"/>
                  <w:noWrap w:val="0"/>
                  <w:vAlign w:val="top"/>
                </w:tcPr>
                <w:p w14:paraId="111DCBF2">
                  <w:pPr>
                    <w:pStyle w:val="3"/>
                    <w:spacing w:beforeAutospacing="0" w:after="192" w:afterAutospacing="0" w:line="312" w:lineRule="atLeast"/>
                    <w:jc w:val="center"/>
                    <w:rPr>
                      <w:rFonts w:ascii="宋体" w:hAnsi="宋体" w:eastAsia="宋体"/>
                      <w:color w:val="auto"/>
                    </w:rPr>
                  </w:pPr>
                  <w:r>
                    <w:rPr>
                      <w:rFonts w:hint="eastAsia" w:ascii="宋体" w:hAnsi="宋体" w:eastAsia="宋体"/>
                      <w:color w:val="auto"/>
                    </w:rPr>
                    <w:t>Java</w:t>
                  </w:r>
                  <w:r>
                    <w:rPr>
                      <w:rFonts w:ascii="宋体" w:hAnsi="宋体" w:eastAsia="宋体"/>
                      <w:color w:val="auto"/>
                    </w:rPr>
                    <w:t xml:space="preserve"> 1.8</w:t>
                  </w:r>
                </w:p>
              </w:tc>
            </w:tr>
            <w:tr w14:paraId="2E8F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vMerge w:val="restart"/>
                  <w:noWrap w:val="0"/>
                  <w:vAlign w:val="top"/>
                </w:tcPr>
                <w:p w14:paraId="538370F4">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页面端</w:t>
                  </w:r>
                </w:p>
              </w:tc>
              <w:tc>
                <w:tcPr>
                  <w:tcW w:w="4261" w:type="dxa"/>
                  <w:noWrap w:val="0"/>
                  <w:vAlign w:val="top"/>
                </w:tcPr>
                <w:p w14:paraId="480F3F12">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javaScript</w:t>
                  </w:r>
                </w:p>
              </w:tc>
            </w:tr>
            <w:tr w14:paraId="112D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61" w:type="dxa"/>
                  <w:vMerge w:val="continue"/>
                  <w:noWrap w:val="0"/>
                  <w:vAlign w:val="top"/>
                </w:tcPr>
                <w:p w14:paraId="5E7DDF37">
                  <w:pPr>
                    <w:pStyle w:val="3"/>
                    <w:spacing w:beforeAutospacing="0" w:after="192" w:afterAutospacing="0" w:line="312" w:lineRule="atLeast"/>
                    <w:jc w:val="center"/>
                    <w:rPr>
                      <w:rStyle w:val="6"/>
                      <w:rFonts w:ascii="宋体" w:hAnsi="宋体" w:eastAsia="宋体" w:cs="等线"/>
                      <w:b w:val="0"/>
                      <w:color w:val="auto"/>
                      <w:shd w:val="clear" w:color="auto" w:fill="FFFFFF"/>
                    </w:rPr>
                  </w:pPr>
                </w:p>
              </w:tc>
              <w:tc>
                <w:tcPr>
                  <w:tcW w:w="4261" w:type="dxa"/>
                  <w:noWrap w:val="0"/>
                  <w:vAlign w:val="top"/>
                </w:tcPr>
                <w:p w14:paraId="5ED94F68">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Fonts w:ascii="宋体" w:hAnsi="宋体" w:eastAsia="宋体"/>
                      <w:color w:val="auto"/>
                    </w:rPr>
                    <w:t>Html5</w:t>
                  </w:r>
                </w:p>
              </w:tc>
            </w:tr>
          </w:tbl>
          <w:p w14:paraId="612ED46A">
            <w:pPr>
              <w:pStyle w:val="3"/>
              <w:shd w:val="clear" w:color="auto" w:fill="FFFFFF"/>
              <w:spacing w:before="240" w:beforeAutospacing="0" w:after="240" w:afterAutospacing="0"/>
              <w:rPr>
                <w:rFonts w:ascii="宋体" w:hAnsi="宋体" w:eastAsia="宋体" w:cs="等线"/>
                <w:color w:val="auto"/>
                <w:shd w:val="clear" w:color="auto" w:fill="FFFFFF"/>
              </w:rPr>
            </w:pPr>
            <w:r>
              <w:rPr>
                <w:rStyle w:val="6"/>
                <w:rFonts w:hint="eastAsia" w:ascii="宋体" w:hAnsi="宋体" w:eastAsia="宋体" w:cs="等线"/>
                <w:b w:val="0"/>
                <w:color w:val="auto"/>
                <w:shd w:val="clear" w:color="auto" w:fill="FFFFFF"/>
              </w:rPr>
              <w:t>软件基本情况表：</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7"/>
              <w:gridCol w:w="5276"/>
            </w:tblGrid>
            <w:tr w14:paraId="38A8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719" w:type="dxa"/>
                  <w:noWrap w:val="0"/>
                  <w:vAlign w:val="center"/>
                </w:tcPr>
                <w:p w14:paraId="296A3C4E">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软件名称</w:t>
                  </w:r>
                </w:p>
              </w:tc>
              <w:tc>
                <w:tcPr>
                  <w:tcW w:w="5803" w:type="dxa"/>
                  <w:noWrap w:val="0"/>
                  <w:vAlign w:val="top"/>
                </w:tcPr>
                <w:p w14:paraId="460A040C">
                  <w:pPr>
                    <w:pStyle w:val="3"/>
                    <w:spacing w:beforeAutospacing="0" w:after="192" w:afterAutospacing="0" w:line="312" w:lineRule="atLeast"/>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陕西省国家教育考试综合管理平台</w:t>
                  </w:r>
                </w:p>
              </w:tc>
            </w:tr>
            <w:tr w14:paraId="6EE4F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719" w:type="dxa"/>
                  <w:noWrap w:val="0"/>
                  <w:vAlign w:val="center"/>
                </w:tcPr>
                <w:p w14:paraId="5B750AD1">
                  <w:pPr>
                    <w:pStyle w:val="3"/>
                    <w:spacing w:beforeAutospacing="0" w:after="192" w:afterAutospacing="0" w:line="312" w:lineRule="atLeast"/>
                    <w:jc w:val="center"/>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软件公司</w:t>
                  </w:r>
                </w:p>
              </w:tc>
              <w:tc>
                <w:tcPr>
                  <w:tcW w:w="5803" w:type="dxa"/>
                  <w:noWrap w:val="0"/>
                  <w:vAlign w:val="top"/>
                </w:tcPr>
                <w:p w14:paraId="4A1015E0">
                  <w:pPr>
                    <w:pStyle w:val="3"/>
                    <w:spacing w:beforeAutospacing="0" w:after="192" w:afterAutospacing="0" w:line="312" w:lineRule="atLeast"/>
                    <w:rPr>
                      <w:rStyle w:val="6"/>
                      <w:rFonts w:ascii="宋体" w:hAnsi="宋体" w:eastAsia="宋体" w:cs="等线"/>
                      <w:b w:val="0"/>
                      <w:color w:val="auto"/>
                      <w:shd w:val="clear" w:color="auto" w:fill="FFFFFF"/>
                    </w:rPr>
                  </w:pPr>
                  <w:r>
                    <w:rPr>
                      <w:rStyle w:val="6"/>
                      <w:rFonts w:ascii="宋体" w:hAnsi="宋体" w:eastAsia="宋体" w:cs="等线"/>
                      <w:b w:val="0"/>
                      <w:color w:val="auto"/>
                      <w:shd w:val="clear" w:color="auto" w:fill="FFFFFF"/>
                    </w:rPr>
                    <w:t>杭州恒生数字设备科技有限公司</w:t>
                  </w:r>
                </w:p>
              </w:tc>
            </w:tr>
            <w:tr w14:paraId="06D4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0" w:hRule="exact"/>
              </w:trPr>
              <w:tc>
                <w:tcPr>
                  <w:tcW w:w="2719" w:type="dxa"/>
                  <w:noWrap w:val="0"/>
                  <w:vAlign w:val="center"/>
                </w:tcPr>
                <w:p w14:paraId="613ED654">
                  <w:pPr>
                    <w:pStyle w:val="3"/>
                    <w:spacing w:beforeAutospacing="0" w:after="192" w:afterAutospacing="0" w:line="312" w:lineRule="atLeast"/>
                    <w:ind w:left="1200" w:hanging="1200" w:hangingChars="500"/>
                    <w:jc w:val="both"/>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软件运行环境采用技术情况</w:t>
                  </w:r>
                </w:p>
              </w:tc>
              <w:tc>
                <w:tcPr>
                  <w:tcW w:w="5803" w:type="dxa"/>
                  <w:noWrap w:val="0"/>
                  <w:vAlign w:val="top"/>
                </w:tcPr>
                <w:p w14:paraId="3896FE5D">
                  <w:pPr>
                    <w:pStyle w:val="3"/>
                    <w:spacing w:beforeAutospacing="0" w:after="192" w:afterAutospacing="0" w:line="312" w:lineRule="atLeast"/>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服务器端操作系统为Linux，</w:t>
                  </w:r>
                </w:p>
                <w:p w14:paraId="547F571D">
                  <w:pPr>
                    <w:pStyle w:val="3"/>
                    <w:spacing w:beforeAutospacing="0" w:after="192" w:afterAutospacing="0" w:line="312" w:lineRule="atLeast"/>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发布服务器采国产服务器作为Web发布平台，</w:t>
                  </w:r>
                </w:p>
                <w:p w14:paraId="49A5E30C">
                  <w:pPr>
                    <w:pStyle w:val="3"/>
                    <w:spacing w:beforeAutospacing="0" w:after="192" w:afterAutospacing="0" w:line="312" w:lineRule="atLeast"/>
                    <w:rPr>
                      <w:rFonts w:ascii="宋体" w:hAnsi="宋体" w:eastAsia="宋体" w:cs="等线"/>
                      <w:b/>
                      <w:color w:val="auto"/>
                    </w:rPr>
                  </w:pPr>
                  <w:r>
                    <w:rPr>
                      <w:rStyle w:val="6"/>
                      <w:rFonts w:hint="eastAsia" w:ascii="宋体" w:hAnsi="宋体" w:eastAsia="宋体" w:cs="等线"/>
                      <w:b w:val="0"/>
                      <w:color w:val="auto"/>
                      <w:shd w:val="clear" w:color="auto" w:fill="FFFFFF"/>
                    </w:rPr>
                    <w:t>数据库采用</w:t>
                  </w:r>
                  <w:r>
                    <w:rPr>
                      <w:rFonts w:hint="eastAsia" w:ascii="宋体" w:hAnsi="宋体" w:eastAsia="宋体" w:cs="等线"/>
                      <w:bCs/>
                      <w:color w:val="auto"/>
                    </w:rPr>
                    <w:t>Mysql 5.7.</w:t>
                  </w:r>
                  <w:r>
                    <w:rPr>
                      <w:rFonts w:ascii="宋体" w:hAnsi="宋体" w:eastAsia="宋体" w:cs="等线"/>
                      <w:bCs/>
                      <w:color w:val="auto"/>
                    </w:rPr>
                    <w:t>35</w:t>
                  </w:r>
                </w:p>
                <w:p w14:paraId="385394B9">
                  <w:pPr>
                    <w:pStyle w:val="3"/>
                    <w:spacing w:beforeAutospacing="0" w:after="192" w:afterAutospacing="0" w:line="312" w:lineRule="atLeast"/>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客户端采用谷歌、火狐、360极速浏览器等主流浏览器</w:t>
                  </w:r>
                </w:p>
                <w:p w14:paraId="21B77A4A">
                  <w:pPr>
                    <w:pStyle w:val="3"/>
                    <w:spacing w:beforeAutospacing="0" w:after="192" w:afterAutospacing="0" w:line="312" w:lineRule="atLeast"/>
                    <w:rPr>
                      <w:rStyle w:val="6"/>
                      <w:rFonts w:ascii="宋体" w:hAnsi="宋体" w:eastAsia="宋体" w:cs="等线"/>
                      <w:b w:val="0"/>
                      <w:color w:val="auto"/>
                      <w:shd w:val="clear" w:color="auto" w:fill="FFFFFF"/>
                    </w:rPr>
                  </w:pPr>
                  <w:r>
                    <w:rPr>
                      <w:rStyle w:val="6"/>
                      <w:rFonts w:hint="eastAsia" w:ascii="宋体" w:hAnsi="宋体" w:eastAsia="宋体" w:cs="等线"/>
                      <w:b w:val="0"/>
                      <w:color w:val="auto"/>
                      <w:shd w:val="clear" w:color="auto" w:fill="FFFFFF"/>
                    </w:rPr>
                    <w:t>设置为</w:t>
                  </w:r>
                  <w:r>
                    <w:rPr>
                      <w:rStyle w:val="6"/>
                      <w:rFonts w:ascii="宋体" w:hAnsi="宋体" w:eastAsia="宋体" w:cs="等线"/>
                      <w:b w:val="0"/>
                      <w:color w:val="auto"/>
                      <w:shd w:val="clear" w:color="auto" w:fill="FFFFFF"/>
                    </w:rPr>
                    <w:t>1920*1080</w:t>
                  </w:r>
                  <w:r>
                    <w:rPr>
                      <w:rStyle w:val="6"/>
                      <w:rFonts w:hint="eastAsia" w:ascii="宋体" w:hAnsi="宋体" w:eastAsia="宋体" w:cs="等线"/>
                      <w:b w:val="0"/>
                      <w:color w:val="auto"/>
                      <w:shd w:val="clear" w:color="auto" w:fill="FFFFFF"/>
                    </w:rPr>
                    <w:t>分辨率最佳。</w:t>
                  </w:r>
                </w:p>
              </w:tc>
            </w:tr>
          </w:tbl>
          <w:p w14:paraId="60903CC0">
            <w:pPr>
              <w:spacing w:line="360" w:lineRule="auto"/>
              <w:rPr>
                <w:rFonts w:ascii="宋体" w:hAnsi="宋体"/>
                <w:color w:val="auto"/>
                <w:sz w:val="24"/>
              </w:rPr>
            </w:pPr>
          </w:p>
          <w:p w14:paraId="19E84C82">
            <w:pPr>
              <w:spacing w:line="360" w:lineRule="auto"/>
              <w:ind w:firstLine="480" w:firstLineChars="200"/>
              <w:rPr>
                <w:rFonts w:ascii="宋体" w:hAnsi="宋体" w:cs="宋体"/>
                <w:color w:val="auto"/>
                <w:sz w:val="24"/>
              </w:rPr>
            </w:pPr>
            <w:r>
              <w:rPr>
                <w:rFonts w:hint="eastAsia" w:ascii="宋体" w:hAnsi="宋体" w:cs="宋体"/>
                <w:color w:val="auto"/>
                <w:sz w:val="24"/>
              </w:rPr>
              <w:t>本期对</w:t>
            </w:r>
            <w:r>
              <w:rPr>
                <w:rFonts w:ascii="宋体" w:hAnsi="宋体" w:eastAsia="宋体" w:cs="宋体"/>
                <w:color w:val="auto"/>
                <w:kern w:val="0"/>
                <w:sz w:val="24"/>
                <w:szCs w:val="24"/>
                <w:lang w:val="en-US" w:eastAsia="zh-CN" w:bidi="ar"/>
              </w:rPr>
              <w:t>试卷袋数量统计</w:t>
            </w:r>
            <w:r>
              <w:rPr>
                <w:rFonts w:hint="eastAsia" w:ascii="宋体" w:hAnsi="宋体" w:cs="宋体"/>
                <w:color w:val="auto"/>
                <w:kern w:val="0"/>
                <w:sz w:val="24"/>
                <w:szCs w:val="24"/>
                <w:lang w:val="en-US" w:eastAsia="zh-CN" w:bidi="ar"/>
              </w:rPr>
              <w:t>、</w:t>
            </w:r>
            <w:r>
              <w:rPr>
                <w:rFonts w:ascii="宋体" w:hAnsi="宋体" w:eastAsia="宋体" w:cs="宋体"/>
                <w:color w:val="auto"/>
                <w:kern w:val="0"/>
                <w:sz w:val="24"/>
                <w:szCs w:val="24"/>
                <w:lang w:val="en-US" w:eastAsia="zh-CN" w:bidi="ar"/>
              </w:rPr>
              <w:t>试题申报实用</w:t>
            </w:r>
            <w:r>
              <w:rPr>
                <w:rFonts w:hint="eastAsia" w:ascii="宋体" w:hAnsi="宋体" w:cs="宋体"/>
                <w:color w:val="auto"/>
                <w:kern w:val="0"/>
                <w:sz w:val="24"/>
                <w:szCs w:val="24"/>
                <w:lang w:val="en-US" w:eastAsia="zh-CN" w:bidi="ar"/>
              </w:rPr>
              <w:t>数据</w:t>
            </w:r>
            <w:r>
              <w:rPr>
                <w:rFonts w:ascii="宋体" w:hAnsi="宋体" w:eastAsia="宋体" w:cs="宋体"/>
                <w:color w:val="auto"/>
                <w:kern w:val="0"/>
                <w:sz w:val="24"/>
                <w:szCs w:val="24"/>
                <w:lang w:val="en-US" w:eastAsia="zh-CN" w:bidi="ar"/>
              </w:rPr>
              <w:t>统计</w:t>
            </w:r>
            <w:r>
              <w:rPr>
                <w:rFonts w:hint="eastAsia" w:ascii="宋体" w:hAnsi="宋体" w:cs="宋体"/>
                <w:color w:val="auto"/>
                <w:sz w:val="24"/>
                <w:lang w:val="en-US" w:eastAsia="zh-CN"/>
              </w:rPr>
              <w:t>、</w:t>
            </w:r>
            <w:r>
              <w:rPr>
                <w:rFonts w:ascii="宋体" w:hAnsi="宋体" w:eastAsia="宋体" w:cs="宋体"/>
                <w:color w:val="auto"/>
                <w:kern w:val="0"/>
                <w:sz w:val="24"/>
                <w:szCs w:val="24"/>
                <w:lang w:val="en-US" w:eastAsia="zh-CN" w:bidi="ar"/>
              </w:rPr>
              <w:t>硕士录取初审审核</w:t>
            </w:r>
            <w:r>
              <w:rPr>
                <w:rFonts w:hint="eastAsia" w:ascii="宋体" w:hAnsi="宋体" w:cs="宋体"/>
                <w:color w:val="auto"/>
                <w:kern w:val="0"/>
                <w:sz w:val="24"/>
                <w:szCs w:val="24"/>
                <w:lang w:val="en-US" w:eastAsia="zh-CN" w:bidi="ar"/>
              </w:rPr>
              <w:t>、</w:t>
            </w:r>
            <w:r>
              <w:rPr>
                <w:rFonts w:ascii="宋体" w:hAnsi="宋体" w:eastAsia="宋体" w:cs="宋体"/>
                <w:color w:val="auto"/>
                <w:kern w:val="0"/>
                <w:sz w:val="24"/>
                <w:szCs w:val="24"/>
                <w:lang w:val="en-US" w:eastAsia="zh-CN" w:bidi="ar"/>
              </w:rPr>
              <w:t>博士录取院长审核</w:t>
            </w:r>
            <w:r>
              <w:rPr>
                <w:rFonts w:hint="eastAsia" w:ascii="宋体" w:hAnsi="宋体" w:cs="宋体"/>
                <w:color w:val="auto"/>
                <w:kern w:val="0"/>
                <w:sz w:val="24"/>
                <w:szCs w:val="24"/>
                <w:lang w:val="en-US" w:eastAsia="zh-CN" w:bidi="ar"/>
              </w:rPr>
              <w:t>、</w:t>
            </w:r>
            <w:r>
              <w:rPr>
                <w:rFonts w:ascii="宋体" w:hAnsi="宋体" w:eastAsia="宋体" w:cs="宋体"/>
                <w:color w:val="auto"/>
                <w:kern w:val="0"/>
                <w:sz w:val="24"/>
                <w:szCs w:val="24"/>
                <w:lang w:val="en-US" w:eastAsia="zh-CN" w:bidi="ar"/>
              </w:rPr>
              <w:t>录取审核结果分发</w:t>
            </w:r>
            <w:r>
              <w:rPr>
                <w:rFonts w:hint="eastAsia" w:ascii="宋体" w:hAnsi="宋体" w:cs="宋体"/>
                <w:color w:val="auto"/>
                <w:kern w:val="0"/>
                <w:sz w:val="24"/>
                <w:szCs w:val="24"/>
                <w:lang w:val="en-US" w:eastAsia="zh-CN" w:bidi="ar"/>
              </w:rPr>
              <w:t>的</w:t>
            </w:r>
            <w:r>
              <w:rPr>
                <w:rFonts w:hint="eastAsia" w:ascii="宋体" w:hAnsi="宋体" w:cs="宋体"/>
                <w:color w:val="auto"/>
                <w:sz w:val="24"/>
              </w:rPr>
              <w:t>关键场景的性能进行了优化和调整，通过使用redis 、RAMCache、RocketMQ 等技术手段，对重要场景的功能代码进行了重构，在结构上实现大数据高并发情况下的高可用。并对调整后的场景进行了相应的压力测试，部分压测结果如下：</w:t>
            </w:r>
          </w:p>
          <w:p w14:paraId="7E2E2F1B">
            <w:pPr>
              <w:keepNext w:val="0"/>
              <w:keepLines w:val="0"/>
              <w:widowControl/>
              <w:numPr>
                <w:ilvl w:val="0"/>
                <w:numId w:val="1"/>
              </w:numPr>
              <w:suppressLineNumbers w:val="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试卷袋数量统计压测</w:t>
            </w:r>
          </w:p>
          <w:p w14:paraId="238DA04D">
            <w:pPr>
              <w:keepNext w:val="0"/>
              <w:keepLines w:val="0"/>
              <w:widowControl/>
              <w:suppressLineNumbers w:val="0"/>
              <w:jc w:val="left"/>
              <w:rPr>
                <w:color w:val="auto"/>
              </w:rPr>
            </w:pPr>
            <w:r>
              <w:rPr>
                <w:rFonts w:ascii="宋体" w:hAnsi="宋体" w:eastAsia="宋体" w:cs="宋体"/>
                <w:color w:val="auto"/>
                <w:kern w:val="0"/>
                <w:sz w:val="24"/>
                <w:szCs w:val="24"/>
                <w:lang w:val="en-US" w:eastAsia="zh-CN" w:bidi="ar"/>
              </w:rPr>
              <w:t>各科试卷袋数量统计、汇总计算、汇算结果批量导出</w:t>
            </w:r>
          </w:p>
          <w:p w14:paraId="3E08B2A7">
            <w:pPr>
              <w:snapToGrid w:val="0"/>
              <w:spacing w:line="360" w:lineRule="auto"/>
              <w:rPr>
                <w:rFonts w:hint="eastAsia" w:ascii="宋体" w:hAnsi="宋体" w:cs="宋体"/>
                <w:color w:val="auto"/>
                <w:sz w:val="24"/>
              </w:rPr>
            </w:pPr>
            <w:r>
              <w:rPr>
                <w:color w:val="auto"/>
              </w:rPr>
              <w:drawing>
                <wp:inline distT="0" distB="0" distL="114300" distR="114300">
                  <wp:extent cx="5266690" cy="563880"/>
                  <wp:effectExtent l="0" t="0" r="10160" b="7620"/>
                  <wp:docPr id="69"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71"/>
                          <pic:cNvPicPr>
                            <a:picLocks noChangeAspect="1"/>
                          </pic:cNvPicPr>
                        </pic:nvPicPr>
                        <pic:blipFill>
                          <a:blip r:embed="rId73"/>
                          <a:stretch>
                            <a:fillRect/>
                          </a:stretch>
                        </pic:blipFill>
                        <pic:spPr>
                          <a:xfrm>
                            <a:off x="0" y="0"/>
                            <a:ext cx="5266690" cy="563880"/>
                          </a:xfrm>
                          <a:prstGeom prst="rect">
                            <a:avLst/>
                          </a:prstGeom>
                          <a:noFill/>
                          <a:ln>
                            <a:noFill/>
                          </a:ln>
                        </pic:spPr>
                      </pic:pic>
                    </a:graphicData>
                  </a:graphic>
                </wp:inline>
              </w:drawing>
            </w:r>
          </w:p>
          <w:p w14:paraId="1FCACE27">
            <w:pPr>
              <w:spacing w:line="360" w:lineRule="auto"/>
              <w:rPr>
                <w:rFonts w:ascii="宋体" w:hAnsi="宋体" w:cs="宋体"/>
                <w:color w:val="auto"/>
                <w:sz w:val="24"/>
              </w:rPr>
            </w:pPr>
            <w:r>
              <w:rPr>
                <w:rFonts w:hint="eastAsia" w:ascii="宋体" w:hAnsi="宋体" w:cs="宋体"/>
                <w:color w:val="auto"/>
                <w:sz w:val="24"/>
              </w:rPr>
              <w:t xml:space="preserve">TPS（总和）为 </w:t>
            </w:r>
            <w:r>
              <w:rPr>
                <w:rFonts w:hint="eastAsia" w:ascii="宋体" w:hAnsi="宋体" w:cs="宋体"/>
                <w:color w:val="auto"/>
                <w:sz w:val="24"/>
                <w:lang w:val="en-US" w:eastAsia="zh-CN"/>
              </w:rPr>
              <w:t>351.7</w:t>
            </w:r>
            <w:r>
              <w:rPr>
                <w:rFonts w:hint="eastAsia" w:ascii="宋体" w:hAnsi="宋体" w:cs="宋体"/>
                <w:color w:val="auto"/>
                <w:sz w:val="24"/>
              </w:rPr>
              <w:t>（=</w:t>
            </w:r>
            <w:r>
              <w:rPr>
                <w:rFonts w:hint="eastAsia" w:ascii="宋体" w:hAnsi="宋体" w:cs="宋体"/>
                <w:color w:val="auto"/>
                <w:sz w:val="24"/>
                <w:lang w:val="en-US" w:eastAsia="zh-CN"/>
              </w:rPr>
              <w:t>114.6+117.3+117.1</w:t>
            </w:r>
            <w:r>
              <w:rPr>
                <w:rFonts w:hint="eastAsia" w:ascii="宋体" w:hAnsi="宋体" w:cs="宋体"/>
                <w:color w:val="auto"/>
                <w:sz w:val="24"/>
              </w:rPr>
              <w:t>）</w:t>
            </w:r>
          </w:p>
          <w:p w14:paraId="58FE6F73">
            <w:pPr>
              <w:snapToGrid w:val="0"/>
              <w:spacing w:line="360" w:lineRule="auto"/>
              <w:rPr>
                <w:rFonts w:hint="eastAsia" w:ascii="宋体" w:hAnsi="宋体" w:cs="宋体"/>
                <w:color w:val="auto"/>
                <w:sz w:val="24"/>
              </w:rPr>
            </w:pPr>
            <w:r>
              <w:rPr>
                <w:rFonts w:hint="eastAsia" w:ascii="宋体" w:hAnsi="宋体" w:cs="宋体"/>
                <w:color w:val="auto"/>
                <w:sz w:val="24"/>
              </w:rPr>
              <w:t>平均响应时间（总和平均）为</w:t>
            </w:r>
            <w:r>
              <w:rPr>
                <w:rFonts w:hint="eastAsia" w:ascii="宋体" w:hAnsi="宋体" w:cs="宋体"/>
                <w:color w:val="auto"/>
                <w:sz w:val="24"/>
                <w:lang w:val="en-US" w:eastAsia="zh-CN"/>
              </w:rPr>
              <w:t>140</w:t>
            </w:r>
            <w:r>
              <w:rPr>
                <w:rFonts w:hint="eastAsia" w:ascii="宋体" w:hAnsi="宋体" w:cs="宋体"/>
                <w:color w:val="auto"/>
                <w:sz w:val="24"/>
              </w:rPr>
              <w:t>ms（=(</w:t>
            </w:r>
            <w:r>
              <w:rPr>
                <w:rFonts w:hint="eastAsia" w:ascii="宋体" w:hAnsi="宋体" w:cs="宋体"/>
                <w:color w:val="auto"/>
                <w:sz w:val="24"/>
                <w:lang w:val="en-US" w:eastAsia="zh-CN"/>
              </w:rPr>
              <w:t>142+138+140</w:t>
            </w:r>
            <w:r>
              <w:rPr>
                <w:rFonts w:hint="eastAsia" w:ascii="宋体" w:hAnsi="宋体" w:cs="宋体"/>
                <w:color w:val="auto"/>
                <w:sz w:val="24"/>
              </w:rPr>
              <w:t>)÷3）</w:t>
            </w:r>
          </w:p>
          <w:p w14:paraId="7CF34CC1">
            <w:pPr>
              <w:keepNext w:val="0"/>
              <w:keepLines w:val="0"/>
              <w:widowControl/>
              <w:numPr>
                <w:ilvl w:val="0"/>
                <w:numId w:val="1"/>
              </w:numPr>
              <w:suppressLineNumbers w:val="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试题申报实用</w:t>
            </w:r>
            <w:r>
              <w:rPr>
                <w:rFonts w:hint="eastAsia" w:ascii="宋体" w:hAnsi="宋体" w:eastAsia="宋体" w:cs="宋体"/>
                <w:color w:val="auto"/>
                <w:kern w:val="0"/>
                <w:sz w:val="24"/>
                <w:szCs w:val="24"/>
                <w:lang w:val="en-US" w:eastAsia="zh-CN" w:bidi="ar"/>
              </w:rPr>
              <w:t>数据</w:t>
            </w:r>
            <w:r>
              <w:rPr>
                <w:rFonts w:ascii="宋体" w:hAnsi="宋体" w:eastAsia="宋体" w:cs="宋体"/>
                <w:color w:val="auto"/>
                <w:kern w:val="0"/>
                <w:sz w:val="24"/>
                <w:szCs w:val="24"/>
                <w:lang w:val="en-US" w:eastAsia="zh-CN" w:bidi="ar"/>
              </w:rPr>
              <w:t>统计压测</w:t>
            </w:r>
          </w:p>
          <w:p w14:paraId="56F00790">
            <w:pPr>
              <w:keepNext w:val="0"/>
              <w:keepLines w:val="0"/>
              <w:widowControl/>
              <w:suppressLineNumbers w:val="0"/>
              <w:jc w:val="left"/>
              <w:rPr>
                <w:color w:val="auto"/>
              </w:rPr>
            </w:pPr>
            <w:r>
              <w:rPr>
                <w:rFonts w:ascii="宋体" w:hAnsi="宋体" w:eastAsia="宋体" w:cs="宋体"/>
                <w:color w:val="auto"/>
                <w:kern w:val="0"/>
                <w:sz w:val="24"/>
                <w:szCs w:val="24"/>
                <w:lang w:val="en-US" w:eastAsia="zh-CN" w:bidi="ar"/>
              </w:rPr>
              <w:t>试题实用统计查询、试题备用统计查询、试题实发统计查询、合计查询</w:t>
            </w:r>
          </w:p>
          <w:p w14:paraId="75CE75DB">
            <w:pPr>
              <w:snapToGrid w:val="0"/>
              <w:spacing w:line="360" w:lineRule="auto"/>
              <w:rPr>
                <w:rFonts w:hint="eastAsia" w:ascii="宋体" w:hAnsi="宋体" w:eastAsia="宋体" w:cs="宋体"/>
                <w:color w:val="auto"/>
                <w:sz w:val="24"/>
                <w:lang w:eastAsia="zh-CN"/>
              </w:rPr>
            </w:pPr>
            <w:r>
              <w:rPr>
                <w:color w:val="auto"/>
              </w:rPr>
              <w:drawing>
                <wp:inline distT="0" distB="0" distL="114300" distR="114300">
                  <wp:extent cx="5264785" cy="599440"/>
                  <wp:effectExtent l="0" t="0" r="12065" b="10160"/>
                  <wp:docPr id="74"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2"/>
                          <pic:cNvPicPr>
                            <a:picLocks noChangeAspect="1"/>
                          </pic:cNvPicPr>
                        </pic:nvPicPr>
                        <pic:blipFill>
                          <a:blip r:embed="rId74"/>
                          <a:stretch>
                            <a:fillRect/>
                          </a:stretch>
                        </pic:blipFill>
                        <pic:spPr>
                          <a:xfrm>
                            <a:off x="0" y="0"/>
                            <a:ext cx="5264785" cy="599440"/>
                          </a:xfrm>
                          <a:prstGeom prst="rect">
                            <a:avLst/>
                          </a:prstGeom>
                          <a:noFill/>
                          <a:ln>
                            <a:noFill/>
                          </a:ln>
                        </pic:spPr>
                      </pic:pic>
                    </a:graphicData>
                  </a:graphic>
                </wp:inline>
              </w:drawing>
            </w:r>
          </w:p>
          <w:p w14:paraId="51D9A2F0">
            <w:pPr>
              <w:spacing w:line="360" w:lineRule="auto"/>
              <w:rPr>
                <w:rFonts w:ascii="宋体" w:hAnsi="宋体" w:cs="宋体"/>
                <w:color w:val="auto"/>
                <w:sz w:val="24"/>
              </w:rPr>
            </w:pPr>
            <w:r>
              <w:rPr>
                <w:rFonts w:hint="eastAsia" w:ascii="宋体" w:hAnsi="宋体" w:cs="宋体"/>
                <w:color w:val="auto"/>
                <w:sz w:val="24"/>
              </w:rPr>
              <w:t xml:space="preserve">TPS（总和）为 </w:t>
            </w:r>
            <w:r>
              <w:rPr>
                <w:rFonts w:hint="eastAsia" w:ascii="宋体" w:hAnsi="宋体" w:cs="宋体"/>
                <w:color w:val="auto"/>
                <w:sz w:val="24"/>
                <w:lang w:val="en-US" w:eastAsia="zh-CN"/>
              </w:rPr>
              <w:t>511.1</w:t>
            </w:r>
            <w:r>
              <w:rPr>
                <w:rFonts w:hint="eastAsia" w:ascii="宋体" w:hAnsi="宋体" w:cs="宋体"/>
                <w:color w:val="auto"/>
                <w:sz w:val="24"/>
              </w:rPr>
              <w:t>（=</w:t>
            </w:r>
            <w:r>
              <w:rPr>
                <w:rFonts w:hint="eastAsia" w:ascii="宋体" w:hAnsi="宋体" w:cs="宋体"/>
                <w:color w:val="auto"/>
                <w:sz w:val="24"/>
                <w:lang w:val="en-US" w:eastAsia="zh-CN"/>
              </w:rPr>
              <w:t>123.0+124.3+137.9+125.9</w:t>
            </w:r>
            <w:r>
              <w:rPr>
                <w:rFonts w:hint="eastAsia" w:ascii="宋体" w:hAnsi="宋体" w:cs="宋体"/>
                <w:color w:val="auto"/>
                <w:sz w:val="24"/>
              </w:rPr>
              <w:t>）</w:t>
            </w:r>
          </w:p>
          <w:p w14:paraId="2066E1DC">
            <w:pPr>
              <w:snapToGrid w:val="0"/>
              <w:spacing w:line="360" w:lineRule="auto"/>
              <w:rPr>
                <w:rFonts w:ascii="宋体" w:hAnsi="宋体" w:cs="宋体"/>
                <w:color w:val="auto"/>
                <w:sz w:val="24"/>
              </w:rPr>
            </w:pPr>
            <w:r>
              <w:rPr>
                <w:rFonts w:hint="eastAsia" w:ascii="宋体" w:hAnsi="宋体" w:cs="宋体"/>
                <w:color w:val="auto"/>
                <w:sz w:val="24"/>
              </w:rPr>
              <w:t>平均响应时间（总和平均）为</w:t>
            </w:r>
            <w:r>
              <w:rPr>
                <w:rFonts w:hint="eastAsia" w:ascii="宋体" w:hAnsi="宋体" w:cs="宋体"/>
                <w:color w:val="auto"/>
                <w:sz w:val="24"/>
                <w:lang w:val="en-US" w:eastAsia="zh-CN"/>
              </w:rPr>
              <w:t>123.8</w:t>
            </w:r>
            <w:r>
              <w:rPr>
                <w:rFonts w:hint="eastAsia" w:ascii="宋体" w:hAnsi="宋体" w:cs="宋体"/>
                <w:color w:val="auto"/>
                <w:sz w:val="24"/>
              </w:rPr>
              <w:t>ms（=(</w:t>
            </w:r>
            <w:r>
              <w:rPr>
                <w:rFonts w:hint="eastAsia" w:ascii="宋体" w:hAnsi="宋体" w:cs="宋体"/>
                <w:color w:val="auto"/>
                <w:sz w:val="24"/>
                <w:lang w:val="en-US" w:eastAsia="zh-CN"/>
              </w:rPr>
              <w:t>123+127+122+123</w:t>
            </w:r>
            <w:r>
              <w:rPr>
                <w:rFonts w:hint="eastAsia" w:ascii="宋体" w:hAnsi="宋体" w:cs="宋体"/>
                <w:color w:val="auto"/>
                <w:sz w:val="24"/>
              </w:rPr>
              <w:t>)÷4）</w:t>
            </w:r>
          </w:p>
          <w:p w14:paraId="08D0D43A">
            <w:pPr>
              <w:keepNext w:val="0"/>
              <w:keepLines w:val="0"/>
              <w:widowControl/>
              <w:numPr>
                <w:ilvl w:val="0"/>
                <w:numId w:val="1"/>
              </w:numPr>
              <w:suppressLineNumbers w:val="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硕士录取初审审核压测</w:t>
            </w:r>
          </w:p>
          <w:p w14:paraId="6D18C0EA">
            <w:pPr>
              <w:keepNext w:val="0"/>
              <w:keepLines w:val="0"/>
              <w:widowControl/>
              <w:suppressLineNumbers w:val="0"/>
              <w:jc w:val="left"/>
              <w:rPr>
                <w:color w:val="auto"/>
              </w:rPr>
            </w:pPr>
            <w:r>
              <w:rPr>
                <w:rFonts w:ascii="宋体" w:hAnsi="宋体" w:eastAsia="宋体" w:cs="宋体"/>
                <w:color w:val="auto"/>
                <w:kern w:val="0"/>
                <w:sz w:val="24"/>
                <w:szCs w:val="24"/>
                <w:lang w:val="en-US" w:eastAsia="zh-CN" w:bidi="ar"/>
              </w:rPr>
              <w:t>录取审核结果查询、初审审批通过、初审审核不通过、初审审核撤销；</w:t>
            </w:r>
          </w:p>
          <w:p w14:paraId="181C52E6">
            <w:pPr>
              <w:snapToGrid w:val="0"/>
              <w:spacing w:line="360" w:lineRule="auto"/>
              <w:rPr>
                <w:color w:val="auto"/>
              </w:rPr>
            </w:pPr>
            <w:r>
              <w:rPr>
                <w:color w:val="auto"/>
              </w:rPr>
              <w:drawing>
                <wp:inline distT="0" distB="0" distL="114300" distR="114300">
                  <wp:extent cx="5264150" cy="604520"/>
                  <wp:effectExtent l="0" t="0" r="12700" b="508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icPr>
                        <pic:blipFill>
                          <a:blip r:embed="rId75"/>
                          <a:stretch>
                            <a:fillRect/>
                          </a:stretch>
                        </pic:blipFill>
                        <pic:spPr>
                          <a:xfrm>
                            <a:off x="0" y="0"/>
                            <a:ext cx="5264150" cy="604520"/>
                          </a:xfrm>
                          <a:prstGeom prst="rect">
                            <a:avLst/>
                          </a:prstGeom>
                          <a:noFill/>
                          <a:ln>
                            <a:noFill/>
                          </a:ln>
                        </pic:spPr>
                      </pic:pic>
                    </a:graphicData>
                  </a:graphic>
                </wp:inline>
              </w:drawing>
            </w:r>
          </w:p>
          <w:p w14:paraId="48EF8F35">
            <w:pPr>
              <w:spacing w:line="360" w:lineRule="auto"/>
              <w:rPr>
                <w:rFonts w:ascii="宋体" w:hAnsi="宋体" w:cs="宋体"/>
                <w:color w:val="auto"/>
                <w:sz w:val="24"/>
              </w:rPr>
            </w:pPr>
            <w:r>
              <w:rPr>
                <w:rFonts w:hint="eastAsia" w:ascii="宋体" w:hAnsi="宋体" w:cs="宋体"/>
                <w:color w:val="auto"/>
                <w:sz w:val="24"/>
              </w:rPr>
              <w:t xml:space="preserve">TPS（总和）为 </w:t>
            </w:r>
            <w:r>
              <w:rPr>
                <w:rFonts w:hint="eastAsia" w:ascii="宋体" w:hAnsi="宋体" w:cs="宋体"/>
                <w:color w:val="auto"/>
                <w:sz w:val="24"/>
                <w:lang w:val="en-US" w:eastAsia="zh-CN"/>
              </w:rPr>
              <w:t>495.5</w:t>
            </w:r>
            <w:r>
              <w:rPr>
                <w:rFonts w:hint="eastAsia" w:ascii="宋体" w:hAnsi="宋体" w:cs="宋体"/>
                <w:color w:val="auto"/>
                <w:sz w:val="24"/>
              </w:rPr>
              <w:t>（=</w:t>
            </w:r>
            <w:r>
              <w:rPr>
                <w:rFonts w:hint="eastAsia" w:ascii="宋体" w:hAnsi="宋体" w:cs="宋体"/>
                <w:color w:val="auto"/>
                <w:sz w:val="24"/>
                <w:lang w:val="en-US" w:eastAsia="zh-CN"/>
              </w:rPr>
              <w:t>126.5+119.2+123.3+126.5</w:t>
            </w:r>
            <w:r>
              <w:rPr>
                <w:rFonts w:hint="eastAsia" w:ascii="宋体" w:hAnsi="宋体" w:cs="宋体"/>
                <w:color w:val="auto"/>
                <w:sz w:val="24"/>
              </w:rPr>
              <w:t>）</w:t>
            </w:r>
          </w:p>
          <w:p w14:paraId="2D0C00D8">
            <w:pPr>
              <w:snapToGrid w:val="0"/>
              <w:spacing w:line="360" w:lineRule="auto"/>
              <w:rPr>
                <w:rFonts w:ascii="宋体" w:hAnsi="宋体" w:cs="宋体"/>
                <w:color w:val="auto"/>
                <w:sz w:val="24"/>
              </w:rPr>
            </w:pPr>
            <w:r>
              <w:rPr>
                <w:rFonts w:hint="eastAsia" w:ascii="宋体" w:hAnsi="宋体" w:cs="宋体"/>
                <w:color w:val="auto"/>
                <w:sz w:val="24"/>
              </w:rPr>
              <w:t>平均响应时间（总和平均）为</w:t>
            </w:r>
            <w:r>
              <w:rPr>
                <w:rFonts w:hint="eastAsia" w:ascii="宋体" w:hAnsi="宋体" w:cs="宋体"/>
                <w:color w:val="auto"/>
                <w:sz w:val="24"/>
                <w:lang w:val="en-US" w:eastAsia="zh-CN"/>
              </w:rPr>
              <w:t>131</w:t>
            </w:r>
            <w:r>
              <w:rPr>
                <w:rFonts w:hint="eastAsia" w:ascii="宋体" w:hAnsi="宋体" w:cs="宋体"/>
                <w:color w:val="auto"/>
                <w:sz w:val="24"/>
              </w:rPr>
              <w:t>ms（=(</w:t>
            </w:r>
            <w:r>
              <w:rPr>
                <w:rFonts w:hint="eastAsia" w:ascii="宋体" w:hAnsi="宋体" w:cs="宋体"/>
                <w:color w:val="auto"/>
                <w:sz w:val="24"/>
                <w:lang w:val="en-US" w:eastAsia="zh-CN"/>
              </w:rPr>
              <w:t>128+132+135+129</w:t>
            </w:r>
            <w:r>
              <w:rPr>
                <w:rFonts w:hint="eastAsia" w:ascii="宋体" w:hAnsi="宋体" w:cs="宋体"/>
                <w:color w:val="auto"/>
                <w:sz w:val="24"/>
              </w:rPr>
              <w:t>)÷4）</w:t>
            </w:r>
          </w:p>
          <w:p w14:paraId="6360B55B">
            <w:pPr>
              <w:keepNext w:val="0"/>
              <w:keepLines w:val="0"/>
              <w:widowControl/>
              <w:numPr>
                <w:ilvl w:val="0"/>
                <w:numId w:val="1"/>
              </w:numPr>
              <w:suppressLineNumbers w:val="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博士录取院长审核压测</w:t>
            </w:r>
          </w:p>
          <w:p w14:paraId="456401FF">
            <w:pPr>
              <w:keepNext w:val="0"/>
              <w:keepLines w:val="0"/>
              <w:widowControl/>
              <w:suppressLineNumbers w:val="0"/>
              <w:jc w:val="left"/>
              <w:rPr>
                <w:color w:val="auto"/>
              </w:rPr>
            </w:pPr>
            <w:r>
              <w:rPr>
                <w:rFonts w:ascii="宋体" w:hAnsi="宋体" w:eastAsia="宋体" w:cs="宋体"/>
                <w:color w:val="auto"/>
                <w:kern w:val="0"/>
                <w:sz w:val="24"/>
                <w:szCs w:val="24"/>
                <w:lang w:val="en-US" w:eastAsia="zh-CN" w:bidi="ar"/>
              </w:rPr>
              <w:t>博士审核院长通过、博士审核院长不通过、博士审核院长撤销、审核结果查询、导出；</w:t>
            </w:r>
          </w:p>
          <w:p w14:paraId="1FE61280">
            <w:pPr>
              <w:snapToGrid w:val="0"/>
              <w:spacing w:line="360" w:lineRule="auto"/>
              <w:rPr>
                <w:rFonts w:hint="eastAsia" w:eastAsia="宋体"/>
                <w:color w:val="auto"/>
                <w:lang w:eastAsia="zh-CN"/>
              </w:rPr>
            </w:pPr>
            <w:r>
              <w:rPr>
                <w:color w:val="auto"/>
              </w:rPr>
              <w:drawing>
                <wp:inline distT="0" distB="0" distL="114300" distR="114300">
                  <wp:extent cx="5264785" cy="732790"/>
                  <wp:effectExtent l="0" t="0" r="12065" b="10160"/>
                  <wp:docPr id="70"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4"/>
                          <pic:cNvPicPr>
                            <a:picLocks noChangeAspect="1"/>
                          </pic:cNvPicPr>
                        </pic:nvPicPr>
                        <pic:blipFill>
                          <a:blip r:embed="rId76"/>
                          <a:stretch>
                            <a:fillRect/>
                          </a:stretch>
                        </pic:blipFill>
                        <pic:spPr>
                          <a:xfrm>
                            <a:off x="0" y="0"/>
                            <a:ext cx="5264785" cy="732790"/>
                          </a:xfrm>
                          <a:prstGeom prst="rect">
                            <a:avLst/>
                          </a:prstGeom>
                          <a:noFill/>
                          <a:ln>
                            <a:noFill/>
                          </a:ln>
                        </pic:spPr>
                      </pic:pic>
                    </a:graphicData>
                  </a:graphic>
                </wp:inline>
              </w:drawing>
            </w:r>
          </w:p>
          <w:p w14:paraId="7AAA2EED">
            <w:pPr>
              <w:spacing w:line="360" w:lineRule="auto"/>
              <w:rPr>
                <w:rFonts w:ascii="宋体" w:hAnsi="宋体" w:cs="宋体"/>
                <w:color w:val="auto"/>
                <w:sz w:val="24"/>
              </w:rPr>
            </w:pPr>
            <w:r>
              <w:rPr>
                <w:rFonts w:hint="eastAsia" w:ascii="宋体" w:hAnsi="宋体" w:cs="宋体"/>
                <w:color w:val="auto"/>
                <w:sz w:val="24"/>
              </w:rPr>
              <w:t xml:space="preserve">TPS（总和）为 </w:t>
            </w:r>
            <w:r>
              <w:rPr>
                <w:rFonts w:hint="eastAsia" w:ascii="宋体" w:hAnsi="宋体" w:cs="宋体"/>
                <w:color w:val="auto"/>
                <w:sz w:val="24"/>
                <w:lang w:val="en-US" w:eastAsia="zh-CN"/>
              </w:rPr>
              <w:t>761.8</w:t>
            </w:r>
            <w:r>
              <w:rPr>
                <w:rFonts w:hint="eastAsia" w:ascii="宋体" w:hAnsi="宋体" w:cs="宋体"/>
                <w:color w:val="auto"/>
                <w:sz w:val="24"/>
              </w:rPr>
              <w:t>（=</w:t>
            </w:r>
            <w:r>
              <w:rPr>
                <w:rFonts w:hint="eastAsia" w:ascii="宋体" w:hAnsi="宋体" w:cs="宋体"/>
                <w:color w:val="auto"/>
                <w:sz w:val="24"/>
                <w:lang w:val="en-US" w:eastAsia="zh-CN"/>
              </w:rPr>
              <w:t>165.6+118.7+125.2+235.6+116.7</w:t>
            </w:r>
            <w:r>
              <w:rPr>
                <w:rFonts w:hint="eastAsia" w:ascii="宋体" w:hAnsi="宋体" w:cs="宋体"/>
                <w:color w:val="auto"/>
                <w:sz w:val="24"/>
              </w:rPr>
              <w:t>）</w:t>
            </w:r>
          </w:p>
          <w:p w14:paraId="1980E31E">
            <w:pPr>
              <w:snapToGrid w:val="0"/>
              <w:spacing w:line="360" w:lineRule="auto"/>
              <w:rPr>
                <w:rFonts w:ascii="宋体" w:hAnsi="宋体" w:cs="宋体"/>
                <w:color w:val="auto"/>
                <w:sz w:val="24"/>
              </w:rPr>
            </w:pPr>
            <w:r>
              <w:rPr>
                <w:rFonts w:hint="eastAsia" w:ascii="宋体" w:hAnsi="宋体" w:cs="宋体"/>
                <w:color w:val="auto"/>
                <w:sz w:val="24"/>
              </w:rPr>
              <w:t>平均响应时间（总和平均）为</w:t>
            </w:r>
            <w:r>
              <w:rPr>
                <w:rFonts w:hint="eastAsia" w:ascii="宋体" w:hAnsi="宋体" w:cs="宋体"/>
                <w:color w:val="auto"/>
                <w:sz w:val="24"/>
                <w:lang w:val="en-US" w:eastAsia="zh-CN"/>
              </w:rPr>
              <w:t>135.4</w:t>
            </w:r>
            <w:r>
              <w:rPr>
                <w:rFonts w:hint="eastAsia" w:ascii="宋体" w:hAnsi="宋体" w:cs="宋体"/>
                <w:color w:val="auto"/>
                <w:sz w:val="24"/>
              </w:rPr>
              <w:t>ms（=(</w:t>
            </w:r>
            <w:r>
              <w:rPr>
                <w:rFonts w:hint="eastAsia" w:ascii="宋体" w:hAnsi="宋体" w:cs="宋体"/>
                <w:color w:val="auto"/>
                <w:sz w:val="24"/>
                <w:lang w:val="en-US" w:eastAsia="zh-CN"/>
              </w:rPr>
              <w:t>138+136+133+138+132</w:t>
            </w:r>
            <w:r>
              <w:rPr>
                <w:rFonts w:hint="eastAsia" w:ascii="宋体" w:hAnsi="宋体" w:cs="宋体"/>
                <w:color w:val="auto"/>
                <w:sz w:val="24"/>
              </w:rPr>
              <w:t>)÷</w:t>
            </w:r>
            <w:r>
              <w:rPr>
                <w:rFonts w:hint="eastAsia" w:ascii="宋体" w:hAnsi="宋体" w:cs="宋体"/>
                <w:color w:val="auto"/>
                <w:sz w:val="24"/>
                <w:lang w:val="en-US" w:eastAsia="zh-CN"/>
              </w:rPr>
              <w:t>5</w:t>
            </w:r>
            <w:r>
              <w:rPr>
                <w:rFonts w:hint="eastAsia" w:ascii="宋体" w:hAnsi="宋体" w:cs="宋体"/>
                <w:color w:val="auto"/>
                <w:sz w:val="24"/>
              </w:rPr>
              <w:t>）</w:t>
            </w:r>
          </w:p>
          <w:p w14:paraId="7543DCFF">
            <w:pPr>
              <w:keepNext w:val="0"/>
              <w:keepLines w:val="0"/>
              <w:widowControl/>
              <w:numPr>
                <w:ilvl w:val="0"/>
                <w:numId w:val="1"/>
              </w:numPr>
              <w:suppressLineNumbers w:val="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录取审核结果分发压测</w:t>
            </w:r>
          </w:p>
          <w:p w14:paraId="2EB70B50">
            <w:pPr>
              <w:keepNext w:val="0"/>
              <w:keepLines w:val="0"/>
              <w:widowControl/>
              <w:suppressLineNumbers w:val="0"/>
              <w:jc w:val="left"/>
              <w:rPr>
                <w:color w:val="auto"/>
              </w:rPr>
            </w:pPr>
            <w:r>
              <w:rPr>
                <w:rFonts w:ascii="宋体" w:hAnsi="宋体" w:eastAsia="宋体" w:cs="宋体"/>
                <w:color w:val="auto"/>
                <w:kern w:val="0"/>
                <w:sz w:val="24"/>
                <w:szCs w:val="24"/>
                <w:lang w:val="en-US" w:eastAsia="zh-CN" w:bidi="ar"/>
              </w:rPr>
              <w:t>硕士审核结果批量导出、硕士审核结果导入、结果分发、下载</w:t>
            </w:r>
          </w:p>
          <w:p w14:paraId="4E9A5E15">
            <w:pPr>
              <w:snapToGrid w:val="0"/>
              <w:spacing w:line="360" w:lineRule="auto"/>
              <w:rPr>
                <w:rFonts w:hint="eastAsia" w:eastAsia="宋体"/>
                <w:color w:val="auto"/>
                <w:lang w:eastAsia="zh-CN"/>
              </w:rPr>
            </w:pPr>
            <w:r>
              <w:rPr>
                <w:color w:val="auto"/>
              </w:rPr>
              <w:drawing>
                <wp:inline distT="0" distB="0" distL="114300" distR="114300">
                  <wp:extent cx="5268595" cy="687070"/>
                  <wp:effectExtent l="0" t="0" r="8255" b="17780"/>
                  <wp:docPr id="71"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5"/>
                          <pic:cNvPicPr>
                            <a:picLocks noChangeAspect="1"/>
                          </pic:cNvPicPr>
                        </pic:nvPicPr>
                        <pic:blipFill>
                          <a:blip r:embed="rId77"/>
                          <a:stretch>
                            <a:fillRect/>
                          </a:stretch>
                        </pic:blipFill>
                        <pic:spPr>
                          <a:xfrm>
                            <a:off x="0" y="0"/>
                            <a:ext cx="5268595" cy="687070"/>
                          </a:xfrm>
                          <a:prstGeom prst="rect">
                            <a:avLst/>
                          </a:prstGeom>
                          <a:noFill/>
                          <a:ln>
                            <a:noFill/>
                          </a:ln>
                        </pic:spPr>
                      </pic:pic>
                    </a:graphicData>
                  </a:graphic>
                </wp:inline>
              </w:drawing>
            </w:r>
          </w:p>
          <w:p w14:paraId="70A96F72">
            <w:pPr>
              <w:spacing w:line="360" w:lineRule="auto"/>
              <w:rPr>
                <w:rFonts w:ascii="宋体" w:hAnsi="宋体" w:cs="宋体"/>
                <w:color w:val="auto"/>
                <w:sz w:val="24"/>
              </w:rPr>
            </w:pPr>
            <w:r>
              <w:rPr>
                <w:rFonts w:hint="eastAsia" w:ascii="宋体" w:hAnsi="宋体" w:cs="宋体"/>
                <w:color w:val="auto"/>
                <w:sz w:val="24"/>
              </w:rPr>
              <w:t xml:space="preserve">TPS（总和）为 </w:t>
            </w:r>
            <w:r>
              <w:rPr>
                <w:rFonts w:hint="eastAsia" w:ascii="宋体" w:hAnsi="宋体" w:cs="宋体"/>
                <w:color w:val="auto"/>
                <w:sz w:val="24"/>
                <w:lang w:val="en-US" w:eastAsia="zh-CN"/>
              </w:rPr>
              <w:t>498</w:t>
            </w:r>
            <w:r>
              <w:rPr>
                <w:rFonts w:hint="eastAsia" w:ascii="宋体" w:hAnsi="宋体" w:cs="宋体"/>
                <w:color w:val="auto"/>
                <w:sz w:val="24"/>
              </w:rPr>
              <w:t>（=</w:t>
            </w:r>
            <w:r>
              <w:rPr>
                <w:rFonts w:hint="eastAsia" w:ascii="宋体" w:hAnsi="宋体" w:cs="宋体"/>
                <w:color w:val="auto"/>
                <w:sz w:val="24"/>
                <w:lang w:val="en-US" w:eastAsia="zh-CN"/>
              </w:rPr>
              <w:t>126.8+124.6+124.6+122.0</w:t>
            </w:r>
            <w:r>
              <w:rPr>
                <w:rFonts w:hint="eastAsia" w:ascii="宋体" w:hAnsi="宋体" w:cs="宋体"/>
                <w:color w:val="auto"/>
                <w:sz w:val="24"/>
              </w:rPr>
              <w:t>）</w:t>
            </w:r>
          </w:p>
          <w:p w14:paraId="175C552D">
            <w:pPr>
              <w:snapToGrid w:val="0"/>
              <w:spacing w:line="360" w:lineRule="auto"/>
              <w:rPr>
                <w:rFonts w:hint="eastAsia" w:ascii="宋体" w:hAnsi="宋体" w:eastAsia="宋体" w:cs="宋体"/>
                <w:b/>
                <w:bCs/>
                <w:color w:val="auto"/>
                <w:sz w:val="24"/>
                <w:szCs w:val="24"/>
              </w:rPr>
            </w:pPr>
            <w:r>
              <w:rPr>
                <w:rFonts w:hint="eastAsia" w:ascii="宋体" w:hAnsi="宋体" w:cs="宋体"/>
                <w:color w:val="auto"/>
                <w:sz w:val="24"/>
              </w:rPr>
              <w:t>平均响应时间（总和平均）为</w:t>
            </w:r>
            <w:r>
              <w:rPr>
                <w:rFonts w:hint="eastAsia" w:ascii="宋体" w:hAnsi="宋体" w:cs="宋体"/>
                <w:color w:val="auto"/>
                <w:sz w:val="24"/>
                <w:lang w:val="en-US" w:eastAsia="zh-CN"/>
              </w:rPr>
              <w:t>131.8</w:t>
            </w:r>
            <w:r>
              <w:rPr>
                <w:rFonts w:hint="eastAsia" w:ascii="宋体" w:hAnsi="宋体" w:cs="宋体"/>
                <w:color w:val="auto"/>
                <w:sz w:val="24"/>
              </w:rPr>
              <w:t>ms（=(</w:t>
            </w:r>
            <w:r>
              <w:rPr>
                <w:rFonts w:hint="eastAsia" w:ascii="宋体" w:hAnsi="宋体" w:cs="宋体"/>
                <w:color w:val="auto"/>
                <w:sz w:val="24"/>
                <w:lang w:val="en-US" w:eastAsia="zh-CN"/>
              </w:rPr>
              <w:t>129+132+133+133</w:t>
            </w:r>
            <w:r>
              <w:rPr>
                <w:rFonts w:hint="eastAsia" w:ascii="宋体" w:hAnsi="宋体" w:cs="宋体"/>
                <w:color w:val="auto"/>
                <w:sz w:val="24"/>
              </w:rPr>
              <w:t>)÷4）</w:t>
            </w:r>
          </w:p>
        </w:tc>
      </w:tr>
    </w:tbl>
    <w:p w14:paraId="52D61BBD">
      <w:pPr>
        <w:rPr>
          <w:rFonts w:hint="default"/>
          <w:lang w:val="en-US" w:eastAsia="zh-CN"/>
        </w:rPr>
      </w:pPr>
      <w:r>
        <w:rPr>
          <w:rFonts w:hint="default"/>
          <w:lang w:val="en-US" w:eastAsia="zh-CN"/>
        </w:rPr>
        <w:br w:type="page"/>
      </w:r>
    </w:p>
    <w:p w14:paraId="719D7904">
      <w:pPr>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2包：</w:t>
      </w:r>
    </w:p>
    <w:p w14:paraId="4F0F44A4">
      <w:pPr>
        <w:rPr>
          <w:rFonts w:hint="eastAsia" w:ascii="宋体" w:hAnsi="宋体" w:eastAsia="宋体" w:cs="Times New Roman"/>
          <w:b/>
          <w:bCs/>
          <w:sz w:val="24"/>
          <w:szCs w:val="32"/>
          <w:lang w:val="en-US" w:eastAsia="zh-CN"/>
        </w:rPr>
      </w:pPr>
      <w:bookmarkStart w:id="0" w:name="_Toc436868167"/>
      <w:r>
        <w:rPr>
          <w:rFonts w:hint="eastAsia" w:ascii="宋体" w:hAnsi="宋体" w:eastAsia="宋体" w:cs="Times New Roman"/>
          <w:b/>
          <w:bCs/>
          <w:sz w:val="24"/>
          <w:szCs w:val="32"/>
          <w:lang w:val="en-US" w:eastAsia="zh-CN"/>
        </w:rPr>
        <w:t>一、项目</w:t>
      </w:r>
      <w:bookmarkEnd w:id="0"/>
      <w:r>
        <w:rPr>
          <w:rFonts w:hint="eastAsia" w:ascii="宋体" w:hAnsi="宋体" w:eastAsia="宋体" w:cs="Times New Roman"/>
          <w:b/>
          <w:bCs/>
          <w:sz w:val="24"/>
          <w:szCs w:val="32"/>
          <w:lang w:val="en-US" w:eastAsia="zh-CN"/>
        </w:rPr>
        <w:t>概述</w:t>
      </w:r>
    </w:p>
    <w:p w14:paraId="43728443">
      <w:pPr>
        <w:spacing w:before="0" w:after="0"/>
        <w:ind w:firstLine="0" w:firstLineChars="0"/>
        <w:outlineLvl w:val="9"/>
        <w:rPr>
          <w:rFonts w:hint="eastAsia"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1</w:t>
      </w:r>
      <w:r>
        <w:rPr>
          <w:rFonts w:hint="eastAsia" w:ascii="宋体" w:hAnsi="宋体" w:eastAsia="宋体" w:cs="宋体"/>
          <w:sz w:val="24"/>
          <w:szCs w:val="24"/>
        </w:rPr>
        <w:t xml:space="preserve"> 项目背景</w:t>
      </w:r>
    </w:p>
    <w:p w14:paraId="29410B0C">
      <w:pPr>
        <w:spacing w:line="360" w:lineRule="auto"/>
        <w:ind w:firstLine="480" w:firstLineChars="200"/>
        <w:outlineLvl w:val="9"/>
        <w:rPr>
          <w:rFonts w:hint="eastAsia"/>
        </w:rPr>
      </w:pPr>
      <w:r>
        <w:rPr>
          <w:rFonts w:hint="eastAsia" w:ascii="宋体" w:hAnsi="宋体" w:cs="宋体"/>
          <w:sz w:val="24"/>
        </w:rPr>
        <w:t>陕西省教育考试院受教育部门委托，承担陕西省教育考试和招生相关工作。</w:t>
      </w:r>
      <w:r>
        <w:rPr>
          <w:rFonts w:ascii="宋体" w:hAnsi="宋体" w:cs="宋体"/>
          <w:sz w:val="24"/>
        </w:rPr>
        <w:t>陕西省教育考试院</w:t>
      </w:r>
      <w:r>
        <w:rPr>
          <w:rFonts w:hint="eastAsia" w:ascii="宋体" w:hAnsi="宋体" w:cs="宋体"/>
          <w:sz w:val="24"/>
        </w:rPr>
        <w:t>已建设的</w:t>
      </w:r>
      <w:r>
        <w:rPr>
          <w:rFonts w:ascii="宋体" w:hAnsi="宋体" w:cs="宋体"/>
          <w:sz w:val="24"/>
        </w:rPr>
        <w:t>信息化系统</w:t>
      </w:r>
      <w:r>
        <w:rPr>
          <w:rFonts w:hint="eastAsia" w:ascii="宋体" w:hAnsi="宋体" w:cs="宋体"/>
          <w:sz w:val="24"/>
        </w:rPr>
        <w:t>为服务各类教育考试发挥了重大作用；但随着考务要求的不断升级，各系统之间的交互、系统与</w:t>
      </w:r>
      <w:r>
        <w:rPr>
          <w:rFonts w:ascii="宋体" w:hAnsi="宋体" w:cs="宋体"/>
          <w:sz w:val="24"/>
        </w:rPr>
        <w:t>外部设备甚至外单位系统有巨大的数据交换需求</w:t>
      </w:r>
      <w:r>
        <w:rPr>
          <w:rFonts w:hint="eastAsia" w:ascii="宋体" w:hAnsi="宋体" w:cs="宋体"/>
          <w:sz w:val="24"/>
        </w:rPr>
        <w:t>。为适应大数据时代的趋势，陕西省教育考试院已完成了省数据交换平台一、二期的建设工作，并支持了多次的考试服务。为了保证后期的考试的稳定运行，需要对数据交换平台进行持续的维护和升级工作。</w:t>
      </w:r>
    </w:p>
    <w:p w14:paraId="31C28022">
      <w:pPr>
        <w:spacing w:before="0" w:after="0"/>
        <w:ind w:firstLine="0" w:firstLineChars="0"/>
        <w:outlineLvl w:val="9"/>
        <w:rPr>
          <w:rFonts w:hint="eastAsia" w:ascii="宋体" w:hAnsi="宋体" w:eastAsia="宋体" w:cs="宋体"/>
          <w:sz w:val="24"/>
          <w:szCs w:val="24"/>
        </w:rPr>
      </w:pPr>
      <w:bookmarkStart w:id="1" w:name="_Toc436868168"/>
      <w:bookmarkStart w:id="2" w:name="_Toc25592"/>
      <w:r>
        <w:rPr>
          <w:rFonts w:hint="eastAsia" w:ascii="宋体" w:hAnsi="宋体" w:eastAsia="宋体" w:cs="宋体"/>
          <w:sz w:val="24"/>
          <w:szCs w:val="24"/>
        </w:rPr>
        <w:t>1.</w:t>
      </w:r>
      <w:r>
        <w:rPr>
          <w:rFonts w:ascii="宋体" w:hAnsi="宋体" w:eastAsia="宋体" w:cs="宋体"/>
          <w:sz w:val="24"/>
          <w:szCs w:val="24"/>
        </w:rPr>
        <w:t>2</w:t>
      </w:r>
      <w:r>
        <w:rPr>
          <w:rFonts w:hint="eastAsia" w:ascii="宋体" w:hAnsi="宋体" w:eastAsia="宋体" w:cs="宋体"/>
          <w:sz w:val="24"/>
          <w:szCs w:val="24"/>
        </w:rPr>
        <w:t xml:space="preserve"> </w:t>
      </w:r>
      <w:bookmarkEnd w:id="1"/>
      <w:bookmarkEnd w:id="2"/>
      <w:r>
        <w:rPr>
          <w:rFonts w:hint="eastAsia" w:ascii="宋体" w:hAnsi="宋体" w:eastAsia="宋体" w:cs="宋体"/>
          <w:sz w:val="24"/>
          <w:szCs w:val="24"/>
        </w:rPr>
        <w:t>项目目标</w:t>
      </w:r>
    </w:p>
    <w:p w14:paraId="706771AA">
      <w:pPr>
        <w:spacing w:line="360" w:lineRule="auto"/>
        <w:ind w:firstLine="480" w:firstLineChars="200"/>
        <w:outlineLvl w:val="9"/>
        <w:rPr>
          <w:rFonts w:ascii="宋体" w:hAnsi="宋体" w:cs="宋体"/>
          <w:sz w:val="24"/>
        </w:rPr>
      </w:pPr>
      <w:r>
        <w:rPr>
          <w:rFonts w:hint="eastAsia" w:ascii="宋体" w:hAnsi="宋体" w:cs="宋体"/>
          <w:sz w:val="24"/>
        </w:rPr>
        <w:t>对陕西省教育考试院</w:t>
      </w:r>
      <w:r>
        <w:rPr>
          <w:rFonts w:ascii="宋体" w:hAnsi="宋体" w:cs="宋体"/>
          <w:sz w:val="24"/>
        </w:rPr>
        <w:t>已上线运行的</w:t>
      </w:r>
      <w:r>
        <w:rPr>
          <w:rFonts w:hint="eastAsia" w:ascii="宋体" w:hAnsi="宋体" w:cs="宋体"/>
          <w:sz w:val="24"/>
        </w:rPr>
        <w:t>数据交换平台进行</w:t>
      </w:r>
      <w:r>
        <w:rPr>
          <w:rFonts w:ascii="宋体" w:hAnsi="宋体" w:cs="宋体"/>
          <w:sz w:val="24"/>
        </w:rPr>
        <w:t>运</w:t>
      </w:r>
      <w:r>
        <w:rPr>
          <w:rFonts w:hint="eastAsia" w:ascii="宋体" w:hAnsi="宋体" w:cs="宋体"/>
          <w:sz w:val="24"/>
        </w:rPr>
        <w:t>维</w:t>
      </w:r>
      <w:r>
        <w:rPr>
          <w:rFonts w:ascii="宋体" w:hAnsi="宋体" w:cs="宋体"/>
          <w:sz w:val="24"/>
        </w:rPr>
        <w:t>支持服务</w:t>
      </w:r>
      <w:r>
        <w:rPr>
          <w:rFonts w:hint="eastAsia" w:ascii="宋体" w:hAnsi="宋体" w:cs="宋体"/>
          <w:sz w:val="24"/>
        </w:rPr>
        <w:t>，</w:t>
      </w:r>
      <w:r>
        <w:rPr>
          <w:rFonts w:ascii="宋体" w:hAnsi="宋体" w:cs="宋体"/>
          <w:sz w:val="24"/>
        </w:rPr>
        <w:t>包括故障诊断、</w:t>
      </w:r>
      <w:r>
        <w:rPr>
          <w:rFonts w:hint="eastAsia" w:ascii="宋体" w:hAnsi="宋体" w:cs="宋体"/>
          <w:sz w:val="24"/>
        </w:rPr>
        <w:t>问题</w:t>
      </w:r>
      <w:r>
        <w:rPr>
          <w:rFonts w:ascii="宋体" w:hAnsi="宋体" w:cs="宋体"/>
          <w:sz w:val="24"/>
        </w:rPr>
        <w:t>处理</w:t>
      </w:r>
      <w:r>
        <w:rPr>
          <w:rFonts w:hint="eastAsia" w:ascii="宋体" w:hAnsi="宋体" w:cs="宋体"/>
          <w:sz w:val="24"/>
        </w:rPr>
        <w:t>、</w:t>
      </w:r>
      <w:r>
        <w:rPr>
          <w:rFonts w:ascii="宋体" w:hAnsi="宋体" w:cs="宋体"/>
          <w:sz w:val="24"/>
        </w:rPr>
        <w:t>系统维护</w:t>
      </w:r>
      <w:r>
        <w:rPr>
          <w:rFonts w:hint="eastAsia" w:ascii="宋体" w:hAnsi="宋体" w:cs="宋体"/>
          <w:sz w:val="24"/>
        </w:rPr>
        <w:t>、性能优化、功能变更、业务统计、审计协助和技术服务等，服务形式包括但不限于驻场技术服务、电话技术咨询、远程技术支持、现场问题处理、定期组织巡检等，保障系统在维护期内能够正常运行和顺利使用。</w:t>
      </w:r>
    </w:p>
    <w:p w14:paraId="271C8535">
      <w:pPr>
        <w:spacing w:before="156" w:beforeLines="50" w:after="156" w:afterLines="50"/>
        <w:jc w:val="left"/>
        <w:outlineLvl w:val="9"/>
        <w:rPr>
          <w:rFonts w:hint="eastAsia" w:ascii="宋体" w:hAnsi="宋体" w:cs="宋体"/>
          <w:sz w:val="24"/>
          <w:szCs w:val="24"/>
        </w:rPr>
      </w:pPr>
      <w:r>
        <w:rPr>
          <w:rFonts w:hint="eastAsia" w:ascii="宋体" w:hAnsi="宋体" w:cs="宋体"/>
          <w:sz w:val="24"/>
          <w:szCs w:val="24"/>
        </w:rPr>
        <w:t>二、项目业务范围及功能</w:t>
      </w:r>
    </w:p>
    <w:p w14:paraId="26421099">
      <w:pPr>
        <w:spacing w:before="0" w:after="0"/>
        <w:ind w:firstLine="0" w:firstLineChars="0"/>
        <w:outlineLvl w:val="9"/>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.1</w:t>
      </w:r>
      <w:r>
        <w:rPr>
          <w:rFonts w:hint="eastAsia" w:ascii="宋体" w:hAnsi="宋体" w:eastAsia="宋体" w:cs="宋体"/>
          <w:sz w:val="24"/>
          <w:szCs w:val="24"/>
        </w:rPr>
        <w:t>项目维护基本服务</w:t>
      </w:r>
    </w:p>
    <w:p w14:paraId="33841F4E">
      <w:pPr>
        <w:spacing w:line="360" w:lineRule="auto"/>
        <w:ind w:firstLine="480" w:firstLineChars="200"/>
        <w:outlineLvl w:val="9"/>
        <w:rPr>
          <w:rFonts w:ascii="宋体" w:hAnsi="宋体" w:cs="宋体"/>
          <w:sz w:val="24"/>
        </w:rPr>
      </w:pPr>
      <w:r>
        <w:rPr>
          <w:rFonts w:ascii="宋体" w:hAnsi="宋体" w:cs="宋体"/>
          <w:sz w:val="24"/>
        </w:rPr>
        <w:t>负责</w:t>
      </w:r>
      <w:r>
        <w:rPr>
          <w:rFonts w:hint="eastAsia" w:ascii="宋体" w:hAnsi="宋体" w:cs="宋体"/>
          <w:sz w:val="24"/>
        </w:rPr>
        <w:t>维保的陕西省教育考试院数据交换平台</w:t>
      </w:r>
      <w:r>
        <w:rPr>
          <w:rFonts w:ascii="宋体" w:hAnsi="宋体" w:cs="宋体"/>
          <w:sz w:val="24"/>
        </w:rPr>
        <w:t>故障诊断、</w:t>
      </w:r>
      <w:r>
        <w:rPr>
          <w:rFonts w:hint="eastAsia" w:ascii="宋体" w:hAnsi="宋体" w:cs="宋体"/>
          <w:sz w:val="24"/>
        </w:rPr>
        <w:t>处理</w:t>
      </w:r>
      <w:r>
        <w:rPr>
          <w:rFonts w:ascii="宋体" w:hAnsi="宋体" w:cs="宋体"/>
          <w:sz w:val="24"/>
        </w:rPr>
        <w:t>及系统维护</w:t>
      </w:r>
      <w:r>
        <w:rPr>
          <w:rFonts w:hint="eastAsia" w:ascii="宋体" w:hAnsi="宋体" w:cs="宋体"/>
          <w:sz w:val="24"/>
        </w:rPr>
        <w:t>及优化等。保障系统在维护服务期间能够正常运行和顺利使用。</w:t>
      </w:r>
    </w:p>
    <w:p w14:paraId="56C9FB6A">
      <w:pPr>
        <w:spacing w:before="0" w:after="0"/>
        <w:ind w:firstLine="0" w:firstLineChars="0"/>
        <w:outlineLvl w:val="9"/>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.2</w:t>
      </w:r>
      <w:r>
        <w:rPr>
          <w:rFonts w:hint="eastAsia" w:ascii="宋体" w:hAnsi="宋体" w:eastAsia="宋体" w:cs="宋体"/>
          <w:sz w:val="24"/>
          <w:szCs w:val="24"/>
        </w:rPr>
        <w:t>技术支持服务</w:t>
      </w:r>
    </w:p>
    <w:p w14:paraId="52E0EF0F">
      <w:pPr>
        <w:spacing w:line="360" w:lineRule="auto"/>
        <w:ind w:firstLine="480" w:firstLineChars="200"/>
        <w:outlineLvl w:val="9"/>
        <w:rPr>
          <w:rFonts w:ascii="宋体" w:hAnsi="宋体"/>
          <w:color w:val="000000"/>
          <w:sz w:val="24"/>
        </w:rPr>
      </w:pPr>
      <w:r>
        <w:rPr>
          <w:rFonts w:hint="eastAsia" w:ascii="宋体" w:hAnsi="宋体"/>
          <w:color w:val="000000"/>
          <w:sz w:val="24"/>
        </w:rPr>
        <w:t>提供陕西省教育考试院数据交换平台等</w:t>
      </w:r>
      <w:r>
        <w:rPr>
          <w:rFonts w:hint="eastAsia" w:ascii="宋体" w:hAnsi="宋体" w:cs="宋体"/>
          <w:sz w:val="24"/>
        </w:rPr>
        <w:t>技术</w:t>
      </w:r>
      <w:r>
        <w:rPr>
          <w:rFonts w:hint="eastAsia" w:ascii="宋体" w:hAnsi="宋体"/>
          <w:color w:val="000000"/>
          <w:sz w:val="24"/>
        </w:rPr>
        <w:t>支持和技术咨询。</w:t>
      </w:r>
    </w:p>
    <w:p w14:paraId="520D40FF">
      <w:pPr>
        <w:spacing w:before="0" w:after="0"/>
        <w:ind w:firstLine="0" w:firstLineChars="0"/>
        <w:outlineLvl w:val="9"/>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.3</w:t>
      </w:r>
      <w:r>
        <w:rPr>
          <w:rFonts w:hint="eastAsia" w:ascii="宋体" w:hAnsi="宋体" w:eastAsia="宋体" w:cs="宋体"/>
          <w:sz w:val="24"/>
          <w:szCs w:val="24"/>
        </w:rPr>
        <w:t>远程电话支持服务</w:t>
      </w:r>
    </w:p>
    <w:p w14:paraId="78C8F4E4">
      <w:pPr>
        <w:spacing w:line="360" w:lineRule="auto"/>
        <w:ind w:firstLine="480" w:firstLineChars="200"/>
        <w:outlineLvl w:val="9"/>
        <w:rPr>
          <w:rFonts w:ascii="宋体" w:hAnsi="宋体"/>
          <w:color w:val="000000"/>
          <w:sz w:val="24"/>
        </w:rPr>
      </w:pPr>
      <w:r>
        <w:rPr>
          <w:rFonts w:hint="eastAsia" w:ascii="宋体" w:hAnsi="宋体"/>
          <w:color w:val="000000"/>
          <w:sz w:val="24"/>
        </w:rPr>
        <w:t>提供5*8的电话服务支持（客服热线、专门负责此项目工程师电话），不限次。在维保服务内的设备如遇到问题都随时可以得到电话支持与帮助。服务方一旦接到采购方请求电话，服务方的技术人员应在规定时间内通过电话解决或回答用户所提出的问题。</w:t>
      </w:r>
    </w:p>
    <w:p w14:paraId="1DC704AF">
      <w:pPr>
        <w:spacing w:before="0" w:after="0"/>
        <w:ind w:firstLine="0" w:firstLineChars="0"/>
        <w:outlineLvl w:val="9"/>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.4</w:t>
      </w:r>
      <w:r>
        <w:rPr>
          <w:rFonts w:hint="eastAsia" w:ascii="宋体" w:hAnsi="宋体" w:eastAsia="宋体" w:cs="宋体"/>
          <w:sz w:val="24"/>
          <w:szCs w:val="24"/>
        </w:rPr>
        <w:t>风险应急措施</w:t>
      </w:r>
    </w:p>
    <w:p w14:paraId="6B254CC3">
      <w:pPr>
        <w:spacing w:line="360" w:lineRule="auto"/>
        <w:ind w:firstLine="480" w:firstLineChars="200"/>
        <w:outlineLvl w:val="9"/>
        <w:rPr>
          <w:rFonts w:ascii="宋体" w:hAnsi="宋体" w:cs="宋体"/>
          <w:color w:val="000000"/>
          <w:sz w:val="24"/>
        </w:rPr>
      </w:pPr>
      <w:r>
        <w:rPr>
          <w:rFonts w:hint="eastAsia" w:ascii="宋体" w:hAnsi="宋体" w:cs="宋体"/>
          <w:color w:val="000000"/>
          <w:sz w:val="24"/>
        </w:rPr>
        <w:t>对于重大突发事件等关系重大的服务要求，</w:t>
      </w:r>
      <w:r>
        <w:rPr>
          <w:rFonts w:hint="eastAsia" w:ascii="宋体" w:hAnsi="宋体"/>
          <w:sz w:val="24"/>
        </w:rPr>
        <w:t>成交供应商</w:t>
      </w:r>
      <w:r>
        <w:rPr>
          <w:rFonts w:hint="eastAsia" w:ascii="宋体" w:hAnsi="宋体" w:cs="宋体"/>
          <w:color w:val="000000"/>
          <w:sz w:val="24"/>
        </w:rPr>
        <w:t>将设立专门的应急保障机构，提供7*24小时现场应急支援服务。</w:t>
      </w:r>
    </w:p>
    <w:p w14:paraId="46F4EEB5">
      <w:pPr>
        <w:spacing w:line="360" w:lineRule="auto"/>
        <w:outlineLvl w:val="9"/>
        <w:rPr>
          <w:rFonts w:ascii="宋体" w:hAnsi="宋体" w:cs="宋体"/>
          <w:b/>
          <w:bCs/>
          <w:sz w:val="24"/>
        </w:rPr>
      </w:pPr>
      <w:r>
        <w:rPr>
          <w:rFonts w:hint="eastAsia" w:ascii="宋体" w:hAnsi="宋体" w:cs="宋体"/>
          <w:b/>
          <w:bCs/>
          <w:sz w:val="24"/>
        </w:rPr>
        <w:t>（1）故障处理响应（SLA）</w:t>
      </w:r>
    </w:p>
    <w:tbl>
      <w:tblPr>
        <w:tblStyle w:val="4"/>
        <w:tblW w:w="93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6"/>
        <w:gridCol w:w="1850"/>
        <w:gridCol w:w="1825"/>
        <w:gridCol w:w="2037"/>
        <w:gridCol w:w="1725"/>
      </w:tblGrid>
      <w:tr w14:paraId="6C5B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876" w:type="dxa"/>
            <w:noWrap w:val="0"/>
            <w:vAlign w:val="center"/>
          </w:tcPr>
          <w:p w14:paraId="32D05BBC">
            <w:pPr>
              <w:ind w:firstLine="422"/>
              <w:jc w:val="center"/>
              <w:outlineLvl w:val="9"/>
              <w:rPr>
                <w:rFonts w:ascii="宋体" w:hAnsi="宋体" w:cs="宋体"/>
                <w:b/>
                <w:color w:val="000000"/>
                <w:sz w:val="24"/>
              </w:rPr>
            </w:pPr>
          </w:p>
        </w:tc>
        <w:tc>
          <w:tcPr>
            <w:tcW w:w="1850" w:type="dxa"/>
            <w:noWrap w:val="0"/>
            <w:vAlign w:val="center"/>
          </w:tcPr>
          <w:p w14:paraId="0D14FCB7">
            <w:pPr>
              <w:jc w:val="center"/>
              <w:outlineLvl w:val="9"/>
              <w:rPr>
                <w:rFonts w:ascii="宋体" w:hAnsi="宋体" w:cs="宋体"/>
                <w:b/>
                <w:color w:val="000000"/>
                <w:sz w:val="24"/>
              </w:rPr>
            </w:pPr>
            <w:r>
              <w:rPr>
                <w:rFonts w:hint="eastAsia" w:ascii="宋体" w:hAnsi="宋体" w:cs="宋体"/>
                <w:b/>
                <w:color w:val="000000"/>
                <w:sz w:val="24"/>
              </w:rPr>
              <w:t>一级故障</w:t>
            </w:r>
          </w:p>
        </w:tc>
        <w:tc>
          <w:tcPr>
            <w:tcW w:w="1825" w:type="dxa"/>
            <w:noWrap w:val="0"/>
            <w:vAlign w:val="center"/>
          </w:tcPr>
          <w:p w14:paraId="53842849">
            <w:pPr>
              <w:jc w:val="center"/>
              <w:outlineLvl w:val="9"/>
              <w:rPr>
                <w:rFonts w:ascii="宋体" w:hAnsi="宋体" w:cs="宋体"/>
                <w:b/>
                <w:color w:val="000000"/>
                <w:sz w:val="24"/>
              </w:rPr>
            </w:pPr>
            <w:r>
              <w:rPr>
                <w:rFonts w:hint="eastAsia" w:ascii="宋体" w:hAnsi="宋体" w:cs="宋体"/>
                <w:b/>
                <w:color w:val="000000"/>
                <w:sz w:val="24"/>
              </w:rPr>
              <w:t>二级故障</w:t>
            </w:r>
          </w:p>
        </w:tc>
        <w:tc>
          <w:tcPr>
            <w:tcW w:w="2037" w:type="dxa"/>
            <w:noWrap w:val="0"/>
            <w:vAlign w:val="center"/>
          </w:tcPr>
          <w:p w14:paraId="7D1B8226">
            <w:pPr>
              <w:jc w:val="center"/>
              <w:outlineLvl w:val="9"/>
              <w:rPr>
                <w:rFonts w:ascii="宋体" w:hAnsi="宋体" w:cs="宋体"/>
                <w:b/>
                <w:color w:val="000000"/>
                <w:sz w:val="24"/>
              </w:rPr>
            </w:pPr>
            <w:r>
              <w:rPr>
                <w:rFonts w:hint="eastAsia" w:ascii="宋体" w:hAnsi="宋体" w:cs="宋体"/>
                <w:b/>
                <w:color w:val="000000"/>
                <w:sz w:val="24"/>
              </w:rPr>
              <w:t>三级故障</w:t>
            </w:r>
          </w:p>
        </w:tc>
        <w:tc>
          <w:tcPr>
            <w:tcW w:w="1725" w:type="dxa"/>
            <w:noWrap w:val="0"/>
            <w:vAlign w:val="center"/>
          </w:tcPr>
          <w:p w14:paraId="4E77D15A">
            <w:pPr>
              <w:jc w:val="center"/>
              <w:outlineLvl w:val="9"/>
              <w:rPr>
                <w:rFonts w:ascii="宋体" w:hAnsi="宋体" w:cs="宋体"/>
                <w:b/>
                <w:color w:val="000000"/>
                <w:sz w:val="24"/>
              </w:rPr>
            </w:pPr>
            <w:r>
              <w:rPr>
                <w:rFonts w:hint="eastAsia" w:ascii="宋体" w:hAnsi="宋体" w:cs="宋体"/>
                <w:b/>
                <w:color w:val="000000"/>
                <w:sz w:val="24"/>
              </w:rPr>
              <w:t>四级故障</w:t>
            </w:r>
          </w:p>
        </w:tc>
      </w:tr>
      <w:tr w14:paraId="2581D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dxa"/>
            <w:noWrap w:val="0"/>
            <w:vAlign w:val="center"/>
          </w:tcPr>
          <w:p w14:paraId="7F303E28">
            <w:pPr>
              <w:outlineLvl w:val="9"/>
              <w:rPr>
                <w:rFonts w:ascii="宋体" w:hAnsi="宋体" w:cs="宋体"/>
                <w:color w:val="000000"/>
                <w:sz w:val="24"/>
              </w:rPr>
            </w:pPr>
            <w:r>
              <w:rPr>
                <w:rFonts w:hint="eastAsia" w:ascii="宋体" w:hAnsi="宋体" w:cs="宋体"/>
                <w:color w:val="000000"/>
                <w:sz w:val="24"/>
              </w:rPr>
              <w:t>故障响应时限</w:t>
            </w:r>
          </w:p>
        </w:tc>
        <w:tc>
          <w:tcPr>
            <w:tcW w:w="1850" w:type="dxa"/>
            <w:noWrap w:val="0"/>
            <w:vAlign w:val="center"/>
          </w:tcPr>
          <w:p w14:paraId="0B891F3A">
            <w:pPr>
              <w:jc w:val="center"/>
              <w:outlineLvl w:val="9"/>
              <w:rPr>
                <w:rFonts w:ascii="宋体" w:hAnsi="宋体" w:cs="宋体"/>
                <w:color w:val="000000"/>
                <w:sz w:val="24"/>
              </w:rPr>
            </w:pPr>
            <w:r>
              <w:rPr>
                <w:rFonts w:hint="eastAsia" w:ascii="宋体" w:hAnsi="宋体" w:cs="宋体"/>
                <w:color w:val="000000"/>
                <w:sz w:val="24"/>
              </w:rPr>
              <w:t>15分钟</w:t>
            </w:r>
          </w:p>
        </w:tc>
        <w:tc>
          <w:tcPr>
            <w:tcW w:w="1825" w:type="dxa"/>
            <w:noWrap w:val="0"/>
            <w:vAlign w:val="center"/>
          </w:tcPr>
          <w:p w14:paraId="0F902C40">
            <w:pPr>
              <w:jc w:val="center"/>
              <w:outlineLvl w:val="9"/>
              <w:rPr>
                <w:rFonts w:ascii="宋体" w:hAnsi="宋体" w:cs="宋体"/>
                <w:color w:val="000000"/>
                <w:sz w:val="24"/>
              </w:rPr>
            </w:pPr>
            <w:r>
              <w:rPr>
                <w:rFonts w:hint="eastAsia" w:ascii="宋体" w:hAnsi="宋体" w:cs="宋体"/>
                <w:color w:val="000000"/>
                <w:sz w:val="24"/>
              </w:rPr>
              <w:t>40分钟</w:t>
            </w:r>
          </w:p>
        </w:tc>
        <w:tc>
          <w:tcPr>
            <w:tcW w:w="2037" w:type="dxa"/>
            <w:noWrap w:val="0"/>
            <w:vAlign w:val="center"/>
          </w:tcPr>
          <w:p w14:paraId="652ABBFA">
            <w:pPr>
              <w:jc w:val="center"/>
              <w:outlineLvl w:val="9"/>
              <w:rPr>
                <w:rFonts w:ascii="宋体" w:hAnsi="宋体" w:cs="宋体"/>
                <w:color w:val="000000"/>
                <w:sz w:val="24"/>
              </w:rPr>
            </w:pPr>
            <w:r>
              <w:rPr>
                <w:rFonts w:hint="eastAsia" w:ascii="宋体" w:hAnsi="宋体" w:cs="宋体"/>
                <w:color w:val="000000"/>
                <w:sz w:val="24"/>
              </w:rPr>
              <w:t>1小时</w:t>
            </w:r>
          </w:p>
        </w:tc>
        <w:tc>
          <w:tcPr>
            <w:tcW w:w="1725" w:type="dxa"/>
            <w:noWrap w:val="0"/>
            <w:vAlign w:val="center"/>
          </w:tcPr>
          <w:p w14:paraId="6D9B0358">
            <w:pPr>
              <w:jc w:val="center"/>
              <w:outlineLvl w:val="9"/>
              <w:rPr>
                <w:rFonts w:ascii="宋体" w:hAnsi="宋体" w:cs="宋体"/>
                <w:color w:val="000000"/>
                <w:sz w:val="24"/>
              </w:rPr>
            </w:pPr>
            <w:r>
              <w:rPr>
                <w:rFonts w:hint="eastAsia" w:ascii="宋体" w:hAnsi="宋体" w:cs="宋体"/>
                <w:color w:val="000000"/>
                <w:sz w:val="24"/>
              </w:rPr>
              <w:t>2小时</w:t>
            </w:r>
          </w:p>
        </w:tc>
      </w:tr>
      <w:tr w14:paraId="289CA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876" w:type="dxa"/>
            <w:noWrap w:val="0"/>
            <w:vAlign w:val="center"/>
          </w:tcPr>
          <w:p w14:paraId="0BE92F48">
            <w:pPr>
              <w:outlineLvl w:val="9"/>
              <w:rPr>
                <w:rFonts w:ascii="宋体" w:hAnsi="宋体" w:cs="宋体"/>
                <w:color w:val="000000"/>
                <w:sz w:val="24"/>
              </w:rPr>
            </w:pPr>
            <w:r>
              <w:rPr>
                <w:rFonts w:hint="eastAsia" w:ascii="宋体" w:hAnsi="宋体" w:cs="宋体"/>
                <w:color w:val="000000"/>
                <w:sz w:val="24"/>
              </w:rPr>
              <w:t>故障处理措施</w:t>
            </w:r>
          </w:p>
        </w:tc>
        <w:tc>
          <w:tcPr>
            <w:tcW w:w="1850" w:type="dxa"/>
            <w:noWrap w:val="0"/>
            <w:vAlign w:val="center"/>
          </w:tcPr>
          <w:p w14:paraId="747963E3">
            <w:pPr>
              <w:jc w:val="left"/>
              <w:outlineLvl w:val="9"/>
              <w:rPr>
                <w:rFonts w:ascii="宋体" w:hAnsi="宋体" w:cs="宋体"/>
                <w:color w:val="000000"/>
                <w:sz w:val="24"/>
              </w:rPr>
            </w:pPr>
            <w:r>
              <w:rPr>
                <w:rFonts w:hint="eastAsia" w:ascii="宋体" w:hAnsi="宋体" w:cs="宋体"/>
                <w:color w:val="000000"/>
                <w:sz w:val="24"/>
              </w:rPr>
              <w:t>出具相应的故障报告，以及故障修复整改措施及投入的人员配备。</w:t>
            </w:r>
          </w:p>
        </w:tc>
        <w:tc>
          <w:tcPr>
            <w:tcW w:w="1825" w:type="dxa"/>
            <w:noWrap w:val="0"/>
            <w:vAlign w:val="center"/>
          </w:tcPr>
          <w:p w14:paraId="76CFF846">
            <w:pPr>
              <w:jc w:val="left"/>
              <w:outlineLvl w:val="9"/>
              <w:rPr>
                <w:rFonts w:ascii="宋体" w:hAnsi="宋体" w:cs="宋体"/>
                <w:color w:val="000000"/>
                <w:sz w:val="24"/>
              </w:rPr>
            </w:pPr>
            <w:r>
              <w:rPr>
                <w:rFonts w:hint="eastAsia" w:ascii="宋体" w:hAnsi="宋体" w:cs="宋体"/>
                <w:color w:val="000000"/>
                <w:sz w:val="24"/>
              </w:rPr>
              <w:t>出具相应的故障报告，以及同类型故障的排查。</w:t>
            </w:r>
          </w:p>
        </w:tc>
        <w:tc>
          <w:tcPr>
            <w:tcW w:w="2037" w:type="dxa"/>
            <w:noWrap w:val="0"/>
            <w:vAlign w:val="center"/>
          </w:tcPr>
          <w:p w14:paraId="247C1877">
            <w:pPr>
              <w:jc w:val="left"/>
              <w:outlineLvl w:val="9"/>
              <w:rPr>
                <w:rFonts w:ascii="宋体" w:hAnsi="宋体" w:cs="宋体"/>
                <w:color w:val="000000"/>
                <w:sz w:val="24"/>
              </w:rPr>
            </w:pPr>
            <w:r>
              <w:rPr>
                <w:rFonts w:hint="eastAsia" w:ascii="宋体" w:hAnsi="宋体" w:cs="宋体"/>
                <w:color w:val="000000"/>
                <w:sz w:val="24"/>
              </w:rPr>
              <w:t>出具故障报告提供故障原因分析，以及同类型故障的排查。</w:t>
            </w:r>
          </w:p>
        </w:tc>
        <w:tc>
          <w:tcPr>
            <w:tcW w:w="1725" w:type="dxa"/>
            <w:noWrap w:val="0"/>
            <w:vAlign w:val="center"/>
          </w:tcPr>
          <w:p w14:paraId="67AE90BC">
            <w:pPr>
              <w:jc w:val="left"/>
              <w:outlineLvl w:val="9"/>
              <w:rPr>
                <w:rFonts w:ascii="宋体" w:hAnsi="宋体" w:cs="宋体"/>
                <w:color w:val="000000"/>
                <w:sz w:val="24"/>
              </w:rPr>
            </w:pPr>
            <w:r>
              <w:rPr>
                <w:rFonts w:hint="eastAsia" w:ascii="宋体" w:hAnsi="宋体" w:cs="宋体"/>
                <w:color w:val="000000"/>
                <w:sz w:val="24"/>
              </w:rPr>
              <w:t>出具故障报告提供故障原因分析。</w:t>
            </w:r>
          </w:p>
        </w:tc>
      </w:tr>
      <w:tr w14:paraId="1E4B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1876" w:type="dxa"/>
            <w:noWrap w:val="0"/>
            <w:vAlign w:val="center"/>
          </w:tcPr>
          <w:p w14:paraId="5B2BAE5D">
            <w:pPr>
              <w:outlineLvl w:val="9"/>
              <w:rPr>
                <w:rFonts w:ascii="宋体" w:hAnsi="宋体" w:cs="宋体"/>
                <w:color w:val="000000"/>
                <w:sz w:val="24"/>
              </w:rPr>
            </w:pPr>
            <w:r>
              <w:rPr>
                <w:rFonts w:hint="eastAsia" w:ascii="宋体" w:hAnsi="宋体" w:cs="宋体"/>
                <w:color w:val="000000"/>
                <w:sz w:val="24"/>
              </w:rPr>
              <w:t>处理期限</w:t>
            </w:r>
          </w:p>
        </w:tc>
        <w:tc>
          <w:tcPr>
            <w:tcW w:w="1850" w:type="dxa"/>
            <w:noWrap w:val="0"/>
            <w:vAlign w:val="center"/>
          </w:tcPr>
          <w:p w14:paraId="2FE60E19">
            <w:pPr>
              <w:outlineLvl w:val="9"/>
              <w:rPr>
                <w:rFonts w:ascii="宋体" w:hAnsi="宋体" w:cs="宋体"/>
                <w:color w:val="000000"/>
                <w:sz w:val="24"/>
              </w:rPr>
            </w:pPr>
            <w:r>
              <w:rPr>
                <w:rFonts w:hint="eastAsia" w:ascii="宋体" w:hAnsi="宋体" w:cs="宋体"/>
                <w:sz w:val="24"/>
              </w:rPr>
              <w:t>2小时内解决（需100%满足）</w:t>
            </w:r>
          </w:p>
        </w:tc>
        <w:tc>
          <w:tcPr>
            <w:tcW w:w="1825" w:type="dxa"/>
            <w:noWrap w:val="0"/>
            <w:vAlign w:val="center"/>
          </w:tcPr>
          <w:p w14:paraId="2A4448A5">
            <w:pPr>
              <w:outlineLvl w:val="9"/>
              <w:rPr>
                <w:rFonts w:ascii="宋体" w:hAnsi="宋体" w:cs="宋体"/>
                <w:color w:val="000000"/>
                <w:sz w:val="24"/>
              </w:rPr>
            </w:pPr>
            <w:r>
              <w:rPr>
                <w:rFonts w:hint="eastAsia" w:ascii="宋体" w:hAnsi="宋体" w:cs="宋体"/>
                <w:sz w:val="24"/>
              </w:rPr>
              <w:t>4小时内解决（需98%满足）</w:t>
            </w:r>
          </w:p>
        </w:tc>
        <w:tc>
          <w:tcPr>
            <w:tcW w:w="2037" w:type="dxa"/>
            <w:noWrap w:val="0"/>
            <w:vAlign w:val="center"/>
          </w:tcPr>
          <w:p w14:paraId="710D9152">
            <w:pPr>
              <w:outlineLvl w:val="9"/>
              <w:rPr>
                <w:rFonts w:ascii="宋体" w:hAnsi="宋体" w:cs="宋体"/>
                <w:color w:val="000000"/>
                <w:sz w:val="24"/>
              </w:rPr>
            </w:pPr>
            <w:r>
              <w:rPr>
                <w:rFonts w:hint="eastAsia" w:ascii="宋体" w:hAnsi="宋体" w:cs="宋体"/>
                <w:sz w:val="24"/>
              </w:rPr>
              <w:t>24小时内解决（需95%满足）</w:t>
            </w:r>
          </w:p>
        </w:tc>
        <w:tc>
          <w:tcPr>
            <w:tcW w:w="1725" w:type="dxa"/>
            <w:noWrap w:val="0"/>
            <w:vAlign w:val="center"/>
          </w:tcPr>
          <w:p w14:paraId="031977B9">
            <w:pPr>
              <w:outlineLvl w:val="9"/>
              <w:rPr>
                <w:rFonts w:ascii="宋体" w:hAnsi="宋体" w:cs="宋体"/>
                <w:color w:val="000000"/>
                <w:sz w:val="24"/>
              </w:rPr>
            </w:pPr>
            <w:r>
              <w:rPr>
                <w:rFonts w:hint="eastAsia" w:ascii="宋体" w:hAnsi="宋体" w:cs="宋体"/>
                <w:sz w:val="24"/>
              </w:rPr>
              <w:t>3自然日或下次系统更新解决（需90%满足）</w:t>
            </w:r>
          </w:p>
        </w:tc>
      </w:tr>
    </w:tbl>
    <w:p w14:paraId="6B225314">
      <w:pPr>
        <w:outlineLvl w:val="9"/>
        <w:rPr>
          <w:rFonts w:ascii="宋体" w:hAnsi="宋体" w:cs="宋体"/>
          <w:b/>
          <w:bCs/>
          <w:sz w:val="24"/>
        </w:rPr>
      </w:pPr>
      <w:r>
        <w:rPr>
          <w:rFonts w:hint="eastAsia" w:ascii="宋体" w:hAnsi="宋体" w:cs="宋体"/>
          <w:b/>
          <w:bCs/>
          <w:sz w:val="24"/>
        </w:rPr>
        <w:t>（2）故障级别定义（SLA）</w:t>
      </w:r>
    </w:p>
    <w:tbl>
      <w:tblPr>
        <w:tblStyle w:val="4"/>
        <w:tblW w:w="9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6"/>
        <w:gridCol w:w="7450"/>
      </w:tblGrid>
      <w:tr w14:paraId="70268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876" w:type="dxa"/>
            <w:noWrap w:val="0"/>
            <w:vAlign w:val="center"/>
          </w:tcPr>
          <w:p w14:paraId="4C862904">
            <w:pPr>
              <w:outlineLvl w:val="9"/>
              <w:rPr>
                <w:rFonts w:ascii="宋体" w:hAnsi="宋体" w:cs="宋体"/>
                <w:b/>
                <w:color w:val="000000"/>
                <w:sz w:val="24"/>
              </w:rPr>
            </w:pPr>
            <w:r>
              <w:rPr>
                <w:rFonts w:hint="eastAsia" w:ascii="宋体" w:hAnsi="宋体" w:cs="宋体"/>
                <w:b/>
                <w:color w:val="000000"/>
                <w:sz w:val="24"/>
              </w:rPr>
              <w:t>故障级别</w:t>
            </w:r>
          </w:p>
        </w:tc>
        <w:tc>
          <w:tcPr>
            <w:tcW w:w="7450" w:type="dxa"/>
            <w:noWrap w:val="0"/>
            <w:vAlign w:val="center"/>
          </w:tcPr>
          <w:p w14:paraId="76704044">
            <w:pPr>
              <w:ind w:firstLine="422"/>
              <w:jc w:val="center"/>
              <w:outlineLvl w:val="9"/>
              <w:rPr>
                <w:rFonts w:ascii="宋体" w:hAnsi="宋体" w:cs="宋体"/>
                <w:b/>
                <w:color w:val="000000"/>
                <w:sz w:val="24"/>
              </w:rPr>
            </w:pPr>
            <w:r>
              <w:rPr>
                <w:rFonts w:hint="eastAsia" w:ascii="宋体" w:hAnsi="宋体" w:cs="宋体"/>
                <w:b/>
                <w:color w:val="000000"/>
                <w:sz w:val="24"/>
              </w:rPr>
              <w:t>级别定义</w:t>
            </w:r>
          </w:p>
        </w:tc>
      </w:tr>
      <w:tr w14:paraId="1F78A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876" w:type="dxa"/>
            <w:noWrap w:val="0"/>
            <w:vAlign w:val="center"/>
          </w:tcPr>
          <w:p w14:paraId="3752F738">
            <w:pPr>
              <w:jc w:val="center"/>
              <w:outlineLvl w:val="9"/>
              <w:rPr>
                <w:rFonts w:ascii="宋体" w:hAnsi="宋体" w:cs="宋体"/>
                <w:color w:val="000000"/>
                <w:sz w:val="24"/>
              </w:rPr>
            </w:pPr>
            <w:r>
              <w:rPr>
                <w:rFonts w:hint="eastAsia" w:ascii="宋体" w:hAnsi="宋体" w:cs="宋体"/>
                <w:color w:val="000000"/>
                <w:sz w:val="24"/>
              </w:rPr>
              <w:t>一级故障</w:t>
            </w:r>
          </w:p>
        </w:tc>
        <w:tc>
          <w:tcPr>
            <w:tcW w:w="7450" w:type="dxa"/>
            <w:noWrap w:val="0"/>
            <w:vAlign w:val="center"/>
          </w:tcPr>
          <w:p w14:paraId="678D3BCD">
            <w:pPr>
              <w:ind w:firstLine="420"/>
              <w:jc w:val="left"/>
              <w:outlineLvl w:val="9"/>
              <w:rPr>
                <w:rFonts w:ascii="宋体" w:hAnsi="宋体" w:cs="宋体"/>
                <w:color w:val="000000"/>
                <w:sz w:val="24"/>
              </w:rPr>
            </w:pPr>
            <w:r>
              <w:rPr>
                <w:rFonts w:hint="eastAsia" w:ascii="宋体" w:hAnsi="宋体" w:cs="宋体"/>
                <w:sz w:val="24"/>
              </w:rPr>
              <w:t>由于系统或服务器原因导致系统中止，没有可用的解决方案，使得业务在区域范围内瘫痪，造成重大社会影响或经济影响</w:t>
            </w:r>
          </w:p>
        </w:tc>
      </w:tr>
      <w:tr w14:paraId="3577E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876" w:type="dxa"/>
            <w:noWrap w:val="0"/>
            <w:vAlign w:val="center"/>
          </w:tcPr>
          <w:p w14:paraId="54C685A9">
            <w:pPr>
              <w:jc w:val="center"/>
              <w:outlineLvl w:val="9"/>
              <w:rPr>
                <w:rFonts w:ascii="宋体" w:hAnsi="宋体" w:cs="宋体"/>
                <w:color w:val="000000"/>
                <w:sz w:val="24"/>
              </w:rPr>
            </w:pPr>
            <w:r>
              <w:rPr>
                <w:rFonts w:hint="eastAsia" w:ascii="宋体" w:hAnsi="宋体" w:cs="宋体"/>
                <w:color w:val="000000"/>
                <w:sz w:val="24"/>
              </w:rPr>
              <w:t>二级故障</w:t>
            </w:r>
          </w:p>
        </w:tc>
        <w:tc>
          <w:tcPr>
            <w:tcW w:w="7450" w:type="dxa"/>
            <w:noWrap w:val="0"/>
            <w:vAlign w:val="center"/>
          </w:tcPr>
          <w:p w14:paraId="6E2F4331">
            <w:pPr>
              <w:ind w:firstLine="420"/>
              <w:jc w:val="left"/>
              <w:outlineLvl w:val="9"/>
              <w:rPr>
                <w:rFonts w:ascii="宋体" w:hAnsi="宋体" w:cs="宋体"/>
                <w:color w:val="000000"/>
                <w:sz w:val="24"/>
              </w:rPr>
            </w:pPr>
            <w:r>
              <w:rPr>
                <w:rFonts w:hint="eastAsia" w:ascii="宋体" w:hAnsi="宋体" w:cs="宋体"/>
                <w:sz w:val="24"/>
              </w:rPr>
              <w:t>系统可运行但部分功能出现故障，且没有可用的解决方案，使得业务中断或对业务造成实质性不良影响</w:t>
            </w:r>
          </w:p>
        </w:tc>
      </w:tr>
      <w:tr w14:paraId="3F65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876" w:type="dxa"/>
            <w:noWrap w:val="0"/>
            <w:vAlign w:val="center"/>
          </w:tcPr>
          <w:p w14:paraId="0687629C">
            <w:pPr>
              <w:jc w:val="center"/>
              <w:outlineLvl w:val="9"/>
              <w:rPr>
                <w:rFonts w:ascii="宋体" w:hAnsi="宋体" w:cs="宋体"/>
                <w:color w:val="000000"/>
                <w:sz w:val="24"/>
              </w:rPr>
            </w:pPr>
            <w:r>
              <w:rPr>
                <w:rFonts w:hint="eastAsia" w:ascii="宋体" w:hAnsi="宋体" w:cs="宋体"/>
                <w:color w:val="000000"/>
                <w:sz w:val="24"/>
              </w:rPr>
              <w:t>三级故障</w:t>
            </w:r>
          </w:p>
        </w:tc>
        <w:tc>
          <w:tcPr>
            <w:tcW w:w="7450" w:type="dxa"/>
            <w:noWrap w:val="0"/>
            <w:vAlign w:val="center"/>
          </w:tcPr>
          <w:p w14:paraId="17B5FEF0">
            <w:pPr>
              <w:ind w:firstLine="420"/>
              <w:jc w:val="left"/>
              <w:outlineLvl w:val="9"/>
              <w:rPr>
                <w:rFonts w:ascii="宋体" w:hAnsi="宋体" w:cs="宋体"/>
                <w:color w:val="000000"/>
                <w:sz w:val="24"/>
              </w:rPr>
            </w:pPr>
            <w:r>
              <w:rPr>
                <w:rFonts w:hint="eastAsia" w:ascii="宋体" w:hAnsi="宋体" w:cs="宋体"/>
                <w:sz w:val="24"/>
              </w:rPr>
              <w:t>系统可运行但部分功能出现故障，且有可用的解决方案保证业务正常运营。</w:t>
            </w:r>
          </w:p>
        </w:tc>
      </w:tr>
      <w:tr w14:paraId="4370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876" w:type="dxa"/>
            <w:noWrap w:val="0"/>
            <w:vAlign w:val="center"/>
          </w:tcPr>
          <w:p w14:paraId="5847139A">
            <w:pPr>
              <w:jc w:val="center"/>
              <w:outlineLvl w:val="9"/>
              <w:rPr>
                <w:rFonts w:ascii="宋体" w:hAnsi="宋体" w:cs="宋体"/>
                <w:color w:val="000000"/>
                <w:sz w:val="24"/>
              </w:rPr>
            </w:pPr>
            <w:r>
              <w:rPr>
                <w:rFonts w:hint="eastAsia" w:ascii="宋体" w:hAnsi="宋体" w:cs="宋体"/>
                <w:color w:val="000000"/>
                <w:sz w:val="24"/>
              </w:rPr>
              <w:t>四级故障</w:t>
            </w:r>
          </w:p>
        </w:tc>
        <w:tc>
          <w:tcPr>
            <w:tcW w:w="7450" w:type="dxa"/>
            <w:noWrap w:val="0"/>
            <w:vAlign w:val="center"/>
          </w:tcPr>
          <w:p w14:paraId="1D200F87">
            <w:pPr>
              <w:ind w:firstLine="420"/>
              <w:jc w:val="left"/>
              <w:outlineLvl w:val="9"/>
              <w:rPr>
                <w:rFonts w:ascii="宋体" w:hAnsi="宋体" w:cs="宋体"/>
                <w:color w:val="000000"/>
                <w:sz w:val="24"/>
              </w:rPr>
            </w:pPr>
            <w:r>
              <w:rPr>
                <w:rFonts w:hint="eastAsia" w:ascii="宋体" w:hAnsi="宋体" w:cs="宋体"/>
                <w:sz w:val="24"/>
              </w:rPr>
              <w:t>系统可以正常使用，但存在细微问题，基本不影响业务操作，单一的出错时间，且存在解决方案</w:t>
            </w:r>
          </w:p>
        </w:tc>
      </w:tr>
    </w:tbl>
    <w:p w14:paraId="0FDCAA3C">
      <w:pPr>
        <w:spacing w:before="0" w:after="0"/>
        <w:ind w:firstLine="0" w:firstLineChars="0"/>
        <w:outlineLvl w:val="9"/>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.4</w:t>
      </w:r>
      <w:r>
        <w:rPr>
          <w:rFonts w:hint="eastAsia" w:ascii="宋体" w:hAnsi="宋体" w:eastAsia="宋体" w:cs="宋体"/>
          <w:sz w:val="24"/>
          <w:szCs w:val="24"/>
        </w:rPr>
        <w:t>问题处理</w:t>
      </w:r>
    </w:p>
    <w:p w14:paraId="3129AC44">
      <w:pPr>
        <w:spacing w:line="360" w:lineRule="auto"/>
        <w:ind w:firstLine="480" w:firstLineChars="200"/>
        <w:outlineLvl w:val="9"/>
        <w:rPr>
          <w:rFonts w:ascii="宋体" w:hAnsi="宋体"/>
          <w:color w:val="000000"/>
          <w:sz w:val="24"/>
        </w:rPr>
      </w:pPr>
      <w:r>
        <w:rPr>
          <w:rFonts w:hint="eastAsia" w:ascii="宋体" w:hAnsi="宋体"/>
          <w:color w:val="000000"/>
          <w:sz w:val="24"/>
        </w:rPr>
        <w:t>根据陕西省教育考试院数据交换平台的使用阶段，可阶段性的入驻考试中心，进行系统中问题的排查和</w:t>
      </w:r>
      <w:r>
        <w:rPr>
          <w:rFonts w:hint="eastAsia" w:ascii="宋体" w:hAnsi="宋体" w:cs="宋体"/>
          <w:sz w:val="24"/>
        </w:rPr>
        <w:t>修正</w:t>
      </w:r>
      <w:r>
        <w:rPr>
          <w:rFonts w:hint="eastAsia" w:ascii="宋体" w:hAnsi="宋体"/>
          <w:color w:val="000000"/>
          <w:sz w:val="24"/>
        </w:rPr>
        <w:t>，现场处理问题。</w:t>
      </w:r>
    </w:p>
    <w:p w14:paraId="5FA172C7">
      <w:pPr>
        <w:spacing w:before="0" w:after="0"/>
        <w:ind w:firstLine="0" w:firstLineChars="0"/>
        <w:outlineLvl w:val="9"/>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.5</w:t>
      </w:r>
      <w:r>
        <w:rPr>
          <w:rFonts w:hint="eastAsia" w:ascii="宋体" w:hAnsi="宋体" w:eastAsia="宋体" w:cs="宋体"/>
          <w:sz w:val="24"/>
          <w:szCs w:val="24"/>
        </w:rPr>
        <w:t>功能变更</w:t>
      </w:r>
    </w:p>
    <w:p w14:paraId="4DCBB902">
      <w:pPr>
        <w:spacing w:line="360" w:lineRule="auto"/>
        <w:ind w:firstLine="480" w:firstLineChars="200"/>
        <w:outlineLvl w:val="9"/>
        <w:rPr>
          <w:rFonts w:ascii="宋体" w:hAnsi="宋体"/>
          <w:color w:val="000000"/>
          <w:sz w:val="24"/>
        </w:rPr>
      </w:pPr>
      <w:r>
        <w:rPr>
          <w:rFonts w:hint="eastAsia" w:ascii="宋体" w:hAnsi="宋体"/>
          <w:color w:val="000000"/>
          <w:sz w:val="24"/>
        </w:rPr>
        <w:t>根据陕西省教育考试院数据交换平台的使用过程中，业务流程的调整，技术支持的变更范围内，给予技术支持，完成功能的修正。</w:t>
      </w:r>
    </w:p>
    <w:p w14:paraId="47A8274C">
      <w:pPr>
        <w:spacing w:before="0" w:after="0"/>
        <w:ind w:firstLine="0" w:firstLineChars="0"/>
        <w:outlineLvl w:val="9"/>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.6现场服务</w:t>
      </w:r>
    </w:p>
    <w:p w14:paraId="72E49C88">
      <w:pPr>
        <w:spacing w:line="360" w:lineRule="auto"/>
        <w:ind w:firstLine="480" w:firstLineChars="200"/>
        <w:outlineLvl w:val="9"/>
        <w:rPr>
          <w:rFonts w:ascii="宋体" w:hAnsi="宋体"/>
          <w:color w:val="000000"/>
          <w:sz w:val="24"/>
        </w:rPr>
      </w:pPr>
      <w:r>
        <w:rPr>
          <w:rFonts w:hint="eastAsia" w:ascii="宋体" w:hAnsi="宋体"/>
          <w:color w:val="000000"/>
          <w:sz w:val="24"/>
        </w:rPr>
        <w:t>在陕西省教育考试院数据交换平台</w:t>
      </w:r>
      <w:r>
        <w:rPr>
          <w:rFonts w:ascii="宋体" w:hAnsi="宋体"/>
          <w:color w:val="000000"/>
          <w:sz w:val="24"/>
        </w:rPr>
        <w:t>系统维护期内，由于环境、设备、人为等原因，造成系统瘫痪或反应速度超过系统设计的指标等通过电话无法排除的严重故障时，</w:t>
      </w:r>
      <w:r>
        <w:rPr>
          <w:rFonts w:hint="eastAsia" w:ascii="宋体" w:hAnsi="宋体"/>
          <w:color w:val="000000"/>
          <w:sz w:val="24"/>
        </w:rPr>
        <w:t>应在</w:t>
      </w:r>
      <w:r>
        <w:rPr>
          <w:rFonts w:ascii="宋体" w:hAnsi="宋体"/>
          <w:color w:val="000000"/>
          <w:sz w:val="24"/>
        </w:rPr>
        <w:t>发出故障信息通知后4小时内派遣工程师到达现场，协助系统运营商恢复系统的运行，并在排除故障后 1日内将故障原因、解决办法、处理结果上报给</w:t>
      </w:r>
      <w:r>
        <w:rPr>
          <w:rFonts w:hint="eastAsia" w:ascii="宋体" w:hAnsi="宋体"/>
          <w:color w:val="000000"/>
          <w:sz w:val="24"/>
        </w:rPr>
        <w:t>陕西省教育考试院</w:t>
      </w:r>
      <w:r>
        <w:rPr>
          <w:rFonts w:ascii="宋体" w:hAnsi="宋体"/>
          <w:color w:val="000000"/>
          <w:sz w:val="24"/>
        </w:rPr>
        <w:t>。</w:t>
      </w:r>
    </w:p>
    <w:p w14:paraId="478FC8FB">
      <w:pPr>
        <w:spacing w:before="0" w:after="0"/>
        <w:ind w:firstLine="0" w:firstLineChars="0"/>
        <w:outlineLvl w:val="9"/>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 xml:space="preserve">.7功能升级 </w:t>
      </w:r>
    </w:p>
    <w:p w14:paraId="1DF22708">
      <w:pPr>
        <w:outlineLvl w:val="9"/>
        <w:rPr>
          <w:rFonts w:hint="default"/>
          <w:lang w:val="en-US" w:eastAsia="zh-CN"/>
        </w:rPr>
      </w:pPr>
      <w:bookmarkStart w:id="3" w:name="_Toc28833"/>
      <w:r>
        <w:rPr>
          <w:rFonts w:hint="eastAsia" w:ascii="宋体" w:hAnsi="宋体"/>
          <w:color w:val="000000"/>
          <w:sz w:val="24"/>
        </w:rPr>
        <w:t>在</w:t>
      </w:r>
      <w:r>
        <w:rPr>
          <w:rFonts w:ascii="宋体" w:hAnsi="宋体"/>
          <w:color w:val="000000"/>
          <w:sz w:val="24"/>
        </w:rPr>
        <w:t>系统维护期内</w:t>
      </w:r>
      <w:r>
        <w:rPr>
          <w:rFonts w:hint="eastAsia" w:ascii="宋体" w:hAnsi="宋体"/>
          <w:color w:val="000000"/>
          <w:sz w:val="24"/>
        </w:rPr>
        <w:t>，根据陕西省教育考试院对数据交换平台的改进要求，实现对系统功能的开发与升级。</w:t>
      </w:r>
      <w:bookmarkEnd w:id="3"/>
    </w:p>
    <w:p w14:paraId="564EE47D">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1C03DA"/>
    <w:multiLevelType w:val="singleLevel"/>
    <w:tmpl w:val="A71C03D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924"/>
    <w:rsid w:val="00942924"/>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99"/>
    <w:pPr>
      <w:widowControl/>
      <w:spacing w:before="100" w:beforeLines="0" w:beforeAutospacing="1" w:after="100" w:afterLines="0" w:afterAutospacing="1" w:line="240" w:lineRule="auto"/>
      <w:jc w:val="left"/>
    </w:pPr>
    <w:rPr>
      <w:rFonts w:ascii="宋体" w:hAnsi="宋体" w:cs="宋体"/>
      <w:kern w:val="0"/>
      <w:sz w:val="24"/>
    </w:rPr>
  </w:style>
  <w:style w:type="character" w:styleId="6">
    <w:name w:val="Strong"/>
    <w:qFormat/>
    <w:uiPriority w:val="22"/>
    <w:rPr>
      <w:b/>
      <w:bCs/>
    </w:rPr>
  </w:style>
  <w:style w:type="paragraph" w:customStyle="1" w:styleId="7">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9" Type="http://schemas.openxmlformats.org/officeDocument/2006/relationships/fontTable" Target="fontTable.xml"/><Relationship Id="rId78" Type="http://schemas.openxmlformats.org/officeDocument/2006/relationships/numbering" Target="numbering.xml"/><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2026-09-18T03:45:00Z</dcterms:created>
  <dc:creator>123</dc:creator>
  <cp:lastModifiedBy>123</cp:lastModifiedBy>
  <dcterms:modified xsi:type="dcterms:W3CDTF">2026-09-18T03:46:11Z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89537FE53ECE49FB970BCAFAA9A8EDFB_11</vt:lpwstr>
  </property>
  <property fmtid="{D5CDD505-2E9C-101B-9397-08002B2CF9AE}" pid="4" name="KSOTemplateDocerSaveRecord">
    <vt:lpwstr>eyJoZGlkIjoiOGFlZDBjMTkxMjAyY2VhMDJmNjJkYjY5NWY5ZGZmNGMiLCJ1c2VySWQiOiI0NTE5NDQwNTQifQ==</vt:lpwstr>
  </property>
</Properties>
</file>