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版本号：ZCSP-白水县-2026-00178-03120260908002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2026年白水县雷牙镇许家村灌溉渠道建设项目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ZCSP-白水县-2026-00178-031</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2026年白水县雷牙镇许家村灌溉渠道建设项目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ZCSP-白水县-2026-00178-031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2026年白水县雷牙镇许家村灌溉渠道建设项目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建设地点：本项目位于白水县雷牙镇许家村。2.建设规模及内容：新二支渠改造D60U型渠道321m，城门洞形暗涵128m；改造D60U型渠道1215m，改造D60渠系建筑物35座；改造D40U型渠道7315m，改造D40渠系建筑物374座。3.采购内容：本项目设1个独立合同包，包含本项目全部工程施工内容，涵盖工程施工所需的人工、主材、辅材、机械设备、运输装卸、现场施工成型、灌溉工程专项第三方检测、竣工资料整编、竣工验收、成品构筑物保护、现场保洁、缺陷修复、后期保修及技术支持等全部配套服务，直至工程完全达标、验收合格、正式交付使用，满足片区农田常态化灌溉使用需求。4.项目目标：通过实施村内灌溉渠道及渠系建筑物改造工程，完善区域农田灌排基础设施，修复提升渠道输水能力，配套改造渠系建筑物，大幅减少输水渗漏、跑水损失，显著提高水资源利用效率，彻底改善片区农田灌溉条件，保障农田灌溉用水稳定、充足，降低农业灌溉成本，助力区域粮食及农作物生产提质增效，优化农村水利基础设施面貌，夯实乡村农业发展水利保障。5.工期：自合同签订之日起75日历天内完成全部工程施工并达到验收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采购包1（2026年白水县雷牙镇许家村灌溉渠道建设项目）：属于专门面向中小企业采购。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供应商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2、营业执照等主体资格证明文件：供应商提供有效存续的企业营业执照（含2025年度报告）；</w:t>
      </w:r>
    </w:p>
    <w:p>
      <w:pPr>
        <w:pStyle w:val="null3"/>
      </w:pPr>
      <w:r>
        <w:rPr>
          <w:rFonts w:ascii="仿宋_GB2312" w:hAnsi="仿宋_GB2312" w:cs="仿宋_GB2312" w:eastAsia="仿宋_GB2312"/>
        </w:rPr>
        <w:t>3、资质证书：供应商具备水利水电工程施工总承包三级及以上资质；</w:t>
      </w:r>
    </w:p>
    <w:p>
      <w:pPr>
        <w:pStyle w:val="null3"/>
      </w:pPr>
      <w:r>
        <w:rPr>
          <w:rFonts w:ascii="仿宋_GB2312" w:hAnsi="仿宋_GB2312" w:cs="仿宋_GB2312" w:eastAsia="仿宋_GB2312"/>
        </w:rPr>
        <w:t>4、安全生产许可证：供应商具备有效的安全生产许可证；</w:t>
      </w:r>
    </w:p>
    <w:p>
      <w:pPr>
        <w:pStyle w:val="null3"/>
      </w:pPr>
      <w:r>
        <w:rPr>
          <w:rFonts w:ascii="仿宋_GB2312" w:hAnsi="仿宋_GB2312" w:cs="仿宋_GB2312" w:eastAsia="仿宋_GB2312"/>
        </w:rPr>
        <w:t>5、项目经理：供应商拟派项目经理具备水利水电工程二级及以上注册建造师资格，提供无在建项目承诺，并提供项目经理在供应商单位近3个月内任意一个月缴纳的养老保险证明；</w:t>
      </w:r>
    </w:p>
    <w:p>
      <w:pPr>
        <w:pStyle w:val="null3"/>
      </w:pPr>
      <w:r>
        <w:rPr>
          <w:rFonts w:ascii="仿宋_GB2312" w:hAnsi="仿宋_GB2312" w:cs="仿宋_GB2312" w:eastAsia="仿宋_GB2312"/>
        </w:rPr>
        <w:t>6、安全生产考核合格证：供应商的企业负责人、项目经理和专职安全员必须具有水行政主管部门颁发的安全生产考核合格证；</w:t>
      </w:r>
    </w:p>
    <w:p>
      <w:pPr>
        <w:pStyle w:val="null3"/>
      </w:pPr>
      <w:r>
        <w:rPr>
          <w:rFonts w:ascii="仿宋_GB2312" w:hAnsi="仿宋_GB2312" w:cs="仿宋_GB2312" w:eastAsia="仿宋_GB2312"/>
        </w:rPr>
        <w:t>7、财务状况报告：供应商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8、社保缴纳证明：供应商提供2026年1月1日至响应文件递交截止之日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9、税收缴纳证明：供应商提供2026年1月1日至响应文件递交截止之日任意一个月的依法缴纳税收的相关凭据（时间以税款所属日期为准，税种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10、信用记录：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11、控股管理关系：供应商提供直接控股和管理关系清单。若与其他供应商存在单位负责人为同一人或者存在直接控股、管理关系的，则磋商无效；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12、书面声明：供应商提供书面声明，包括声明具有履行合同所必需的设备和专业技术能力；未为本项目提供整体设计、规范编制或者项目管理、监理、检测等服务；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13、本合同包不接受联合体磋商、不允许分包：供应商提供《非联合体磋商不分包声明》，视为独立响应、不分包。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董王平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0913-6155527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18220320178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采购包1：2,744,870.01元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开户名称：鸿⺠国际⼯程（集团）有限公司</w:t>
            </w:r>
          </w:p>
          <w:p>
            <w:pPr>
              <w:pStyle w:val="null3"/>
            </w:pPr>
            <w:r>
              <w:rPr>
                <w:rFonts w:ascii="仿宋_GB2312" w:hAnsi="仿宋_GB2312" w:cs="仿宋_GB2312" w:eastAsia="仿宋_GB2312"/>
              </w:rPr>
              <w:t>开户银行：中国银⾏渭南分⾏营业部</w:t>
            </w:r>
          </w:p>
          <w:p>
            <w:pPr>
              <w:pStyle w:val="null3"/>
            </w:pPr>
            <w:r>
              <w:rPr>
                <w:rFonts w:ascii="仿宋_GB2312" w:hAnsi="仿宋_GB2312" w:cs="仿宋_GB2312" w:eastAsia="仿宋_GB2312"/>
              </w:rPr>
              <w:t>银行账号：103311740136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与采购代理机构依据“财库[2018]2号-财政部关于印发《政府采购代理机构管理暂⾏办法》的通知”第⼗五条规定，约定代理服务费由成交单位⽀付。成交单位在领取成交通知书前⼀次性付清。按照国家计委关于《招标代理服务收费管理暂⾏办法》（计价格〔2002〕1980号）、《国家发展改⾰委关于降低部分建设项⽬收费标准规范收费⾏为等有关问题的通知》（发改价格〔2011〕534号），以合同包成交价为基数，按标准的100%收取。成交单位的代理服务费交纳信息 户名：鸿⺠国际⼯程（集团）有限公司渭南分公司 开户银⾏：中国建设银⾏股份有限公司渭南朝阳⼤街⽀⾏ 账 号：61050164500800000631 联系⼈：党⽂丽 联系电话：18220320178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为⼯程施⼯，本条款适⽤于项⽬全过程所涉施⼯⽅案、专项施⼯⼯艺、深化设计图纸、BIM建模成果、施⼯技术资料、智能化系统程序、专项检测技术⽅案等所有施⼯相关技术及知识产权成果。供应商在项⽬深化设计、现场施⼯、竣⼯交付及后期维保全过程中，如需使⽤⾃有知识产权成果或第三⽅专利、著作权、技术秘密、⾏业专有⼯艺等各类知识成果，须提前向采购⼈提交书⾯申请及说明材料，明确成果类型、合法权属证明、使⽤范围、授权期限、相关费⽤及权责划分，报请采购⼈审核确认后⽅可使⽤。供应商郑重承诺，为本项⽬实施所使⽤的全部⾃有及第三⽅知识成果，权属清晰、合法有效，⽆产权争议、侵权瑕疵，⽆抵押、查封、授权受限等任何权利瑕疵，可全⾯满⾜本⼯程施⼯建设、验收备案、竣⼯交付、运维及后续改扩建的全部使⽤需求。若使⽤第三⽅知识成果，供应商须⾃⾏办妥全部合法授权⼿续，承担所有授权、合规、维权相关费⽤，确保采购⼈可⽆偿、合规、永久使⽤相关成果，⽆需向第三⽅另⾏⽀付任何费⽤。项⽬实施期间，依托本⼯程专属定制形成的施⼯深化⽅案、施⼯⼯艺优化成果、专项技术⽅案、竣⼯技术资料、项⽬专属建模数据等全部衍⽣知识产权成果，权属全部归采购⼈所有。采购⼈享有该等成果的永久使⽤权、修改权、复制权、转让权及⼆次开发使⽤权，供应商不得擅⾃留存、复⽤、转让或授权第三⽅使⽤。供应商仅可在本项⽬履约范围内依规使⽤相关成果，项⽬履约完成后，须完整移交全部知识产权资料、成果⽂件及授权凭证，不得私⾃留存任何备份资料。因供应商提供、使⽤的⾃有或第三⽅知识成果存在权属不清、授权不全、侵权违规等问题，引发知识产权纠纷、投诉举报、诉讼仲裁或⾏政处罚的，由供应商承担全部法律及经济责任，负责妥善处置纠纷、消除不良影响，并全额赔付由此产⽣的诉讼费、赔偿⾦、违约⾦、整改费、停⼯损失、⼯期延误损失及采购⼈全部直接、间接损失。同时，采购⼈有权依据合同约定追究其违约责任，情节严重的，可单⽅解除合同、扣除履约保证⾦，并将其纳⼊不良合作供应商名录。采购⼈可结合本⼯程施⼯进度、建设标准、验收规范及项⽬管理实际，⾃主审核确认供应商知识产权使⽤⽅案，⾃主约定成果使⽤范围、权属归属、移交标准及相关违约责任。供应商须⽆条件配合采购⼈管理要求，不得以此为借⼝拖延施⼯进度、拒绝履约或提出不合理索赔诉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技术履约、商务履约全部达到水利行业规范及合同验收要求，工程质量合格、竣工资料齐全规范、渠道输水灌溉功能达标，各参与验收单位审核通过后，正式签署履约验收报告。</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联系电话：18220320178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2,744,870.01</w:t>
      </w:r>
    </w:p>
    <w:p>
      <w:pPr>
        <w:pStyle w:val="null3"/>
      </w:pPr>
      <w:r>
        <w:rPr>
          <w:rFonts w:ascii="仿宋_GB2312" w:hAnsi="仿宋_GB2312" w:cs="仿宋_GB2312" w:eastAsia="仿宋_GB2312"/>
        </w:rPr>
        <w:t>采购包最高限价（元）: 2,744,870.01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2026年白水县雷牙镇许家村灌溉渠道建设项目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2,744,870.01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标的名称：2026年白水县雷牙镇许家村灌溉渠道建设项目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（一）技术标准</w:t>
            </w:r>
          </w:p>
          <w:p>
            <w:pPr>
              <w:pStyle w:val="null3"/>
            </w:pPr>
            <w:r>
              <w:rPr>
                <w:rFonts w:ascii="仿宋_GB2312" w:hAnsi="仿宋_GB2312" w:cs="仿宋_GB2312" w:eastAsia="仿宋_GB2312"/>
              </w:rPr>
              <w:t>本项目为村级农田灌溉渠道及渠系建筑物改造水利工程，施工、养护、检测、验收全过程严格执行国家及水利行业现行有效规范、标准、规程，主要包含：《渠道防渗工程技术规范》（SL18）、《农田排水工程技术规范》（SL/T4-2013）、《砌体结构工程施工质量验收规范》（GB50203）、《建筑地基基础工程施工质量验收标准》（GB50202）、《混凝土结构工程施工质量验收规范》（GB50204）、《水利水电工程施工质量检验与评定规程》（SL176）、《水利工程施工监理规范》（SL288）、《施工现场临时用电安全技术规范》（JGJ46）、农村灌溉渠道建设技术导则及本项目施工设计文件、项目批复文件要求。</w:t>
            </w:r>
          </w:p>
          <w:p>
            <w:pPr>
              <w:pStyle w:val="null3"/>
            </w:pPr>
            <w:r>
              <w:rPr>
                <w:rFonts w:ascii="仿宋_GB2312" w:hAnsi="仿宋_GB2312" w:cs="仿宋_GB2312" w:eastAsia="仿宋_GB2312"/>
              </w:rPr>
              <w:t>1.所有进场主材、辅材必须具备完整有效的产品合格证、出厂检验报告、型式检测报告；渠道抗渗水泥、砂石骨料、U型渠道预制构件、渠系配套建材、防渗防水材料等核心主材，须委托第三方机构抽样检测，检测合格并报监理单位、建设单位核验备案后方可进场使用，严禁不合格材料、三无产品、检测不达标材料投入工程使用。原有保留灌溉渠道体、渠系建筑物需完成全面排查检测，结构稳固、防渗达标后方可衔接施工。</w:t>
            </w:r>
          </w:p>
          <w:p>
            <w:pPr>
              <w:pStyle w:val="null3"/>
            </w:pPr>
            <w:r>
              <w:rPr>
                <w:rFonts w:ascii="仿宋_GB2312" w:hAnsi="仿宋_GB2312" w:cs="仿宋_GB2312" w:eastAsia="仿宋_GB2312"/>
              </w:rPr>
              <w:t>2.施工测量放线、渠底高程控制、渠道输水坡度校准、新旧渠道衔接点位、沟槽轴线、渠系建筑物标高控制精度须符合农田灌溉渠道施工规范要求，渠道拐点、伸缩缝、衔接段、渠系进出口、建筑物对接等关键点位必须经监理单位复核签字确认，留存完整测量放线、高程复核、老旧渠体勘查、技术复核记录资料。</w:t>
            </w:r>
          </w:p>
          <w:p>
            <w:pPr>
              <w:pStyle w:val="null3"/>
            </w:pPr>
            <w:r>
              <w:rPr>
                <w:rFonts w:ascii="仿宋_GB2312" w:hAnsi="仿宋_GB2312" w:cs="仿宋_GB2312" w:eastAsia="仿宋_GB2312"/>
              </w:rPr>
              <w:t>3.渠道改造长度、U型渠道规格、渠系建筑物数量及尺寸、拆除新建范围等核心工程量严格遵照设计图纸及批复文件施工，施工尺寸、断面规格、防渗标准不得擅自更改，确需调整的必须报建设单位、监理单位及设计单位审批同意后方可实施。</w:t>
            </w:r>
          </w:p>
          <w:p>
            <w:pPr>
              <w:pStyle w:val="null3"/>
            </w:pPr>
            <w:r>
              <w:rPr>
                <w:rFonts w:ascii="仿宋_GB2312" w:hAnsi="仿宋_GB2312" w:cs="仿宋_GB2312" w:eastAsia="仿宋_GB2312"/>
              </w:rPr>
              <w:t>（二）施工标准</w:t>
            </w:r>
          </w:p>
          <w:p>
            <w:pPr>
              <w:pStyle w:val="null3"/>
            </w:pPr>
            <w:r>
              <w:rPr>
                <w:rFonts w:ascii="仿宋_GB2312" w:hAnsi="仿宋_GB2312" w:cs="仿宋_GB2312" w:eastAsia="仿宋_GB2312"/>
              </w:rPr>
              <w:t>所有工序严格按照审批通过的施工方案、设计图纸、农田灌溉渠道施工规范施工，重点把控老旧破损渠道静力拆除、废渣清运、原有渠基清理修整、渠底地基夯实、U型渠道支模现浇/预制安装、渠道防渗抹灰处理、渠系建筑物改造安装、沟槽分层回填夯实、新旧灌溉渠道平顺衔接、渠道进出口导流等关键工序，确保流程标准化、操作规范化，杜绝渠体渗漏、渠基沉降、渠道倒坡、水流不畅等施工遗留质量隐患。</w:t>
            </w:r>
          </w:p>
          <w:p>
            <w:pPr>
              <w:pStyle w:val="null3"/>
            </w:pPr>
            <w:r>
              <w:rPr>
                <w:rFonts w:ascii="仿宋_GB2312" w:hAnsi="仿宋_GB2312" w:cs="仿宋_GB2312" w:eastAsia="仿宋_GB2312"/>
              </w:rPr>
              <w:t>1.老旧渠道拆除施工：采用合规静力破碎拆除工艺，避免扰动周边农田、路基、民居地基及现有完好灌溉设施；拆除废渣集中归集、密闭外运，严禁就地堆放堵塞原有灌溉通路、占用农田；保留合格渠基部位进行打磨、清理、夯实处理，做好新旧渠体防渗衔接，保障输水连续性。</w:t>
            </w:r>
          </w:p>
          <w:p>
            <w:pPr>
              <w:pStyle w:val="null3"/>
            </w:pPr>
            <w:r>
              <w:rPr>
                <w:rFonts w:ascii="仿宋_GB2312" w:hAnsi="仿宋_GB2312" w:cs="仿宋_GB2312" w:eastAsia="仿宋_GB2312"/>
              </w:rPr>
              <w:t>2.渠道地基、沟槽基底、渠道防渗层、渠系建筑物基础等所有隐蔽工程，必须经建设单位、监理单位联合现场验收合格并签字确认后，方可开展混凝土浇筑、构件安装、土方回填等后续施工，严禁擅自封闭隐蔽工程、掩盖地基及防渗施工隐患。</w:t>
            </w:r>
          </w:p>
          <w:p>
            <w:pPr>
              <w:pStyle w:val="null3"/>
            </w:pPr>
            <w:r>
              <w:rPr>
                <w:rFonts w:ascii="仿宋_GB2312" w:hAnsi="仿宋_GB2312" w:cs="仿宋_GB2312" w:eastAsia="仿宋_GB2312"/>
              </w:rPr>
              <w:t>3.施工现场实行标准化管理，砂石、水泥、预制渠道构件、防渗材料等建材分区围挡堆放、标识清晰；施工现场围挡、安全警示标识、沟槽临边防护齐全到位，严格落实沟槽扬尘喷淋、废渣密闭清运、施工噪声管控、雨天沟槽排水防护等文明施工要求；施工完毕及时清运建筑垃圾、施工废料，全面恢复渠边农田、道路、绿植原貌，杜绝占用、损坏农户耕地。</w:t>
            </w:r>
          </w:p>
          <w:p>
            <w:pPr>
              <w:pStyle w:val="null3"/>
            </w:pPr>
            <w:r>
              <w:rPr>
                <w:rFonts w:ascii="仿宋_GB2312" w:hAnsi="仿宋_GB2312" w:cs="仿宋_GB2312" w:eastAsia="仿宋_GB2312"/>
              </w:rPr>
              <w:t>（三）施工工艺与质量要求</w:t>
            </w:r>
          </w:p>
          <w:p>
            <w:pPr>
              <w:pStyle w:val="null3"/>
            </w:pPr>
            <w:r>
              <w:rPr>
                <w:rFonts w:ascii="仿宋_GB2312" w:hAnsi="仿宋_GB2312" w:cs="仿宋_GB2312" w:eastAsia="仿宋_GB2312"/>
              </w:rPr>
              <w:t>1.U型混凝土渠道施工工艺：新建渠道基底原土分层夯实，压实度符合水利工程规范标准；模板支护顺直、牢固、密封性好，现浇混凝土振捣密实，渠体无蜂窝麻面、开裂、空鼓、缺棱掉角等质量缺陷；渠内壁水泥砂浆防渗找平，表面平整度达标、防渗性能良好，无起砂、起皮、裂缝；渠道伸缩缝、衔接缝密封处理到位，防止渗水、漏水；全线渠道线形顺直、断面规整，输水坡度均匀，保障水流顺畅，无积水、滞留问题。</w:t>
            </w:r>
          </w:p>
          <w:p>
            <w:pPr>
              <w:pStyle w:val="null3"/>
            </w:pPr>
            <w:r>
              <w:rPr>
                <w:rFonts w:ascii="仿宋_GB2312" w:hAnsi="仿宋_GB2312" w:cs="仿宋_GB2312" w:eastAsia="仿宋_GB2312"/>
              </w:rPr>
              <w:t>2.渠系建筑物施工工艺：各类渠系配套构筑物严格按照设计尺寸施工，砌筑、浇筑工艺规范，结构稳固；构件安装平整、拼缝密封、稳固不移位，缝隙防水密封到位，防止杂物落入渠内造成淤堵；建筑物与渠道衔接平顺，输水通畅，无渗漏、无卡点，适配农田灌溉输水需求。</w:t>
            </w:r>
          </w:p>
          <w:p>
            <w:pPr>
              <w:pStyle w:val="null3"/>
            </w:pPr>
            <w:r>
              <w:rPr>
                <w:rFonts w:ascii="仿宋_GB2312" w:hAnsi="仿宋_GB2312" w:cs="仿宋_GB2312" w:eastAsia="仿宋_GB2312"/>
              </w:rPr>
              <w:t>3.整体成品质量：改造完成后灌溉渠道线形顺直、断面规整、防渗层完好，无开裂、渗漏、沉降、变形问题；新旧灌溉系统衔接顺畅，全线渠道输水均匀、通畅，可满足片区农田自流灌溉需求，雨天无渠体外渗、积水淤堵问题，整体构筑物耐久稳固，适配村内常年农业灌溉使用需求。</w:t>
            </w:r>
          </w:p>
          <w:p>
            <w:pPr>
              <w:pStyle w:val="null3"/>
            </w:pPr>
            <w:r>
              <w:rPr>
                <w:rFonts w:ascii="仿宋_GB2312" w:hAnsi="仿宋_GB2312" w:cs="仿宋_GB2312" w:eastAsia="仿宋_GB2312"/>
              </w:rPr>
              <w:t>（四）安全技术要求</w:t>
            </w:r>
          </w:p>
          <w:p>
            <w:pPr>
              <w:pStyle w:val="null3"/>
            </w:pPr>
            <w:r>
              <w:rPr>
                <w:rFonts w:ascii="仿宋_GB2312" w:hAnsi="仿宋_GB2312" w:cs="仿宋_GB2312" w:eastAsia="仿宋_GB2312"/>
              </w:rPr>
              <w:t>1.破碎拆除、挖掘机作业、吊装作业等特种作业人员必须持有效证件上岗，所有施工人员规范佩戴安全帽、反光背心、防滑防护用品，严格遵守沟槽开挖、拆除吊装安全操作规程，严禁违章指挥、违章作业、违规操作；施工前完成全员安全技术交底，重点针对深沟槽开挖、老旧渠体破碎拆除、临民居及农田施工、构件吊装作业开展专项安全交底。</w:t>
            </w:r>
          </w:p>
          <w:p>
            <w:pPr>
              <w:pStyle w:val="null3"/>
            </w:pPr>
            <w:r>
              <w:rPr>
                <w:rFonts w:ascii="仿宋_GB2312" w:hAnsi="仿宋_GB2312" w:cs="仿宋_GB2312" w:eastAsia="仿宋_GB2312"/>
              </w:rPr>
              <w:t>2.沟槽基坑施工：渠道沟槽开挖深度超过1.5m时，必须按现场土质规范放坡或搭设支护挡板；开挖土方、弃渣远离沟槽边缘1.5m以外堆放，规避边坡坍塌风险；临村组道路、民居、农田路段沟槽实行全封闭围挡，夜间设置高亮警示灯、反光警示带，安排专人值守疏导行人、车辆及农田作业人员。</w:t>
            </w:r>
          </w:p>
          <w:p>
            <w:pPr>
              <w:pStyle w:val="null3"/>
            </w:pPr>
            <w:r>
              <w:rPr>
                <w:rFonts w:ascii="仿宋_GB2312" w:hAnsi="仿宋_GB2312" w:cs="仿宋_GB2312" w:eastAsia="仿宋_GB2312"/>
              </w:rPr>
              <w:t>3.临时用电：项目施工现场临时用电严格执行《施工现场临时用电安全技术规范》（JGJ46），采用TN-S三相五线制系统，严格落实“一机一闸一漏一箱”安全要求，杜绝私拉乱接、沟槽浸水违规用电，严防触电安全事故。</w:t>
            </w:r>
          </w:p>
          <w:p>
            <w:pPr>
              <w:pStyle w:val="null3"/>
            </w:pPr>
            <w:r>
              <w:rPr>
                <w:rFonts w:ascii="仿宋_GB2312" w:hAnsi="仿宋_GB2312" w:cs="仿宋_GB2312" w:eastAsia="仿宋_GB2312"/>
              </w:rPr>
              <w:t>4.吊装拆除作业：渠道构件吊装、建材转运、渠体破碎作业安排专人统一指挥，吊装机具提前检测核验，作业区域全范围警戒，严禁无关人员进入作业区，严禁人员在吊装臂下方停留穿行。</w:t>
            </w:r>
          </w:p>
          <w:p>
            <w:pPr>
              <w:pStyle w:val="null3"/>
            </w:pPr>
            <w:r>
              <w:rPr>
                <w:rFonts w:ascii="仿宋_GB2312" w:hAnsi="仿宋_GB2312" w:cs="仿宋_GB2312" w:eastAsia="仿宋_GB2312"/>
              </w:rPr>
              <w:t>5.成交供应商须编制完善的安全生产应急预案，涵盖沟槽边坡坍塌、触电、机械破碎伤害、吊装坠落、雨天沟槽积水漫槽、周边民居及农田地基受损等风险场景，配齐抽水泵、支护板材、急救物资、消防物资等应急物资，开工前组织全员安全交底及应急演练，留存完整台账记录，全面防范施工安全及农田灌溉中断次生风险。</w:t>
            </w:r>
          </w:p>
          <w:p>
            <w:pPr>
              <w:pStyle w:val="null3"/>
            </w:pPr>
            <w:r>
              <w:rPr>
                <w:rFonts w:ascii="仿宋_GB2312" w:hAnsi="仿宋_GB2312" w:cs="仿宋_GB2312" w:eastAsia="仿宋_GB2312"/>
              </w:rPr>
              <w:t>（五）周边环境影响控制要求</w:t>
            </w:r>
          </w:p>
          <w:p>
            <w:pPr>
              <w:pStyle w:val="null3"/>
            </w:pPr>
            <w:r>
              <w:rPr>
                <w:rFonts w:ascii="仿宋_GB2312" w:hAnsi="仿宋_GB2312" w:cs="仿宋_GB2312" w:eastAsia="仿宋_GB2312"/>
              </w:rPr>
              <w:t>1.合理优化施工时段，避开村民午休、夜间休息及农忙、农作物灌溉关键时段，分段、分区域导流施工，最大限度减少对村民日常生活、农业生产、农田灌溉的影响；常态化开展喷淋降尘，严控施工扬尘、机械噪声，符合环保规范要求。</w:t>
            </w:r>
          </w:p>
          <w:p>
            <w:pPr>
              <w:pStyle w:val="null3"/>
            </w:pPr>
            <w:r>
              <w:rPr>
                <w:rFonts w:ascii="仿宋_GB2312" w:hAnsi="仿宋_GB2312" w:cs="仿宋_GB2312" w:eastAsia="仿宋_GB2312"/>
              </w:rPr>
              <w:t>2.妥善处置拆除废旧渠体、破损构件、施工废渣、建筑垃圾，全部合规外运处置，严禁就地丢弃、占用农田；施工废水、沟槽积水经沉淀处理后合规排放，严禁随意漫流浸泡周边农田、民居地基，杜绝水土污染、耕地损毁问题。</w:t>
            </w:r>
          </w:p>
          <w:p>
            <w:pPr>
              <w:pStyle w:val="null3"/>
            </w:pPr>
            <w:r>
              <w:rPr>
                <w:rFonts w:ascii="仿宋_GB2312" w:hAnsi="仿宋_GB2312" w:cs="仿宋_GB2312" w:eastAsia="仿宋_GB2312"/>
              </w:rPr>
              <w:t>3.严格保护村内民居地基、入户道路、农田耕地、既有灌溉管线、植被林木、公共设施，沟槽分段围挡防护，精准控制施工范围，最大限度减少场地破坏；施工完工后全面清理沿线施工垃圾、废料，彻底复原渠边田埂、道路、绿植及耕地原貌，做到工完、料尽、场地清。</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二、商务要求</w:t>
            </w:r>
          </w:p>
          <w:p>
            <w:pPr>
              <w:pStyle w:val="null3"/>
            </w:pPr>
            <w:r>
              <w:rPr>
                <w:rFonts w:ascii="仿宋_GB2312" w:hAnsi="仿宋_GB2312" w:cs="仿宋_GB2312" w:eastAsia="仿宋_GB2312"/>
              </w:rPr>
              <w:t>（一）工期：自合同签订之日起75日历天内完成全部工程施工并达到验收条件。</w:t>
            </w:r>
          </w:p>
          <w:p>
            <w:pPr>
              <w:pStyle w:val="null3"/>
            </w:pPr>
            <w:r>
              <w:rPr>
                <w:rFonts w:ascii="仿宋_GB2312" w:hAnsi="仿宋_GB2312" w:cs="仿宋_GB2312" w:eastAsia="仿宋_GB2312"/>
              </w:rPr>
              <w:t>（二）服务标准</w:t>
            </w:r>
          </w:p>
          <w:p>
            <w:pPr>
              <w:pStyle w:val="null3"/>
            </w:pPr>
            <w:r>
              <w:rPr>
                <w:rFonts w:ascii="仿宋_GB2312" w:hAnsi="仿宋_GB2312" w:cs="仿宋_GB2312" w:eastAsia="仿宋_GB2312"/>
              </w:rPr>
              <w:t>1.前期服务：成交供应商须在开工前结合本项目灌溉渠道拆除新建、渠系改造施工特点，编制渠道拆除专项方案、沟槽开挖支护方案、安全专项方案、文明施工扬尘治理方案、农田灌溉导流应急处置方案，完成内部审批及报监审批；全程配合建设单位、监理单位完成现场踏勘、老旧破损渠道排查、农田灌溉水流走向摸排、技术交底、图纸会审、灌溉导流对接、施工难点对接等工作，提前对接村组做好灌溉断流导流、村民及农户出行告知、农田作业避让告知工作。</w:t>
            </w:r>
          </w:p>
          <w:p>
            <w:pPr>
              <w:pStyle w:val="null3"/>
            </w:pPr>
            <w:r>
              <w:rPr>
                <w:rFonts w:ascii="仿宋_GB2312" w:hAnsi="仿宋_GB2312" w:cs="仿宋_GB2312" w:eastAsia="仿宋_GB2312"/>
              </w:rPr>
              <w:t>2.施工过程服务：项目全程配备持证专职项目经理、专职安全管理人员、水利现场技术人员，项目核心管理人员不得擅自离岗、随意更换，确需更换的须提前报备建设单位并经审批同意；每周定期向建设单位、监理单位上报施工进度、渠体砌筑浇筑质量、防渗施工质量、安全管理、隐患整改情况，无条件配合监理单位日常巡检、原材料抽样检测、分部分项验收工作；每日规范填写灌溉工程施工日志，留存老旧渠拆除、沟槽开挖、渠体浇筑、预制构件安装、防渗施工、完工通水试运行全过程施工影像、施工前后灌溉设施对比影像资料。</w:t>
            </w:r>
          </w:p>
          <w:p>
            <w:pPr>
              <w:pStyle w:val="null3"/>
            </w:pPr>
            <w:r>
              <w:rPr>
                <w:rFonts w:ascii="仿宋_GB2312" w:hAnsi="仿宋_GB2312" w:cs="仿宋_GB2312" w:eastAsia="仿宋_GB2312"/>
              </w:rPr>
              <w:t>3.后期服务：新建渠道混凝土、防渗层、渠道衔接部位、渠系建筑物养护期安排专人专项管控防护，做好灌溉导流管护；完工后配合建设单位、监理单位开展渠道通水试验、渠系建筑物核验、竣工资料组卷、审计对接、验收整改全流程工作；保修期内常态化渠道巡检、淤泥杂物疏通、破损修补、防渗养护，落实全流程售后维保服务，保障农田灌溉系统长期稳定运行。</w:t>
            </w:r>
          </w:p>
          <w:p>
            <w:pPr>
              <w:pStyle w:val="null3"/>
            </w:pPr>
            <w:r>
              <w:rPr>
                <w:rFonts w:ascii="仿宋_GB2312" w:hAnsi="仿宋_GB2312" w:cs="仿宋_GB2312" w:eastAsia="仿宋_GB2312"/>
              </w:rPr>
              <w:t>（三）付款⽅式</w:t>
            </w:r>
          </w:p>
          <w:p>
            <w:pPr>
              <w:pStyle w:val="null3"/>
            </w:pPr>
            <w:r>
              <w:rPr>
                <w:rFonts w:ascii="仿宋_GB2312" w:hAnsi="仿宋_GB2312" w:cs="仿宋_GB2312" w:eastAsia="仿宋_GB2312"/>
              </w:rPr>
              <w:t>1.工程预付款：合同签订生效、项目正式开工，且成交供应商提交合规开工资料后，采购人向成交供应商支付合同总价40%的工程预付款。</w:t>
            </w:r>
          </w:p>
          <w:p>
            <w:pPr>
              <w:pStyle w:val="null3"/>
            </w:pPr>
            <w:r>
              <w:rPr>
                <w:rFonts w:ascii="仿宋_GB2312" w:hAnsi="仿宋_GB2312" w:cs="仿宋_GB2312" w:eastAsia="仿宋_GB2312"/>
              </w:rPr>
              <w:t>2.竣工结算款：本项目全部工程施工完成、调试合格、竣工验收通过、出具正式验收证书，完成工程结算审计审定且双方无异议后，采购人支付至审定结算总价的100%（扣除已支付的工程预付款）。</w:t>
            </w:r>
          </w:p>
          <w:p>
            <w:pPr>
              <w:pStyle w:val="null3"/>
            </w:pPr>
            <w:r>
              <w:rPr>
                <w:rFonts w:ascii="仿宋_GB2312" w:hAnsi="仿宋_GB2312" w:cs="仿宋_GB2312" w:eastAsia="仿宋_GB2312"/>
              </w:rPr>
              <w:t>3.付款前提：成交供应商须按国家及税务规范要求，提前提供合法、有效、足额的增值税发票及付款资料，否则采购人有权顺延付款，不承担违约责任；所有付款进度、比例、前置条件最终以双方签订的正式施工合同约定为准。</w:t>
            </w:r>
          </w:p>
          <w:p>
            <w:pPr>
              <w:pStyle w:val="null3"/>
            </w:pPr>
            <w:r>
              <w:rPr>
                <w:rFonts w:ascii="仿宋_GB2312" w:hAnsi="仿宋_GB2312" w:cs="仿宋_GB2312" w:eastAsia="仿宋_GB2312"/>
              </w:rPr>
              <w:t>（四）⼯程量清单</w:t>
            </w:r>
            <w:r>
              <w:br/>
            </w:r>
            <w:r>
              <w:rPr>
                <w:rFonts w:ascii="仿宋_GB2312" w:hAnsi="仿宋_GB2312" w:cs="仿宋_GB2312" w:eastAsia="仿宋_GB2312"/>
              </w:rPr>
              <w:t xml:space="preserve">  1.⼯程量清单说明</w:t>
            </w:r>
            <w:r>
              <w:br/>
            </w:r>
            <w:r>
              <w:rPr>
                <w:rFonts w:ascii="仿宋_GB2312" w:hAnsi="仿宋_GB2312" w:cs="仿宋_GB2312" w:eastAsia="仿宋_GB2312"/>
              </w:rPr>
              <w:t xml:space="preserve">  1.1本⼯程量清单应与供应商须知、合同条款、⼯程技术规范及图纸等⽂件结合起来查阅与理解。</w:t>
            </w:r>
            <w:r>
              <w:br/>
            </w:r>
            <w:r>
              <w:rPr>
                <w:rFonts w:ascii="仿宋_GB2312" w:hAnsi="仿宋_GB2312" w:cs="仿宋_GB2312" w:eastAsia="仿宋_GB2312"/>
              </w:rPr>
              <w:t xml:space="preserve">  1.2本⼯程量清单为磋商⽂件的组成部分，⼀经成交且签订合同，即成为合同的组成部分。</w:t>
            </w:r>
            <w:r>
              <w:br/>
            </w:r>
            <w:r>
              <w:rPr>
                <w:rFonts w:ascii="仿宋_GB2312" w:hAnsi="仿宋_GB2312" w:cs="仿宋_GB2312" w:eastAsia="仿宋_GB2312"/>
              </w:rPr>
              <w:t xml:space="preserve">  1.3⼯程量清单中各项⾦额均以⼈⺠币（元）结算。</w:t>
            </w:r>
            <w:r>
              <w:br/>
            </w:r>
            <w:r>
              <w:rPr>
                <w:rFonts w:ascii="仿宋_GB2312" w:hAnsi="仿宋_GB2312" w:cs="仿宋_GB2312" w:eastAsia="仿宋_GB2312"/>
              </w:rPr>
              <w:t xml:space="preserve">  1.4供应商不得随意改动分部分项⼯程量清单的编码和⼯程数量，否则按⽆效⽂件处理。</w:t>
            </w:r>
            <w:r>
              <w:br/>
            </w:r>
            <w:r>
              <w:rPr>
                <w:rFonts w:ascii="仿宋_GB2312" w:hAnsi="仿宋_GB2312" w:cs="仿宋_GB2312" w:eastAsia="仿宋_GB2312"/>
              </w:rPr>
              <w:t xml:space="preserve">  2.电⼦标书说明</w:t>
            </w:r>
            <w:r>
              <w:br/>
            </w:r>
            <w:r>
              <w:rPr>
                <w:rFonts w:ascii="仿宋_GB2312" w:hAnsi="仿宋_GB2312" w:cs="仿宋_GB2312" w:eastAsia="仿宋_GB2312"/>
              </w:rPr>
              <w:t xml:space="preserve">  1.2.1供应商按磋商⽂件电⼦版的内容和要求编制响应⽂件电⼦标书；</w:t>
            </w:r>
            <w:r>
              <w:br/>
            </w:r>
            <w:r>
              <w:rPr>
                <w:rFonts w:ascii="仿宋_GB2312" w:hAnsi="仿宋_GB2312" w:cs="仿宋_GB2312" w:eastAsia="仿宋_GB2312"/>
              </w:rPr>
              <w:t xml:space="preserve">  1.2.2响应⽂件电⼦版是响应⽂件的组成部分，供应商应⽆条件使⽤采购⼈所发的电⼦版格式。</w:t>
            </w:r>
            <w:r>
              <w:br/>
            </w:r>
            <w:r>
              <w:rPr>
                <w:rFonts w:ascii="仿宋_GB2312" w:hAnsi="仿宋_GB2312" w:cs="仿宋_GB2312" w:eastAsia="仿宋_GB2312"/>
              </w:rPr>
              <w:t xml:space="preserve">  3.⼯程量清单</w:t>
            </w:r>
            <w:r>
              <w:br/>
            </w:r>
            <w:r>
              <w:rPr>
                <w:rFonts w:ascii="仿宋_GB2312" w:hAnsi="仿宋_GB2312" w:cs="仿宋_GB2312" w:eastAsia="仿宋_GB2312"/>
              </w:rPr>
              <w:t xml:space="preserve">  ⻅附件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格。（二）⼯程质量必须符合国家、省、市现⾏有效的施⼯质量验收规范、规程和标准。（三）⼯程质量等级⽬标：⼀次验收合格率100%。（四）质量保修范围：覆盖本项目全部改造施工内容，包含老旧灌溉渠道拆除、渠系建筑物拆除更换、混凝土渠道新建及防渗处理、渠道接口密封防水、沟槽回填夯实、新旧灌溉系统衔接、渠边场地修整等全部分项工程，以及因施工工艺缺陷、原材料质量不达标、防渗施工不到位、回填压实不足等问题造成的渠体开裂、渗漏、沉降、淤堵、输水不畅等全部病害整改内容。（五）保修期及维保要求：1.本项目保修期严格依据《水利工程质量管理规定》（水利部令第52号）执行，自工程完工验收合格并正式交付运维之日起计算。本项目所有农田灌溉渠道及配套土建工程，法定最低保修期为1年，保修期内所有施工质量问题由成交供应商无偿返修、整改并承担相关损失。 2.渠道地基基础、混凝土主体、渠系主体构筑物等主体结构，实行质量终身责任制，出现永久性质量缺陷的，追责期限不受1年保修期限制。 3.渠道防渗密封、预制构件、渠系附属设施、沟槽回填等全部配套工程，统一按水利部令第52号规定执行1年最低保修期。 4.维保响应要求：保修期内，接到运维维修通知后24小时内响应、48小时内到场处置；出现渠道渗漏、淤堵、灌溉中断等紧急故障，24小时内到场抢修，所有施工质量缺陷问题均免费维修整改。 5.日常运维要求：成交供应商每半年对全段渠道、构筑物开展一次全覆盖巡检、疏通及养护工作，建立完整运维台账及影像资料；保修期满后，优先为本村提供长效有偿维保及应急维修服务。 （六）验收标准：严格按照国家现行农田灌溉、水利渠道构筑物工程施工验收规范、本项目施工设计图纸、审批施工方案、本采购需求及施工合同约定执行，渠道拆除新建、渠系改造、隐蔽基底施工、防渗工程、沟槽回填等所有分部分项工程全部验收合格，第三方灌溉工程专项检测报告合格、竣工资料齐全规范、渠道通水输水功能达标，无渗漏、沉降、淤堵等质量缺陷，完全满足片区农田常态化灌溉、抗旱输水使用要求。 （七）验收方法：1.材料进场验收：本次进场抗渗水泥、砂石、预制渠道构件、防渗防水材料、渠系配套建材等主材，进场时须提供完整合格证、出厂检测报告，报监理单位核验，按水利工程规范抽样送检合格后方可投入使用。 2.隐蔽工程验收：渠道基底夯实、沟槽垫层、渠道防渗基层、渠系建筑物基础、沟槽回填等隐蔽工序，须经监理及采购人代表现场核查压实度、标高、防渗质量、施工工艺，验收签认后方可进行下一道工序施工，严禁隐蔽后补验收资料。 3.渠道通水试验：新建及改造渠道、渠系连通段分段开展通水试验，保水时长、渗水量符合农田灌溉渠道规范标准，渠壁、接口、构筑物衔接处无渗水、无外漏、无积水淤堵，试验记录经监理签字归档。 4.外观及工程量核验：现场实测渠道、渠系构筑物长度、断面尺寸，核对工程量完全达标；渠体浇筑平整、防渗层完好、构筑物稳固、输水坡度合规，全线输水顺畅无倒坡、无滞留。 5.竣工验收：由白水县农业农村局牵头，组织监理、施工、设计单位开展竣工验收，通过现场实体测量、通水检测、构筑物质量核查、全套竣工资料审核等方式，综合评定工程质量等级，出具正式竣工验收鉴定书。 （八）技术履约验收内容：重点核查渠道拆除新建、渠系构筑物改造施工工艺、农田灌溉水利行业标准执行情况，隐蔽基底施工质量、主材防渗质量、渠体浇筑安装质量、安全文明施工、全过程技术服务、灌溉设施保修保障等履约情况，确保全部符合行业规范及合同约定要求。 （九）商务履约验收内容：重点核查渠道拆除新建、渠系构筑物改造施工工艺、农田灌溉水利行业标准执行情况，隐蔽基底施工质量、主材防渗质量、渠体浇筑安装质量、安全文明施工、全过程技术服务、灌溉设施保修保障等履约情况，确保全部符合行业规范及合同约定要求。 （十）履约验收标准：技术履约、商务履约全部达到水利行业规范及合同验收要求，工程质量合格、竣工资料齐全规范、渠道输水灌溉功能达标，各参与验收单位审核通过后，正式签署履约验收报告。 （十一）履约验收其他事项：1.履约验收由建设单位牵头组织，监理、施工等相关各方共同参与，施工单位负责提交完整、合规的验收资料及灌溉设施运维台账。 2.验收过程中发现的渠体渗漏、尺寸偏差、构筑物破损、资料缺失、输水不畅等问题，施工单位须按建设及监理单位要求限期整改、闭环落实，整改复验合格后方可通过最终验收，所有验收资料统一归档留存。</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计价方式与价款结算规则：1.本项目采用工程量清单计价模式，供应商自主填报已标价工程量清单，按各清单项填报综合单价并准确计算合价，清单每一项仅允许填报唯一有效报价，任何选择性报价、多方案报价均不予受理，视为无效响应。2.本项目最终磋商总报价为合同签订基准总价。供应商未填报综合单价、合价的清单子目，一律视为该子目费用已综合包含在本项目其他清单单价及合价内，项目成交后，采购人不予另行增加任何费用。所有磋商报价的单价、合价及总报价均以人民币为计价单位。3.工程价款实行据实结算，结算依据为采购人审定的实际完成工程量；结算单价统一按照供应商最终磋商总报价、首次磋商总报价的下浮比例同步调整核算。（二）磋商保证金缴纳规范：1.缴纳主体要求：磋商保证金必须由供应商本单位对公账户转出缴纳，个人账户、非本供应商账户缴纳的保证金一律无效，直接视为供应商自动放弃磋商资格，响应文件不予受理。2.缴纳时限要求：磋商保证金（含保函）须在响应文件递交截止时间前完成全部提交手续，逾期提交、金额不足、提交形式不符的，直接判定响应无效。3.保函提交细则：采用保函形式缴纳保证金的供应商，须在响应文件递交截止时间前，将合规保函完整上传至政府采购电子化交易平台；同时将清晰、完整、无遮挡的保函PDF扫描件发送至指定邮箱：2518945557@qq.com，邮件命名严格执行格式：项目名称+项目编号。供应商须在响应文件中附保函有效复印件，以备核查。4.保函合规要求：保函须由具备合法投标保函开具资质的金融机构/单位出具，保函条款合法有效、权责清晰。若供应商在磋商及履约阶段发生违约行为，保函开具单位须依法承担相应连带责任。5.否决条款：磋商保证金的缴纳金额、缴纳主体、提交时限、提交形式任意一项不满足本磋商文件要求的，供应商响应直接无效，不进入后续评审环节。（三）合规履约要求：供应商须严格遵守国家及地方现行安全生产、生态环境保护、农民工工资支付、工程建设管理等相关法律法规、规章及政策规定，提前制定完善、可行的安全生产、环境保护、农民工工资足额按时支付专项保障方案，全程落实主体责任，杜绝违规违约情形。（四）合同文本确认要求：供应商参与本次磋商，即表示已完整阅读、充分理解、完全认可本项目磋商文件第八章《拟签订采购合同文本》的全部条款内容，自愿接受合同所有约束，无任何异议，成交后不得以此为由拒绝签订合同、变更合同条款或拒不履约。（五）成交文件递交规范：1.成交供应商签订正式合同前，须按要求提交全套纸质及电子响应文件，具体份数：纸质文件正本壹份、副本贰份，电子版文件叁份（存储于U盘，U盘表面清晰标注供应商单位全称）。2.文件编制要求：所有纸质、电子文件须完整编制目录、标注连续页码，内容、版本、数据须与政府采购电子化交易平台线上提交的响应文件完全一致，不得存在删减、修改、替换内容等情形。3.文件装订要求：纸质文件正本、副本须分别独立胶装装订，采用不可拆卸装订方式，严禁活页装订、订书钉装订，建议采用双面打印，装订牢固、页面整洁、页码清晰，便于归档留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供应商需在项⽬电⼦化交易系统中按要求上传相应资格证明⽂件并进⾏电⼦签章；供应商需在项⽬电⼦化交易系统中按要求填写《响应函》完成承诺并进⾏电⼦签章。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供应商需在项⽬电⼦化交易系统中按要求上传相应资格证明⽂件并进⾏电⼦签章；供应商需在项⽬电⼦化交易系统中按要求填写《响应函》完成承诺并进⾏电⼦签章。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供应商需在项⽬电⼦化交易系统中按要求上传相应资格证明⽂件并进⾏电⼦签章；供应商需在项⽬电⼦化交易系统中按要求填写《响应函》完成承诺并进⾏电⼦签章。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程的施⼯单位全部为符合政策要求的中⼩企业。供应商提供了企业声明函原件，本项⽬采购标的对应的中⼩企业划分标准所属⾏业为建筑业。建筑业的划型标准为：营业收⼊80000万元以下或资产总额80000万元以下的为中⼩微型企业。其中，营业收⼊6000万元及以上，且资产总额5000万元及以上的为中型企业；营业收⼊300万元及以上，且资产总额300万元及以上的为⼩型企业；营业收⼊300万元以下或资产总额300万元以下的为微型企业。特别说明：从业⼈员、营业收⼊、资产总额填报上⼀年度数据，上⼀年度数据是指提供2025年度的数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w:t>
            </w:r>
          </w:p>
        </w:tc>
        <w:tc>
          <w:tcPr>
            <w:tcW w:type="dxa" w:w="3322"/>
          </w:tcPr>
          <w:p>
            <w:pPr>
              <w:pStyle w:val="null3"/>
            </w:pPr>
            <w:r>
              <w:rPr>
                <w:rFonts w:ascii="仿宋_GB2312" w:hAnsi="仿宋_GB2312" w:cs="仿宋_GB2312" w:eastAsia="仿宋_GB2312"/>
              </w:rPr>
              <w:t>供应商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供应商提供有效存续的企业营业执照（含2025年度报告）；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供应商具备水利水电工程施工总承包三级及以上资质；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供应商拟派项目经理具备水利水电工程二级及以上注册建造师资格，提供无在建项目承诺，并提供项目经理在供应商单位近3个月内任意一个月缴纳的养老保险证明；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安全生产考核合格证</w:t>
            </w:r>
          </w:p>
        </w:tc>
        <w:tc>
          <w:tcPr>
            <w:tcW w:type="dxa" w:w="3322"/>
          </w:tcPr>
          <w:p>
            <w:pPr>
              <w:pStyle w:val="null3"/>
            </w:pPr>
            <w:r>
              <w:rPr>
                <w:rFonts w:ascii="仿宋_GB2312" w:hAnsi="仿宋_GB2312" w:cs="仿宋_GB2312" w:eastAsia="仿宋_GB2312"/>
              </w:rPr>
              <w:t>供应商的企业负责人、项目经理和专职安全员必须具有水行政主管部门颁发的安全生产考核合格证；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供应商提供2026年1月1日至响应文件递交截止之日任意一个月的社会保障资金缴存单据或社保机构开具的社会保险参保缴费情况证明。依法不需要缴纳社会保障资金的供应商应提供相关证明文件；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1月1日至响应文件递交截止之日任意一个月的依法缴纳税收的相关凭据（时间以税款所属日期为准，税种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本合同包不接受联合体磋商、不允许分包</w:t>
            </w:r>
          </w:p>
        </w:tc>
        <w:tc>
          <w:tcPr>
            <w:tcW w:type="dxa" w:w="3322"/>
          </w:tcPr>
          <w:p>
            <w:pPr>
              <w:pStyle w:val="null3"/>
            </w:pPr>
            <w:r>
              <w:rPr>
                <w:rFonts w:ascii="仿宋_GB2312" w:hAnsi="仿宋_GB2312" w:cs="仿宋_GB2312" w:eastAsia="仿宋_GB2312"/>
              </w:rPr>
              <w:t>供应商提供《非联合体磋商不分包声明》，视为独立响应、不分包。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在磋商过程中，磋商⼩组认为供应商报价明显低于其他通过符合性审查供应商的报价，有可能影响产品质量或者不能诚信履约的，磋商⼩组应当要求其在合理的时间内通过项⽬电⼦化交易系统进⾏书⾯说明，必要时提交相关证明材料。供应商提交的书⾯说明和相关证明材料，应当加盖供应商公章，在磋商⼩组要求的时间内通过项⽬电⼦化交易系统进⾏提交，否则提交的相关材料⽆效，视为不能证明其响应报价合理性。供应商不能证明其响应报价合理性的，磋商⼩组应当将其响应⽂件作为⽆效处理。具体内容及要求以“第六章磋商办法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供应商名称是否与营业执照、资质证书、安全⽣产许可证⼀致</w:t>
            </w:r>
          </w:p>
        </w:tc>
        <w:tc>
          <w:tcPr>
            <w:tcW w:type="dxa" w:w="1661"/>
          </w:tcPr>
          <w:p>
            <w:pPr>
              <w:pStyle w:val="null3"/>
            </w:pPr>
            <w:r>
              <w:rPr>
                <w:rFonts w:ascii="仿宋_GB2312" w:hAnsi="仿宋_GB2312" w:cs="仿宋_GB2312" w:eastAsia="仿宋_GB2312"/>
              </w:rPr>
              <w:t>已标价工程量清单 磋商保证金.docx 中小企业声明函 技术服务合同条款及其他商务要求应答表 承诺函.docx 资格证明文件.docx 响应文件封面 近年完成类似项目情况表.docx 拟投入本项目人员配置情况表.docx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磋商⽂件签字盖章</w:t>
            </w:r>
          </w:p>
        </w:tc>
        <w:tc>
          <w:tcPr>
            <w:tcW w:type="dxa" w:w="3322"/>
          </w:tcPr>
          <w:p>
            <w:pPr>
              <w:pStyle w:val="null3"/>
            </w:pPr>
            <w:r>
              <w:rPr>
                <w:rFonts w:ascii="仿宋_GB2312" w:hAnsi="仿宋_GB2312" w:cs="仿宋_GB2312" w:eastAsia="仿宋_GB2312"/>
              </w:rPr>
              <w:t>响应⽂件签字盖章满⾜磋商⽂件的要求</w:t>
            </w:r>
          </w:p>
        </w:tc>
        <w:tc>
          <w:tcPr>
            <w:tcW w:type="dxa" w:w="1661"/>
          </w:tcPr>
          <w:p>
            <w:pPr>
              <w:pStyle w:val="null3"/>
            </w:pPr>
            <w:r>
              <w:rPr>
                <w:rFonts w:ascii="仿宋_GB2312" w:hAnsi="仿宋_GB2312" w:cs="仿宋_GB2312" w:eastAsia="仿宋_GB2312"/>
              </w:rPr>
              <w:t>已标价工程量清单 磋商保证金.docx 中小企业声明函 技术服务合同条款及其他商务要求应答表 承诺函.docx 资格证明文件.docx 响应文件封面 近年完成类似项目情况表.docx 拟投入本项目人员配置情况表.docx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已标价工程量清单扉页是否(仅指投标总价扉页)加盖有注册或登记在本单位的造价人员签字并盖执业印章</w:t>
            </w:r>
          </w:p>
        </w:tc>
        <w:tc>
          <w:tcPr>
            <w:tcW w:type="dxa" w:w="3322"/>
          </w:tcPr>
          <w:p>
            <w:pPr>
              <w:pStyle w:val="null3"/>
            </w:pPr>
            <w:r>
              <w:rPr>
                <w:rFonts w:ascii="仿宋_GB2312" w:hAnsi="仿宋_GB2312" w:cs="仿宋_GB2312" w:eastAsia="仿宋_GB2312"/>
              </w:rPr>
              <w:t>已标价工程量清单扉页(仅指投标总价扉页)加盖有注册或登记在本单位的造价人员签字并盖执业印章或工程造价咨询企业(提供双方合作协议)的造价人员签字并盖执业印章；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响应⽂件有效期满⾜磋商⽂件的要求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按磋商文件要求提交了磋商保证金</w:t>
            </w:r>
          </w:p>
        </w:tc>
        <w:tc>
          <w:tcPr>
            <w:tcW w:type="dxa" w:w="1661"/>
          </w:tcPr>
          <w:p>
            <w:pPr>
              <w:pStyle w:val="null3"/>
            </w:pPr>
            <w:r>
              <w:rPr>
                <w:rFonts w:ascii="仿宋_GB2312" w:hAnsi="仿宋_GB2312" w:cs="仿宋_GB2312" w:eastAsia="仿宋_GB2312"/>
              </w:rPr>
              <w:t>响应文件封面 磋商保证金.docx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完全响应第三章“磋商项⽬技术、服务、商务及其他要求”，没有负偏离。</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已标价工程量清单 磋商保证金.docx 中小企业声明函 残疾人福利性单位声明函 报价函 标的清单 技术服务合同条款及其他商务要求应答表 响应函 承诺函.docx 资格证明文件.docx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一、评审内容：供应商2023年1月1日至响应文件递交截止之日具有类似项目已完成的施工业绩（以合同签订时间为准）。 二、评审标准：完整性（业绩证明材料为施工合同）；真实性（证明材料清晰可辨并加盖公章）；符合性（业绩数量及合同签订时间符合要求）。 三、赋分标准：每提供1个符合要求的业绩证明得3分，满分9分。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近年完成类似项目情况表.docx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一、评审内容：项目部人员除项目经理外，配备施工员、质量员、安全员、材料员、资料员各1人，以及在满足基本要求基础上的人员增加情况。 二、评审标准：完整性（基本岗位人员配备齐全）；真实性（人员岗位证书清晰可辨并加盖公章）；符合性（人员数量及岗位配置符合要求）。 三、赋分标准：①基本配置得分：满足基本人员配置要求（5个指定岗位）得10分，每缺少1人扣2分，扣完为止；②人员储备加分：在满足基本要求的基础上，每增加1名持证项目部人员（新增岗位或以上明确的岗位新增人员）加0.5分，最多加1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拟投入机械设备配备</w:t>
            </w:r>
          </w:p>
        </w:tc>
        <w:tc>
          <w:tcPr>
            <w:tcW w:type="dxa" w:w="2492"/>
          </w:tcPr>
          <w:p>
            <w:pPr>
              <w:pStyle w:val="null3"/>
            </w:pPr>
            <w:r>
              <w:rPr>
                <w:rFonts w:ascii="仿宋_GB2312" w:hAnsi="仿宋_GB2312" w:cs="仿宋_GB2312" w:eastAsia="仿宋_GB2312"/>
              </w:rPr>
              <w:t>一、评审内容 供应商根据本项目工程量、施工难度及工期要求，拟投入的机械设备情况，包括： ①主要机械设备型号、数量、性能参数与技术先进性； ②机械设备进场计划与工期节点的匹配度； ③关键设备的备用方案及保障措施。 二、评审标准 合理性、充足性、保障性、与施工进度计划的契合度。 三、赋分标准（满分5分） 1.内容①满分2分：主要机械设备型号、数量、性能完全满足并优于施工需要，技术先进，得2分；基本满足，得1分；存在明显不足或落后，得0分。 2.内容②满分2分：进场计划详尽，与施工进度计划关键节点高度契合，得2分；计划基本合理，得1分；计划模糊或严重脱节，得0分。 3.内容③满分1分：关键设备有明确的备用或租赁渠道，维修保养体系完善，保障措施得力，得1分；无相关描述或措施不可靠，得0分。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1.拟投入机械设备配备.docx</w:t>
            </w:r>
          </w:p>
        </w:tc>
      </w:tr>
      <w:tr>
        <w:tc>
          <w:tcPr>
            <w:tcW w:type="dxa" w:w="831"/>
            <w:vMerge/>
          </w:tcPr>
          <w:p/>
        </w:tc>
        <w:tc>
          <w:tcPr>
            <w:tcW w:type="dxa" w:w="1661"/>
          </w:tcPr>
          <w:p>
            <w:pPr>
              <w:pStyle w:val="null3"/>
            </w:pPr>
            <w:r>
              <w:rPr>
                <w:rFonts w:ascii="仿宋_GB2312" w:hAnsi="仿宋_GB2312" w:cs="仿宋_GB2312" w:eastAsia="仿宋_GB2312"/>
              </w:rPr>
              <w:t>主要工程项目的施工方案、方法与技术措施</w:t>
            </w:r>
          </w:p>
        </w:tc>
        <w:tc>
          <w:tcPr>
            <w:tcW w:type="dxa" w:w="2492"/>
          </w:tcPr>
          <w:p>
            <w:pPr>
              <w:pStyle w:val="null3"/>
            </w:pPr>
            <w:r>
              <w:rPr>
                <w:rFonts w:ascii="仿宋_GB2312" w:hAnsi="仿宋_GB2312" w:cs="仿宋_GB2312" w:eastAsia="仿宋_GB2312"/>
              </w:rPr>
              <w:t>一、评审内容：供应商对项目核心、难点及特殊工序提出的具体施工方案与技术措施，包括：①重点、难点工程的施工方法、工艺及技术保障；②主要分部分项工程的施工流程与交叉作业安排；③采用新技术、新工艺的说明及效益分析。 二、评审标准：方案的针对性、可行性、安全性，以及是否符合相关规范标准。 三、赋分标准： 1.内容①满分4分：方案针对磋商文件及图纸识别的所有重点难点，技术路线正确、先进，措施具体可靠，计算、验算或图示清晰，能有效解决工程难点。每发现以下任意一种缺陷扣0.8分，扣完本项4分为止。 2.内容②满分4分：主要分部分项工程的施工流程清晰完整，工艺顺序符合施工逻辑和规范要求，交叉作业安排合理，有必要的施工进度横道图/网络图。每发现以下任意一种缺陷扣0.8分，扣完本项4分为止。 3.内容③满分4分：积极采用先进、可靠的新技术、新工艺、新材料、新设备，有详细的适用性、可靠性论证，并能明确阐述其对提升工程质量、缩短工期、降低运营成本、增强使用效果或延长使用寿命的具体效益。每发现以下任意一种缺陷扣0.8分，扣完本项4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2.主要工程项目的施工方案、方法与技术措施.docx</w:t>
            </w:r>
          </w:p>
        </w:tc>
      </w:tr>
      <w:tr>
        <w:tc>
          <w:tcPr>
            <w:tcW w:type="dxa" w:w="831"/>
            <w:vMerge/>
          </w:tcPr>
          <w:p/>
        </w:tc>
        <w:tc>
          <w:tcPr>
            <w:tcW w:type="dxa" w:w="1661"/>
          </w:tcPr>
          <w:p>
            <w:pPr>
              <w:pStyle w:val="null3"/>
            </w:pPr>
            <w:r>
              <w:rPr>
                <w:rFonts w:ascii="仿宋_GB2312" w:hAnsi="仿宋_GB2312" w:cs="仿宋_GB2312" w:eastAsia="仿宋_GB2312"/>
              </w:rPr>
              <w:t>工期保证体系及保证措施</w:t>
            </w:r>
          </w:p>
        </w:tc>
        <w:tc>
          <w:tcPr>
            <w:tcW w:type="dxa" w:w="2492"/>
          </w:tcPr>
          <w:p>
            <w:pPr>
              <w:pStyle w:val="null3"/>
            </w:pPr>
            <w:r>
              <w:rPr>
                <w:rFonts w:ascii="仿宋_GB2312" w:hAnsi="仿宋_GB2312" w:cs="仿宋_GB2312" w:eastAsia="仿宋_GB2312"/>
              </w:rPr>
              <w:t>一、评审内容：供应商为确保工期所建立的组织体系、管理方法和具体措施，包括：①施工进度计划（横道图或网络图）的合理性、关键线路的清晰性；②工期保证的组织体系、人员职责及动态管理制度；③应对季节天气、材料供应延迟等导致工期延误的预案及赶工措施。 二、评审标准：科学性、全面性、动态控制能力、抗风险能力。 三、赋分标准： 1.内容①满分2分：计划编制科学，采用网络图或带关键线路的横道图，工序分解合理，关键线路明确，并预留合理的调试及应急时间。每发现以下任意一种缺陷扣0.4分，扣完本项2分为止。 2.内容②满分2分：体系健全，成立以项目经理为核心的工期保障小组，职责分工明确到人，有明确的进度检查（日/周报）、分析（偏差分析会）与动态调整制度。每发现以下任意一种缺陷扣0.4分，扣完本项2分为止。 3.内容③满分2分：预案考虑周全，赶工措施具体、可行。每发现以下任意一种缺陷扣0.4分，扣完本项2分为止。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3.工期保证体系及保证措施.docx</w:t>
            </w:r>
          </w:p>
        </w:tc>
      </w:tr>
      <w:tr>
        <w:tc>
          <w:tcPr>
            <w:tcW w:type="dxa" w:w="831"/>
            <w:vMerge/>
          </w:tcPr>
          <w:p/>
        </w:tc>
        <w:tc>
          <w:tcPr>
            <w:tcW w:type="dxa" w:w="1661"/>
          </w:tcPr>
          <w:p>
            <w:pPr>
              <w:pStyle w:val="null3"/>
            </w:pPr>
            <w:r>
              <w:rPr>
                <w:rFonts w:ascii="仿宋_GB2312" w:hAnsi="仿宋_GB2312" w:cs="仿宋_GB2312" w:eastAsia="仿宋_GB2312"/>
              </w:rPr>
              <w:t>质量、安全保证体系及保证措施</w:t>
            </w:r>
          </w:p>
        </w:tc>
        <w:tc>
          <w:tcPr>
            <w:tcW w:type="dxa" w:w="2492"/>
          </w:tcPr>
          <w:p>
            <w:pPr>
              <w:pStyle w:val="null3"/>
            </w:pPr>
            <w:r>
              <w:rPr>
                <w:rFonts w:ascii="仿宋_GB2312" w:hAnsi="仿宋_GB2312" w:cs="仿宋_GB2312" w:eastAsia="仿宋_GB2312"/>
              </w:rPr>
              <w:t>一、评审内容：供应商为保障工程质量和施工安全所建立的体系与措施，包括：①质量/安全管理组织机构、职责分工及保证体系框图；②关键工序的质量控制点、检测方法、验收标准；③危险源辨识、安全专项方案及文明施工措施。 二、评审标准：体系完整性、措施针对性、可操作性、符合法规。 三、赋分标准： 1.内容①满分3分：机构健全，职责清晰，体系运行流程明确，与项目管理体系融合度高。每发现以下任意一种缺陷扣0.6分，扣完本项3分为止。 2.内容②满分3分：控制点设置准确，检测方法先进，标准明确，有确保整体质量目标的创优目标和具体计划。每发现以下任意一种缺陷扣0.6分，扣完本项3分为止。 3.内容③满分3分：危险源辨识全面，专项方案有针对性，安全投入明确，文明施工措施具体。每发现以下任意一种缺陷扣0.6分，扣完本项3分为止。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4.质量、安全保证体系及保证措施.docx</w:t>
            </w:r>
          </w:p>
        </w:tc>
      </w:tr>
      <w:tr>
        <w:tc>
          <w:tcPr>
            <w:tcW w:type="dxa" w:w="831"/>
            <w:vMerge/>
          </w:tcPr>
          <w:p/>
        </w:tc>
        <w:tc>
          <w:tcPr>
            <w:tcW w:type="dxa" w:w="1661"/>
          </w:tcPr>
          <w:p>
            <w:pPr>
              <w:pStyle w:val="null3"/>
            </w:pPr>
            <w:r>
              <w:rPr>
                <w:rFonts w:ascii="仿宋_GB2312" w:hAnsi="仿宋_GB2312" w:cs="仿宋_GB2312" w:eastAsia="仿宋_GB2312"/>
              </w:rPr>
              <w:t>环境保护、文明施工保证体系及措施</w:t>
            </w:r>
          </w:p>
        </w:tc>
        <w:tc>
          <w:tcPr>
            <w:tcW w:type="dxa" w:w="2492"/>
          </w:tcPr>
          <w:p>
            <w:pPr>
              <w:pStyle w:val="null3"/>
            </w:pPr>
            <w:r>
              <w:rPr>
                <w:rFonts w:ascii="仿宋_GB2312" w:hAnsi="仿宋_GB2312" w:cs="仿宋_GB2312" w:eastAsia="仿宋_GB2312"/>
              </w:rPr>
              <w:t>一、评审内容：供应商为减少施工对周边环境及居民影响及确保文明施工所采取的措施，包括：①针对施工噪音、废气、固体废弃物等的具体环保措施；②施工场地布置的合理性、规范围挡、标牌标识及卫生管理，材料设备堆放整齐，避免破坏现有设施；③与相关管理部门、周边社区等的协调措施，制定减少对周边环境干扰的施工时段方案。 二、评审标准：合规性、有效性、人性化，尤其强调对公共区域施工的精细化管理。 三、赋分标准： 1.内容①满分2分：措施全面，符合并优于地方环保要求，有量化控制目标，特别针对噪音、扬尘、废弃物等有具体的降噪、降尘、分类处理方案。每发现以下任意一种缺陷扣0.4分，扣完本项2分为止。 2.内容②满分2分：场地布置科学紧凑，最小化占用公共空间，围挡、标牌规范美观，环境整洁卫生，有防止施工对周边路面、绿化、现有设施造成污染的专项措施。每发现以下任意一种缺陷扣0.4分，扣完本项2分为止。 3.内容③满分2分：有详尽的分时段施工组织方案，以及与社区、相关部门的沟通协调预案，体现社会责任和公共服务意识。每发现以下任意一种缺陷扣0.4分，扣完本项2分为止。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5.环境保护、文明施工保证体系及措施.docx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一、评审内容：供应商对项目全过程风险的识别、评估及应对能力，包括：①对技术、管理、环境等方面的潜在风险进行系统识别与评估；②针对各类重大风险的防范措施、事故应急响应措施。 二、评审标准：全面性、预见性、可操作性。 三、赋分标准： 1.内容①满分1分：风险识别全面，分类清晰，评估合理。每发现以下任意一种缺陷扣0.2分，扣完本项1分为止。 2.内容②满分1分：防范措施针对性强，应急预案响应等级清晰，职责明确，资源保障到位。每发现以下任意一种缺陷扣0.2分，扣完本项1分为止。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6.项目风险预测与防范、事故应急预案.docx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终磋商报价得分=(基准价∕最终磋商报价)×40满⾜磋商⽂件要求且最终磋商报价最低的为基准价，其价格分为满分。其他磋商供应商的价格分统⼀按照上述公式计算。（磋商⼩组认为供应商的最终报价明显低于其他通过符合性审查供应商的报价，有可能影响⼯程质量或者不能诚信履约的，应当在磋商现场提供书⾯说明及相关证明材料。供应商不能证明其报价合理性的，为⽆效磋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详见附件：近年完成类似项目情况表.docx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详见附件：1.拟投入机械设备配备.docx</w:t>
      </w:r>
    </w:p>
    <w:p>
      <w:pPr>
        <w:pStyle w:val="null3"/>
        <w:ind w:firstLine="960"/>
      </w:pPr>
      <w:r>
        <w:rPr>
          <w:rFonts w:ascii="仿宋_GB2312" w:hAnsi="仿宋_GB2312" w:cs="仿宋_GB2312" w:eastAsia="仿宋_GB2312"/>
        </w:rPr>
        <w:t>详见附件：2.主要工程项目的施工方案、方法与技术措施.docx</w:t>
      </w:r>
    </w:p>
    <w:p>
      <w:pPr>
        <w:pStyle w:val="null3"/>
        <w:ind w:firstLine="960"/>
      </w:pPr>
      <w:r>
        <w:rPr>
          <w:rFonts w:ascii="仿宋_GB2312" w:hAnsi="仿宋_GB2312" w:cs="仿宋_GB2312" w:eastAsia="仿宋_GB2312"/>
        </w:rPr>
        <w:t>详见附件：3.工期保证体系及保证措施.docx</w:t>
      </w:r>
    </w:p>
    <w:p>
      <w:pPr>
        <w:pStyle w:val="null3"/>
        <w:ind w:firstLine="960"/>
      </w:pPr>
      <w:r>
        <w:rPr>
          <w:rFonts w:ascii="仿宋_GB2312" w:hAnsi="仿宋_GB2312" w:cs="仿宋_GB2312" w:eastAsia="仿宋_GB2312"/>
        </w:rPr>
        <w:t>详见附件：4.质量、安全保证体系及保证措施.docx</w:t>
      </w:r>
    </w:p>
    <w:p>
      <w:pPr>
        <w:pStyle w:val="null3"/>
        <w:ind w:firstLine="960"/>
      </w:pPr>
      <w:r>
        <w:rPr>
          <w:rFonts w:ascii="仿宋_GB2312" w:hAnsi="仿宋_GB2312" w:cs="仿宋_GB2312" w:eastAsia="仿宋_GB2312"/>
        </w:rPr>
        <w:t>详见附件：5.环境保护、文明施工保证体系及措施.docx</w:t>
      </w:r>
    </w:p>
    <w:p>
      <w:pPr>
        <w:pStyle w:val="null3"/>
        <w:ind w:firstLine="960"/>
      </w:pPr>
      <w:r>
        <w:rPr>
          <w:rFonts w:ascii="仿宋_GB2312" w:hAnsi="仿宋_GB2312" w:cs="仿宋_GB2312" w:eastAsia="仿宋_GB2312"/>
        </w:rPr>
        <w:t>详见附件：6.项目风险预测与防范、事故应急预案.docx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详见附件：水利工程施工合同书.docx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