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C413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color w:val="auto"/>
          <w:sz w:val="28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lang w:val="en-US" w:eastAsia="zh-CN"/>
        </w:rPr>
        <w:t>采购需求（具体详见招标文件）</w:t>
      </w:r>
    </w:p>
    <w:p w14:paraId="0A9D806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采购包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：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215"/>
        <w:gridCol w:w="6482"/>
      </w:tblGrid>
      <w:tr w14:paraId="66310211">
        <w:trPr>
          <w:trHeight w:val="448" w:hRule="atLeast"/>
        </w:trPr>
        <w:tc>
          <w:tcPr>
            <w:tcW w:w="825" w:type="dxa"/>
            <w:vAlign w:val="center"/>
          </w:tcPr>
          <w:p w14:paraId="0F0EF03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215" w:type="dxa"/>
          </w:tcPr>
          <w:p w14:paraId="3340246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参数性质</w:t>
            </w:r>
          </w:p>
        </w:tc>
        <w:tc>
          <w:tcPr>
            <w:tcW w:w="6482" w:type="dxa"/>
          </w:tcPr>
          <w:p w14:paraId="5A391D7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技术参数与性能指标</w:t>
            </w:r>
          </w:p>
        </w:tc>
      </w:tr>
      <w:tr w14:paraId="04D5F1A2">
        <w:trPr>
          <w:trHeight w:val="2551" w:hRule="atLeast"/>
        </w:trPr>
        <w:tc>
          <w:tcPr>
            <w:tcW w:w="825" w:type="dxa"/>
            <w:vAlign w:val="center"/>
          </w:tcPr>
          <w:p w14:paraId="23B07E4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215" w:type="dxa"/>
            <w:vAlign w:val="center"/>
          </w:tcPr>
          <w:p w14:paraId="130FB5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482" w:type="dxa"/>
          </w:tcPr>
          <w:p w14:paraId="55168CC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  <w:t>一、采购清单</w:t>
            </w:r>
          </w:p>
          <w:tbl>
            <w:tblPr>
              <w:tblStyle w:val="5"/>
              <w:tblW w:w="4997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7"/>
              <w:gridCol w:w="1895"/>
              <w:gridCol w:w="1057"/>
              <w:gridCol w:w="1277"/>
              <w:gridCol w:w="1596"/>
            </w:tblGrid>
            <w:tr w14:paraId="03BA6AAB">
              <w:trPr>
                <w:trHeight w:val="881" w:hRule="atLeast"/>
              </w:trPr>
              <w:tc>
                <w:tcPr>
                  <w:tcW w:w="321" w:type="pct"/>
                  <w:vAlign w:val="center"/>
                </w:tcPr>
                <w:p w14:paraId="04C930FF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序号</w:t>
                  </w:r>
                </w:p>
              </w:tc>
              <w:tc>
                <w:tcPr>
                  <w:tcW w:w="1520" w:type="pct"/>
                  <w:vAlign w:val="center"/>
                </w:tcPr>
                <w:p w14:paraId="6BD25980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货物名称</w:t>
                  </w:r>
                </w:p>
              </w:tc>
              <w:tc>
                <w:tcPr>
                  <w:tcW w:w="850" w:type="pct"/>
                  <w:vAlign w:val="center"/>
                </w:tcPr>
                <w:p w14:paraId="70ED7F29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单价限价（元）</w:t>
                  </w:r>
                </w:p>
              </w:tc>
              <w:tc>
                <w:tcPr>
                  <w:tcW w:w="1026" w:type="pct"/>
                  <w:vAlign w:val="center"/>
                </w:tcPr>
                <w:p w14:paraId="2E481841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数量</w:t>
                  </w:r>
                </w:p>
                <w:p w14:paraId="5C80F933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台/套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280" w:type="pct"/>
                  <w:vAlign w:val="center"/>
                </w:tcPr>
                <w:p w14:paraId="4EC00C97">
                  <w:pPr>
                    <w:spacing w:line="240" w:lineRule="auto"/>
                    <w:jc w:val="center"/>
                    <w:rPr>
                      <w:rFonts w:hint="eastAsia" w:ascii="宋体" w:hAnsi="宋体" w:cs="宋体" w:eastAsiaTheme="minorEastAsia"/>
                      <w:b/>
                      <w:bCs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备注1</w:t>
                  </w:r>
                </w:p>
              </w:tc>
            </w:tr>
            <w:tr w14:paraId="675AC031">
              <w:trPr>
                <w:trHeight w:val="450" w:hRule="atLeast"/>
              </w:trPr>
              <w:tc>
                <w:tcPr>
                  <w:tcW w:w="321" w:type="pct"/>
                  <w:vAlign w:val="center"/>
                </w:tcPr>
                <w:p w14:paraId="34D9BED3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</w:rPr>
                    <w:t>1</w:t>
                  </w:r>
                </w:p>
              </w:tc>
              <w:tc>
                <w:tcPr>
                  <w:tcW w:w="1520" w:type="pct"/>
                  <w:vAlign w:val="center"/>
                </w:tcPr>
                <w:p w14:paraId="301924BF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咽腔及食管测压设备</w:t>
                  </w:r>
                </w:p>
              </w:tc>
              <w:tc>
                <w:tcPr>
                  <w:tcW w:w="850" w:type="pct"/>
                  <w:vAlign w:val="center"/>
                </w:tcPr>
                <w:p w14:paraId="61D91465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80</w:t>
                  </w:r>
                </w:p>
              </w:tc>
              <w:tc>
                <w:tcPr>
                  <w:tcW w:w="1026" w:type="pct"/>
                  <w:vAlign w:val="center"/>
                </w:tcPr>
                <w:p w14:paraId="31CE3D9A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1280" w:type="pct"/>
                  <w:vAlign w:val="center"/>
                </w:tcPr>
                <w:p w14:paraId="7DD30200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核心产品</w:t>
                  </w:r>
                </w:p>
              </w:tc>
            </w:tr>
          </w:tbl>
          <w:p w14:paraId="38774C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43DDB81">
        <w:tc>
          <w:tcPr>
            <w:tcW w:w="825" w:type="dxa"/>
            <w:vAlign w:val="center"/>
          </w:tcPr>
          <w:p w14:paraId="05A0711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215" w:type="dxa"/>
          </w:tcPr>
          <w:p w14:paraId="6059D5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482" w:type="dxa"/>
          </w:tcPr>
          <w:p w14:paraId="2A7C2F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一、功能需求</w:t>
            </w:r>
          </w:p>
          <w:p w14:paraId="1C3CE4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系统功能要求：本设备可完成咽腔、上食管括约肌（UES）定量压力监测，采集吞咽过程压力指标、运动协调性、食团传导等相关数据。依托食管高分辨率测压技术，实现吞咽功能精准评估，完成上气道阻塞平面定位，为吞咽障碍临床诊断提供客观依据。</w:t>
            </w:r>
          </w:p>
          <w:p w14:paraId="133500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二、技术参数要求</w:t>
            </w:r>
          </w:p>
          <w:p w14:paraId="06281A04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val="en-US" w:eastAsia="zh-CN"/>
              </w:rPr>
              <w:t>一）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  <w:t>消化道动力</w:t>
            </w:r>
          </w:p>
          <w:p w14:paraId="5E4720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1、通道数：固态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测压≥36通道：</w:t>
            </w:r>
          </w:p>
          <w:p w14:paraId="4E059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2、软件系统配置：食管、测压采集及分析软件；</w:t>
            </w:r>
          </w:p>
          <w:p w14:paraId="6CEA8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3、技术性能：</w:t>
            </w:r>
          </w:p>
          <w:p w14:paraId="6B86B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▲3.1 测量范围：-100mmHg～+600mmHg；</w:t>
            </w:r>
          </w:p>
          <w:p w14:paraId="0E951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3.2压力分辨率：0.04mmHg；</w:t>
            </w:r>
          </w:p>
          <w:p w14:paraId="45870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▲3.3 精确度： 在-100mmHg～+100mmHg 范围内≤±1.6mmHg；在+100mmHg～+600mmHg 范围内≤±1.6%；</w:t>
            </w:r>
          </w:p>
          <w:p w14:paraId="4337B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3.4压力控制：采用智能恒压技术，提供精准水灌注压力源；</w:t>
            </w:r>
          </w:p>
          <w:p w14:paraId="18C23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3.5导管响应率：测压导管每一通道压力响应率≥300mmHg/s；</w:t>
            </w:r>
          </w:p>
          <w:p w14:paraId="7AB9AE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3.6 水路阀门控制：计算机自动控制，能独立控制每个阀门；</w:t>
            </w:r>
          </w:p>
          <w:p w14:paraId="322982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3.7毛细管防堵功能：计算机自动压力冲洗毛细管，无需人工干预；</w:t>
            </w:r>
          </w:p>
          <w:p w14:paraId="17E97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3.8 一键式高压并行出水；</w:t>
            </w:r>
          </w:p>
          <w:p w14:paraId="6F65B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3.9 清洗和消毒：相关部件（水箱、毛细管、测压导管）可耐受通用消毒剂，需配备专用导管消毒装置；</w:t>
            </w:r>
          </w:p>
          <w:p w14:paraId="59377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▲3.10设备支持固态高分辨测压，主机硬件及软件具备拓展接口，可后期选配液态灌注测压模块；</w:t>
            </w:r>
          </w:p>
          <w:p w14:paraId="5893C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4、软件性能及参数：</w:t>
            </w:r>
          </w:p>
          <w:p w14:paraId="1ADDAC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4. 1图像显示：≥ 3 种显示方法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：包含二维波形曲线图，三维 Clouse 等高图，模拟动画图等；</w:t>
            </w:r>
          </w:p>
          <w:p w14:paraId="2B2D7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4.2 事件分析：自动分析和人工干预；</w:t>
            </w:r>
          </w:p>
          <w:p w14:paraId="7C551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4.3高分辨测压和专家系统分析软件性能及参数</w:t>
            </w:r>
          </w:p>
          <w:p w14:paraId="599FA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4.4.1 食管测压检查参数：可记录食管静息压力 、吞咽过程实时压力 、上食管括约肌（UES）与下食管括约肌（LES）松弛压、 食管推进波速度、下食管括约肌，可分析 EGJ 形态、PB、CFV、DCI 等参数；</w:t>
            </w:r>
          </w:p>
          <w:p w14:paraId="52A3BB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4.4.2咽部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noBreakHyphen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UES 动力学分析：支持吞咽分析次数统计、蠕动速率、峰值压力（UES 中心上方 8cm、UES 中心上方 5cm 位置），同时可解析上行、上行时间、收缩时间、恢复时间等动力学指标。</w:t>
            </w:r>
          </w:p>
          <w:p w14:paraId="41B9D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4.4.3 一键式自动分析检查数据；</w:t>
            </w:r>
          </w:p>
          <w:p w14:paraId="60DFC6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4.4.4具有自动诊断系统</w:t>
            </w:r>
            <w:r>
              <w:rPr>
                <w:rFonts w:hint="eastAsia" w:asciiTheme="minorEastAsia" w:hAnsi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。</w:t>
            </w:r>
          </w:p>
          <w:p w14:paraId="0F4C28EE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val="en-US" w:eastAsia="zh-CN"/>
              </w:rPr>
              <w:t>二）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sz w:val="24"/>
                <w:szCs w:val="24"/>
                <w:lang w:eastAsia="zh-CN"/>
              </w:rPr>
              <w:t>酸碱度检测仪主要技术要求</w:t>
            </w:r>
          </w:p>
          <w:p w14:paraId="2C451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Theme="minorEastAsia" w:hAnsi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同时具有阻抗和PH值监测功能并且阻抗和PH监测必须在同一根导管上完成；阻抗支持最大通道数：≥6个 ；</w:t>
            </w:r>
          </w:p>
          <w:p w14:paraId="2DD56B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2. 温度最大允许误差：±2℃；</w:t>
            </w:r>
          </w:p>
          <w:p w14:paraId="4B451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3.pH传感器数量：1通道或2通道</w:t>
            </w:r>
          </w:p>
          <w:p w14:paraId="3CC24E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4.电极导管直径：2.1±0.2mm；</w:t>
            </w:r>
          </w:p>
          <w:p w14:paraId="2D71B2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5.导管pH测量范围：1.0 ~ 9.0；</w:t>
            </w:r>
          </w:p>
          <w:p w14:paraId="1271C3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6.导管pH测量精确度：≤0.5</w:t>
            </w:r>
          </w:p>
          <w:p w14:paraId="39E63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7.导管有效长度L：1270mm≤L≤1550mm；</w:t>
            </w:r>
          </w:p>
          <w:p w14:paraId="41DB6B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▲ 8.记录仪阻抗测量范围：50Ω至10,000Ω；</w:t>
            </w:r>
          </w:p>
          <w:p w14:paraId="769EF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9.记录仪阻抗测量精确度：测量范围50Ω至99Ω精确度为±10Ω</w:t>
            </w:r>
            <w:r>
              <w:rPr>
                <w:rFonts w:hint="eastAsia" w:asciiTheme="minorEastAsia" w:hAnsi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测量范围100Ω至10,000Ω精确度为5%；</w:t>
            </w:r>
          </w:p>
          <w:p w14:paraId="75416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 xml:space="preserve">  10.蓝牙适配器</w:t>
            </w:r>
          </w:p>
          <w:p w14:paraId="0E6F7D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有效工作距离 2 米内，维持与记录仪稳定蓝牙连接；软件与记录仪采用 BLE4.2 协议完成数据交互。</w:t>
            </w:r>
          </w:p>
          <w:p w14:paraId="72804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（三）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全自动内镜清洗消毒机主要技术要求</w:t>
            </w:r>
          </w:p>
          <w:p w14:paraId="05B162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1.消耗水量：每条内镜的循环水耗量≤50L</w:t>
            </w:r>
          </w:p>
          <w:p w14:paraId="2D21A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2.消毒剂储存箱容量≥15L，独立的消毒液泵</w:t>
            </w:r>
          </w:p>
          <w:p w14:paraId="679F8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3.酶液储存箱容量≥2.5L，装有可调节液位浮球，可根据使用量添加耗材</w:t>
            </w:r>
          </w:p>
          <w:p w14:paraId="5DB883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4.酒精储存箱容量≥2.5L，装有可调节液位浮球，可根据使用量添加耗材</w:t>
            </w:r>
          </w:p>
          <w:p w14:paraId="0FC6E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5.设有底部和顶部两级喷淋装置，消除槽内清洗死角</w:t>
            </w:r>
          </w:p>
          <w:p w14:paraId="550CD7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6.带有空气开关，防止漏电和短路发生。</w:t>
            </w:r>
          </w:p>
          <w:p w14:paraId="2DEF5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7.外形尺寸≥（mm）680(L)×740(W)×850(H)</w:t>
            </w:r>
          </w:p>
          <w:p w14:paraId="40FC73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8.内腔尺寸≥（mm）465(L)×390(W)×140(H)</w:t>
            </w:r>
          </w:p>
          <w:p w14:paraId="1FF441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9.标准模式可在15min内自动完成软式内镜清洗（酶洗）、漂洗、消毒、漂洗、酒精、空气吹干等程序，符合卫生部相关规范的要求；</w:t>
            </w:r>
          </w:p>
          <w:p w14:paraId="43FDA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10.使用一次性消毒液（5min 高水平消毒），高水平消毒一条内镜总用时≤20min，使用一次性过氧乙酸（15min灭菌），灭菌一条内镜总用时≤30min。</w:t>
            </w:r>
          </w:p>
          <w:p w14:paraId="4E5BED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11.自动对消毒液进行添加和排放，全程无需人手接触</w:t>
            </w:r>
          </w:p>
          <w:p w14:paraId="15595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12.消毒液箱、酶液桶、酒精桶，均有低液位自动检测装置，低液位时设备停止运行且报警提醒。</w:t>
            </w:r>
          </w:p>
          <w:p w14:paraId="35036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13.具备自身消毒程序，可对内镜清洗、消毒、漂洗阶段所使用的水或溶液接触的设备的所有腔体、管道和清洗槽进行清洗消毒。</w:t>
            </w:r>
          </w:p>
          <w:p w14:paraId="78896C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pacing w:val="0"/>
                <w:kern w:val="2"/>
                <w:sz w:val="24"/>
                <w:szCs w:val="24"/>
                <w:lang w:val="en-US" w:eastAsia="zh-CN" w:bidi="ar-SA"/>
              </w:rPr>
              <w:t>配置清单</w:t>
            </w:r>
          </w:p>
          <w:p w14:paraId="2D58F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消化道动力学检查系统1套</w:t>
            </w:r>
          </w:p>
          <w:p w14:paraId="5A13A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消化道动力学数据采集、分析软件1套</w:t>
            </w:r>
          </w:p>
          <w:p w14:paraId="64FC6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固态测压导管5根</w:t>
            </w:r>
          </w:p>
          <w:p w14:paraId="43568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酸碱度分析软件1套</w:t>
            </w:r>
          </w:p>
          <w:p w14:paraId="2D3B6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0"/>
                <w:kern w:val="0"/>
                <w:sz w:val="24"/>
                <w:szCs w:val="24"/>
                <w:lang w:val="en-US" w:eastAsia="zh-CN"/>
              </w:rPr>
              <w:t>全自动内镜清洗消毒机1套</w:t>
            </w:r>
          </w:p>
          <w:p w14:paraId="37514F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59C817A0">
            <w:pPr>
              <w:numPr>
                <w:ilvl w:val="0"/>
                <w:numId w:val="0"/>
              </w:numPr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  <w:p w14:paraId="0D39F9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</w:tbl>
    <w:p w14:paraId="21940C5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0C411FC">
      <w:pPr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</w:p>
    <w:p w14:paraId="6FC92CB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采购包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：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216"/>
        <w:gridCol w:w="6512"/>
      </w:tblGrid>
      <w:tr w14:paraId="02D2869E">
        <w:trPr>
          <w:trHeight w:val="448" w:hRule="atLeast"/>
        </w:trPr>
        <w:tc>
          <w:tcPr>
            <w:tcW w:w="794" w:type="dxa"/>
            <w:vAlign w:val="center"/>
          </w:tcPr>
          <w:p w14:paraId="7D89C6B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216" w:type="dxa"/>
          </w:tcPr>
          <w:p w14:paraId="00CBB56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参数性质</w:t>
            </w:r>
          </w:p>
        </w:tc>
        <w:tc>
          <w:tcPr>
            <w:tcW w:w="6512" w:type="dxa"/>
          </w:tcPr>
          <w:p w14:paraId="08731CD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技术参数与性能指标</w:t>
            </w:r>
          </w:p>
        </w:tc>
      </w:tr>
      <w:tr w14:paraId="67E3E09E">
        <w:trPr>
          <w:trHeight w:val="4484" w:hRule="atLeast"/>
        </w:trPr>
        <w:tc>
          <w:tcPr>
            <w:tcW w:w="794" w:type="dxa"/>
            <w:vAlign w:val="center"/>
          </w:tcPr>
          <w:p w14:paraId="6858D2B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216" w:type="dxa"/>
            <w:vAlign w:val="center"/>
          </w:tcPr>
          <w:p w14:paraId="6A6E69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512" w:type="dxa"/>
          </w:tcPr>
          <w:p w14:paraId="1497B52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  <w:t>一、采购清单</w:t>
            </w:r>
          </w:p>
          <w:tbl>
            <w:tblPr>
              <w:tblStyle w:val="5"/>
              <w:tblW w:w="4999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1"/>
              <w:gridCol w:w="2378"/>
              <w:gridCol w:w="1133"/>
              <w:gridCol w:w="1090"/>
              <w:gridCol w:w="1183"/>
            </w:tblGrid>
            <w:tr w14:paraId="14BABD09">
              <w:trPr>
                <w:trHeight w:val="881" w:hRule="atLeast"/>
              </w:trPr>
              <w:tc>
                <w:tcPr>
                  <w:tcW w:w="398" w:type="pct"/>
                  <w:vAlign w:val="center"/>
                </w:tcPr>
                <w:p w14:paraId="53D23D3E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序号</w:t>
                  </w:r>
                </w:p>
              </w:tc>
              <w:tc>
                <w:tcPr>
                  <w:tcW w:w="1891" w:type="pct"/>
                  <w:vAlign w:val="center"/>
                </w:tcPr>
                <w:p w14:paraId="55D11131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货物名称</w:t>
                  </w:r>
                </w:p>
              </w:tc>
              <w:tc>
                <w:tcPr>
                  <w:tcW w:w="901" w:type="pct"/>
                  <w:vAlign w:val="center"/>
                </w:tcPr>
                <w:p w14:paraId="3F160971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单价限价（元）</w:t>
                  </w:r>
                </w:p>
              </w:tc>
              <w:tc>
                <w:tcPr>
                  <w:tcW w:w="867" w:type="pct"/>
                  <w:vAlign w:val="center"/>
                </w:tcPr>
                <w:p w14:paraId="6874548D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</w:rPr>
                    <w:t>数量</w:t>
                  </w:r>
                </w:p>
                <w:p w14:paraId="3B09BAC9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台/套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941" w:type="pct"/>
                  <w:vAlign w:val="center"/>
                </w:tcPr>
                <w:p w14:paraId="057D0E07">
                  <w:pPr>
                    <w:spacing w:line="240" w:lineRule="auto"/>
                    <w:jc w:val="center"/>
                    <w:rPr>
                      <w:rFonts w:hint="eastAsia" w:ascii="宋体" w:hAnsi="宋体" w:cs="宋体" w:eastAsiaTheme="minorEastAsia"/>
                      <w:b/>
                      <w:bCs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 w14:paraId="663069B4">
              <w:trPr>
                <w:trHeight w:val="450" w:hRule="atLeast"/>
              </w:trPr>
              <w:tc>
                <w:tcPr>
                  <w:tcW w:w="398" w:type="pct"/>
                  <w:vAlign w:val="center"/>
                </w:tcPr>
                <w:p w14:paraId="6208D7C2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</w:rPr>
                    <w:t>1</w:t>
                  </w:r>
                </w:p>
              </w:tc>
              <w:tc>
                <w:tcPr>
                  <w:tcW w:w="1891" w:type="pct"/>
                  <w:shd w:val="clear" w:color="auto" w:fill="auto"/>
                  <w:vAlign w:val="center"/>
                </w:tcPr>
                <w:p w14:paraId="01720E2A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经颅电刺激仪</w:t>
                  </w:r>
                </w:p>
              </w:tc>
              <w:tc>
                <w:tcPr>
                  <w:tcW w:w="901" w:type="pct"/>
                  <w:shd w:val="clear" w:color="auto" w:fill="auto"/>
                  <w:vAlign w:val="center"/>
                </w:tcPr>
                <w:p w14:paraId="7B23E7A1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28</w:t>
                  </w:r>
                </w:p>
              </w:tc>
              <w:tc>
                <w:tcPr>
                  <w:tcW w:w="867" w:type="pct"/>
                  <w:shd w:val="clear" w:color="auto" w:fill="auto"/>
                  <w:vAlign w:val="center"/>
                </w:tcPr>
                <w:p w14:paraId="63E57249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941" w:type="pct"/>
                  <w:vAlign w:val="center"/>
                </w:tcPr>
                <w:p w14:paraId="06DD4FE9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</w:p>
              </w:tc>
            </w:tr>
            <w:tr w14:paraId="1DC702D4">
              <w:trPr>
                <w:trHeight w:val="307" w:hRule="atLeast"/>
              </w:trPr>
              <w:tc>
                <w:tcPr>
                  <w:tcW w:w="398" w:type="pct"/>
                  <w:vAlign w:val="center"/>
                </w:tcPr>
                <w:p w14:paraId="0D87F7E6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  <w:t>2</w:t>
                  </w:r>
                </w:p>
              </w:tc>
              <w:tc>
                <w:tcPr>
                  <w:tcW w:w="1891" w:type="pct"/>
                  <w:shd w:val="clear" w:color="auto" w:fill="auto"/>
                  <w:vAlign w:val="center"/>
                </w:tcPr>
                <w:p w14:paraId="4183E939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认知功能评估与训练仪器（基础版一）</w:t>
                  </w:r>
                </w:p>
              </w:tc>
              <w:tc>
                <w:tcPr>
                  <w:tcW w:w="901" w:type="pct"/>
                  <w:shd w:val="clear" w:color="auto" w:fill="auto"/>
                  <w:vAlign w:val="center"/>
                </w:tcPr>
                <w:p w14:paraId="658CA20C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18</w:t>
                  </w:r>
                </w:p>
              </w:tc>
              <w:tc>
                <w:tcPr>
                  <w:tcW w:w="867" w:type="pct"/>
                  <w:shd w:val="clear" w:color="auto" w:fill="auto"/>
                  <w:vAlign w:val="center"/>
                </w:tcPr>
                <w:p w14:paraId="73B5B7F2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2</w:t>
                  </w:r>
                </w:p>
              </w:tc>
              <w:tc>
                <w:tcPr>
                  <w:tcW w:w="941" w:type="pct"/>
                  <w:vAlign w:val="center"/>
                </w:tcPr>
                <w:p w14:paraId="13FA2274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</w:p>
              </w:tc>
            </w:tr>
            <w:tr w14:paraId="16CB7214">
              <w:trPr>
                <w:trHeight w:val="307" w:hRule="atLeast"/>
              </w:trPr>
              <w:tc>
                <w:tcPr>
                  <w:tcW w:w="398" w:type="pct"/>
                  <w:shd w:val="clear" w:color="auto" w:fill="auto"/>
                  <w:vAlign w:val="center"/>
                </w:tcPr>
                <w:p w14:paraId="744041AF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  <w:t>3</w:t>
                  </w:r>
                </w:p>
              </w:tc>
              <w:tc>
                <w:tcPr>
                  <w:tcW w:w="1891" w:type="pct"/>
                  <w:shd w:val="clear" w:color="auto" w:fill="auto"/>
                  <w:vAlign w:val="center"/>
                </w:tcPr>
                <w:p w14:paraId="4A01A6EF">
                  <w:pPr>
                    <w:spacing w:line="240" w:lineRule="auto"/>
                    <w:jc w:val="center"/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认知功能评估与训练仪器（基础版二）</w:t>
                  </w:r>
                </w:p>
              </w:tc>
              <w:tc>
                <w:tcPr>
                  <w:tcW w:w="901" w:type="pct"/>
                  <w:shd w:val="clear" w:color="auto" w:fill="auto"/>
                  <w:vAlign w:val="center"/>
                </w:tcPr>
                <w:p w14:paraId="286CA7FB">
                  <w:pPr>
                    <w:spacing w:line="240" w:lineRule="auto"/>
                    <w:jc w:val="center"/>
                    <w:rPr>
                      <w:rFonts w:hint="default" w:ascii="宋体" w:hAnsi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  <w:t>18</w:t>
                  </w:r>
                </w:p>
              </w:tc>
              <w:tc>
                <w:tcPr>
                  <w:tcW w:w="867" w:type="pct"/>
                  <w:shd w:val="clear" w:color="auto" w:fill="auto"/>
                  <w:vAlign w:val="center"/>
                </w:tcPr>
                <w:p w14:paraId="5CF67F7E">
                  <w:pPr>
                    <w:spacing w:line="240" w:lineRule="auto"/>
                    <w:jc w:val="center"/>
                    <w:rPr>
                      <w:rFonts w:hint="default" w:ascii="宋体" w:hAnsi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941" w:type="pct"/>
                  <w:vAlign w:val="center"/>
                </w:tcPr>
                <w:p w14:paraId="7F41FABE">
                  <w:pPr>
                    <w:spacing w:line="240" w:lineRule="auto"/>
                    <w:jc w:val="center"/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</w:pPr>
                </w:p>
              </w:tc>
            </w:tr>
            <w:tr w14:paraId="536D71BB">
              <w:trPr>
                <w:trHeight w:val="75" w:hRule="atLeast"/>
              </w:trPr>
              <w:tc>
                <w:tcPr>
                  <w:tcW w:w="398" w:type="pct"/>
                  <w:shd w:val="clear" w:color="auto" w:fill="auto"/>
                  <w:vAlign w:val="center"/>
                </w:tcPr>
                <w:p w14:paraId="2527CEE1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Cs w:val="21"/>
                      <w:lang w:val="en-US" w:eastAsia="zh-CN"/>
                    </w:rPr>
                    <w:t>4</w:t>
                  </w:r>
                </w:p>
              </w:tc>
              <w:tc>
                <w:tcPr>
                  <w:tcW w:w="1891" w:type="pct"/>
                  <w:shd w:val="clear" w:color="auto" w:fill="auto"/>
                  <w:vAlign w:val="center"/>
                </w:tcPr>
                <w:p w14:paraId="6DCEA56B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认知功能评估与训练仪器（标准版）</w:t>
                  </w:r>
                </w:p>
              </w:tc>
              <w:tc>
                <w:tcPr>
                  <w:tcW w:w="901" w:type="pct"/>
                  <w:shd w:val="clear" w:color="auto" w:fill="auto"/>
                  <w:vAlign w:val="center"/>
                </w:tcPr>
                <w:p w14:paraId="2890DD8D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30</w:t>
                  </w:r>
                </w:p>
              </w:tc>
              <w:tc>
                <w:tcPr>
                  <w:tcW w:w="867" w:type="pct"/>
                  <w:shd w:val="clear" w:color="auto" w:fill="auto"/>
                  <w:vAlign w:val="center"/>
                </w:tcPr>
                <w:p w14:paraId="47C2E04C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941" w:type="pct"/>
                  <w:vAlign w:val="center"/>
                </w:tcPr>
                <w:p w14:paraId="463CC516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核心产品</w:t>
                  </w:r>
                </w:p>
              </w:tc>
            </w:tr>
            <w:tr w14:paraId="68F92FC6">
              <w:trPr>
                <w:trHeight w:val="131" w:hRule="atLeast"/>
              </w:trPr>
              <w:tc>
                <w:tcPr>
                  <w:tcW w:w="398" w:type="pct"/>
                  <w:vAlign w:val="center"/>
                </w:tcPr>
                <w:p w14:paraId="33591955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5</w:t>
                  </w:r>
                </w:p>
              </w:tc>
              <w:tc>
                <w:tcPr>
                  <w:tcW w:w="1891" w:type="pct"/>
                  <w:shd w:val="clear" w:color="auto" w:fill="auto"/>
                  <w:vAlign w:val="center"/>
                </w:tcPr>
                <w:p w14:paraId="61504822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迷走神经电刺激</w:t>
                  </w:r>
                </w:p>
              </w:tc>
              <w:tc>
                <w:tcPr>
                  <w:tcW w:w="901" w:type="pct"/>
                  <w:shd w:val="clear" w:color="auto" w:fill="auto"/>
                  <w:vAlign w:val="center"/>
                </w:tcPr>
                <w:p w14:paraId="271B8E6A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30</w:t>
                  </w:r>
                </w:p>
              </w:tc>
              <w:tc>
                <w:tcPr>
                  <w:tcW w:w="867" w:type="pct"/>
                  <w:shd w:val="clear" w:color="auto" w:fill="auto"/>
                  <w:vAlign w:val="center"/>
                </w:tcPr>
                <w:p w14:paraId="192CBF17">
                  <w:pPr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941" w:type="pct"/>
                  <w:vAlign w:val="center"/>
                </w:tcPr>
                <w:p w14:paraId="612F674B">
                  <w:pPr>
                    <w:spacing w:line="240" w:lineRule="auto"/>
                    <w:jc w:val="center"/>
                    <w:rPr>
                      <w:rFonts w:hint="default" w:ascii="宋体" w:hAnsi="宋体" w:eastAsia="宋体" w:cs="宋体"/>
                      <w:color w:val="auto"/>
                      <w:szCs w:val="21"/>
                      <w:lang w:val="en-US" w:eastAsia="zh-CN"/>
                    </w:rPr>
                  </w:pPr>
                </w:p>
              </w:tc>
            </w:tr>
          </w:tbl>
          <w:p w14:paraId="2598EE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22CFD6C7">
        <w:tc>
          <w:tcPr>
            <w:tcW w:w="794" w:type="dxa"/>
            <w:vAlign w:val="center"/>
          </w:tcPr>
          <w:p w14:paraId="3587601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216" w:type="dxa"/>
          </w:tcPr>
          <w:p w14:paraId="54C2BE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512" w:type="dxa"/>
          </w:tcPr>
          <w:p w14:paraId="1A050BC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4"/>
                <w:szCs w:val="24"/>
                <w:lang w:val="en-US" w:eastAsia="zh-CN" w:bidi="ar-SA"/>
              </w:rPr>
              <w:t>一、经颅电刺激仪</w:t>
            </w:r>
          </w:p>
          <w:p w14:paraId="38D945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（一）技术要求</w:t>
            </w:r>
          </w:p>
          <w:p w14:paraId="4966AD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▲1. 输出方式：有线输出组合，单台设备具有两个高精度输出通道，两个常规输出通道，可同时治疗2名患者。</w:t>
            </w:r>
          </w:p>
          <w:p w14:paraId="62A816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阻抗检测：具备阻抗检测功能，显示实时阻抗。</w:t>
            </w:r>
          </w:p>
          <w:p w14:paraId="67A5F2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 参数设定：系统内置多种不同病症相关治疗方案，也可在系统内根据临床经验新建治疗方案。</w:t>
            </w:r>
          </w:p>
          <w:p w14:paraId="0EB90D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▲4. 刺激模式：须包含tDCS经颅直流电刺激模式、tACS经颅交流电刺激模式、tPCS经颅脉冲电刺激模式、CES经颅微电流刺激模式、tRNS经颅随机噪声刺激模式五种刺激模式（提供佐证材料）</w:t>
            </w:r>
          </w:p>
          <w:p w14:paraId="2339AB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5. 电流强度                                        </w:t>
            </w:r>
          </w:p>
          <w:p w14:paraId="262F4F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5.1电流强度范围：至少包括0～2500μA，范围内可调（提供佐证材料）</w:t>
            </w:r>
          </w:p>
          <w:p w14:paraId="4D5E89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5.2 电流控制：刺激过程中可实时调节电流输出强度，通过专用电流调节旋钮，可快速实现电流粗调与微调。</w:t>
            </w:r>
          </w:p>
          <w:p w14:paraId="546C59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5.3 可设置电流淡入、淡出时间，保证患者舒适度。</w:t>
            </w:r>
          </w:p>
          <w:p w14:paraId="650128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6. 输出频率：至少包括0～200Hz，范围内可调。</w:t>
            </w:r>
          </w:p>
          <w:p w14:paraId="7EE43C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7. 刺激时间范围：至少包括0～60min，范围内可调。</w:t>
            </w:r>
          </w:p>
          <w:p w14:paraId="520A9B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▲8. CES经颅微电流刺激模式  </w:t>
            </w:r>
          </w:p>
          <w:p w14:paraId="6A4A39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8.1脉冲宽度：500µs，允差±5%。</w:t>
            </w:r>
          </w:p>
          <w:p w14:paraId="53780D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8.2 脉冲频率：990Hz，允差±5%</w:t>
            </w:r>
          </w:p>
          <w:p w14:paraId="73405F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伪刺激模式：具有伪刺激功能。</w:t>
            </w:r>
          </w:p>
          <w:p w14:paraId="5CBA7B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预刺激模式：治疗前输出一定强度的前适应电流，测试患者的耐受性并帮助提高适应性。</w:t>
            </w:r>
          </w:p>
          <w:p w14:paraId="10E557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 .单双相模式：具有单相/双相波形功能，可实现tODCS经颅振荡直流电刺激。</w:t>
            </w:r>
          </w:p>
          <w:p w14:paraId="40F4BE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10.安全保护功能：治疗过程中可进行治疗“暂停”或“继续”，也可按下专用终止按键，一键终止治疗，终止按键独立设置，防止误操作，不与其他按键混用。</w:t>
            </w:r>
          </w:p>
          <w:p w14:paraId="650528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11.声音提示：治疗过程中阻抗检测异常发出警示音，治疗时间结束或终止治疗播放语音提示。</w:t>
            </w:r>
          </w:p>
          <w:p w14:paraId="0C2421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12.电极：具备标准矩形电极、圆形电极、耳夹电极、高精度环形电极。</w:t>
            </w:r>
          </w:p>
          <w:p w14:paraId="26EAB7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13.可无线连接打印机，支持打印治疗报告。</w:t>
            </w:r>
          </w:p>
          <w:p w14:paraId="53F152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（二）软件技术参数：</w:t>
            </w:r>
          </w:p>
          <w:p w14:paraId="519F94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1.档案管理功能：配套的管理软件具有患者档案管理功能，可以新增、查询、删除患者，能够显示病人姓名、出生日期、性别、病历号、治疗次数、科室、床号等信息。</w:t>
            </w:r>
          </w:p>
          <w:p w14:paraId="1A6036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2.方案管理功能：内置治疗方案，操作者既可使用内置方案进行治疗，亦可自定义新的治疗</w:t>
            </w:r>
          </w:p>
          <w:p w14:paraId="5E0C45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方案。</w:t>
            </w:r>
          </w:p>
          <w:p w14:paraId="0B4337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3.显示功能：可显示每个通道运行状态，显示病人信息、设定电流和实际输出强度、阻抗检测结果、治疗剩余时间等功能。</w:t>
            </w:r>
          </w:p>
          <w:p w14:paraId="4BDF16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4.治疗记录：自动生成并保存治疗记录。</w:t>
            </w:r>
          </w:p>
          <w:p w14:paraId="78C54E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5.报告打印功能：内置报告模板，可一键打印治疗报告，也可自定义编辑报告模板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。</w:t>
            </w:r>
          </w:p>
          <w:p w14:paraId="02971CCF">
            <w:pPr>
              <w:numPr>
                <w:ilvl w:val="0"/>
                <w:numId w:val="0"/>
              </w:numPr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5E463DD0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4"/>
                <w:szCs w:val="24"/>
                <w:lang w:val="en-US" w:eastAsia="zh-CN" w:bidi="ar-SA"/>
              </w:rPr>
              <w:t>二、认知功能评估与训练仪器（基础版一）</w:t>
            </w:r>
          </w:p>
          <w:p w14:paraId="3FECEF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治疗范围</w:t>
            </w:r>
          </w:p>
          <w:p w14:paraId="040B3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针对认知损害进行全面评估与训练，包括各种筛查测验（含定向力测验）以及注意、记忆、计算、思维、知觉、执行专项6大模块</w:t>
            </w:r>
          </w:p>
          <w:p w14:paraId="54DFE0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功能参数</w:t>
            </w:r>
          </w:p>
          <w:p w14:paraId="3B520D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1、认知障碍评定模块：</w:t>
            </w:r>
          </w:p>
          <w:p w14:paraId="4ABB7D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（1）提供30个神经心理学、认知康复相关量表，以及常规认知功能测验内容，包括注意、记忆、数算、思维、知觉等多维度能力的测试与评定</w:t>
            </w:r>
          </w:p>
          <w:p w14:paraId="2178C8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（2）包括：MMSE、MOCA、EC301、星型划销、划消测验、瞬时记忆、反应时检查、</w:t>
            </w:r>
          </w:p>
          <w:p w14:paraId="37111C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威斯康星测验等多种评定筛查工具。</w:t>
            </w:r>
          </w:p>
          <w:p w14:paraId="7135DE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（3）评定结果能出具可编辑的评估报告，报告内容包括患者的基本信息、临床诊断、目前存在主要问题、评定时间等相关信息</w:t>
            </w:r>
          </w:p>
          <w:p w14:paraId="6FA2C3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2、认知障碍训练模块</w:t>
            </w:r>
          </w:p>
          <w:p w14:paraId="728029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（1）训练系统与评定系统的检查分类相对应，训练包括注意障碍、记忆障碍、失算症、思维障碍以及知觉障碍等5大康复训练模块。</w:t>
            </w:r>
          </w:p>
          <w:p w14:paraId="16E5F2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（2）认知功能训练的细分亚型≥5个，且每个亚型的子亚型分类≥3个。</w:t>
            </w:r>
          </w:p>
          <w:p w14:paraId="310A25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（3）执行功能训练子亚型≥4个。</w:t>
            </w:r>
          </w:p>
          <w:p w14:paraId="6BD8C9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（4）如注意训练子亚型≥5个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  <w:p w14:paraId="129D01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（5）记忆训练子亚型≥5个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  <w:p w14:paraId="29237B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（6）训练应具有难度梯度自适应调整算法，医生也可手动调整难易程度;</w:t>
            </w:r>
          </w:p>
          <w:p w14:paraId="44020E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（7）AR增强现实训练：提供4套AR卡片，包括常见的动物、植物、交通工具等ADL生活物品。</w:t>
            </w:r>
          </w:p>
          <w:p w14:paraId="1DC3DD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3、后台病案管理功能</w:t>
            </w:r>
          </w:p>
          <w:p w14:paraId="0316C9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（1）专业数据库存储功能，能存储上百万条以上的病历信息及治疗数据；可录入并查询病人一般情况、病史、认知评定结果与报告、康复治疗计划及处方设定、信息迁移等</w:t>
            </w:r>
          </w:p>
          <w:p w14:paraId="5B6189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（2）支持完整的统计报表数据分析模块：从训练状态、训练成绩、疑难点分析、训练进步情况等方面分析个体的训练情况</w:t>
            </w:r>
          </w:p>
          <w:p w14:paraId="6FED92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（3）系统支持主界面选择用户头像进入训练界面，并可对患者的自然信息、康复目标、病历信息等相关性信息进行更新、重置</w:t>
            </w:r>
          </w:p>
          <w:p w14:paraId="1D60E4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（4）可查看不同阶段的训练成绩及明细，包括训练用时、正确数量、错误数量等，以评估训练效果，为后续康复计划调整提供数据支持</w:t>
            </w:r>
          </w:p>
          <w:p w14:paraId="4BEB8E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4、系统管理功能</w:t>
            </w:r>
          </w:p>
          <w:p w14:paraId="0ED652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（1）排班管理：可对科室的训练资源进行排班管理，包括安排、查看病人训练排期，对设备的管理等，以保证最大程度的利用.</w:t>
            </w:r>
          </w:p>
          <w:p w14:paraId="7FD735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（2）系统操作日志有清晰的记录，包括操作内容、时间、用户等。</w:t>
            </w:r>
          </w:p>
          <w:p w14:paraId="6CE2BB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5、系统应配置AR高清摄像头，分辨率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1920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1080</w:t>
            </w:r>
          </w:p>
          <w:p w14:paraId="2E42A2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提供产品GCP临床实验报告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；</w:t>
            </w:r>
          </w:p>
          <w:p w14:paraId="4032D1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7、需配备人体工程学可移动外壳，安装静音万向轮。外壳底部设专用凹槽，适配轮椅或座椅嵌入，凹槽边缘圆角处理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桌面设计握力支撑点</w:t>
            </w:r>
          </w:p>
          <w:p w14:paraId="275616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8、设备使用年限≥10年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（提供佐证材料）</w:t>
            </w:r>
          </w:p>
          <w:p w14:paraId="73AD26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9、终端</w:t>
            </w:r>
          </w:p>
          <w:p w14:paraId="525E63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CPU≥4核心 8线程，主频≥3.0GHz，内存≥4GB 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，硬盘≥64GB</w:t>
            </w:r>
          </w:p>
          <w:p w14:paraId="46BFF6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（三）配置清单</w:t>
            </w:r>
          </w:p>
          <w:tbl>
            <w:tblPr>
              <w:tblStyle w:val="5"/>
              <w:tblpPr w:leftFromText="180" w:rightFromText="180" w:vertAnchor="text" w:horzAnchor="margin" w:tblpY="38"/>
              <w:tblOverlap w:val="never"/>
              <w:tblW w:w="4998" w:type="pct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4"/>
              <w:gridCol w:w="4482"/>
              <w:gridCol w:w="479"/>
              <w:gridCol w:w="578"/>
            </w:tblGrid>
            <w:tr w14:paraId="386BF9F8">
              <w:trPr>
                <w:trHeight w:val="398" w:hRule="atLeast"/>
              </w:trPr>
              <w:tc>
                <w:tcPr>
                  <w:tcW w:w="592" w:type="pct"/>
                  <w:noWrap w:val="0"/>
                  <w:vAlign w:val="center"/>
                </w:tcPr>
                <w:p w14:paraId="043FC4A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类别</w:t>
                  </w: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0D4F17E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产品名称及规格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650F25A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单位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27326BA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数量</w:t>
                  </w:r>
                </w:p>
              </w:tc>
            </w:tr>
            <w:tr w14:paraId="58B87C60">
              <w:trPr>
                <w:trHeight w:val="90" w:hRule="atLeast"/>
              </w:trPr>
              <w:tc>
                <w:tcPr>
                  <w:tcW w:w="592" w:type="pct"/>
                  <w:noWrap w:val="0"/>
                  <w:vAlign w:val="center"/>
                </w:tcPr>
                <w:p w14:paraId="246B43A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软件</w:t>
                  </w: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13BBF16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 xml:space="preserve">认知康复训练与评估软件  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7FA342E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6884B2E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14:paraId="7F25D5ED">
              <w:trPr>
                <w:trHeight w:val="316" w:hRule="atLeast"/>
              </w:trPr>
              <w:tc>
                <w:tcPr>
                  <w:tcW w:w="592" w:type="pct"/>
                  <w:vMerge w:val="restart"/>
                  <w:noWrap w:val="0"/>
                  <w:vAlign w:val="center"/>
                </w:tcPr>
                <w:p w14:paraId="7D86C27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辅助</w:t>
                  </w:r>
                </w:p>
                <w:p w14:paraId="3E236F4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硬件</w:t>
                  </w:r>
                </w:p>
                <w:p w14:paraId="040B02E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 xml:space="preserve"> </w:t>
                  </w: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109C1E8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触控显示器：≥30寸电容触控屏；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649CC17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个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6278B65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14:paraId="3F9DC58F">
              <w:trPr>
                <w:trHeight w:val="431" w:hRule="atLeast"/>
              </w:trPr>
              <w:tc>
                <w:tcPr>
                  <w:tcW w:w="592" w:type="pct"/>
                  <w:vMerge w:val="continue"/>
                  <w:noWrap w:val="0"/>
                  <w:vAlign w:val="center"/>
                </w:tcPr>
                <w:p w14:paraId="5716D33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5751EBD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终端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438DB26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台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677E31A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14:paraId="57A5ADA6">
              <w:trPr>
                <w:trHeight w:val="90" w:hRule="atLeast"/>
              </w:trPr>
              <w:tc>
                <w:tcPr>
                  <w:tcW w:w="592" w:type="pct"/>
                  <w:vMerge w:val="continue"/>
                  <w:noWrap w:val="0"/>
                  <w:vAlign w:val="center"/>
                </w:tcPr>
                <w:p w14:paraId="3D6885F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71B0EC9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AR高清摄像头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6589770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个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024B04C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14:paraId="4D4A3F31">
              <w:trPr>
                <w:trHeight w:val="326" w:hRule="atLeast"/>
              </w:trPr>
              <w:tc>
                <w:tcPr>
                  <w:tcW w:w="592" w:type="pct"/>
                  <w:vMerge w:val="continue"/>
                  <w:noWrap w:val="0"/>
                  <w:vAlign w:val="center"/>
                </w:tcPr>
                <w:p w14:paraId="7F83C39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0B30591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外壳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0250561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00AD83B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</w:tr>
            <w:tr w14:paraId="2B715B88">
              <w:trPr>
                <w:trHeight w:val="436" w:hRule="atLeast"/>
              </w:trPr>
              <w:tc>
                <w:tcPr>
                  <w:tcW w:w="592" w:type="pct"/>
                  <w:vMerge w:val="continue"/>
                  <w:noWrap w:val="0"/>
                  <w:vAlign w:val="center"/>
                </w:tcPr>
                <w:p w14:paraId="5B87171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565" w:type="pct"/>
                  <w:noWrap w:val="0"/>
                  <w:vAlign w:val="center"/>
                </w:tcPr>
                <w:p w14:paraId="30187D5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AR卡片</w:t>
                  </w:r>
                </w:p>
              </w:tc>
              <w:tc>
                <w:tcPr>
                  <w:tcW w:w="381" w:type="pct"/>
                  <w:noWrap w:val="0"/>
                  <w:vAlign w:val="center"/>
                </w:tcPr>
                <w:p w14:paraId="1CF9430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60" w:type="pct"/>
                  <w:noWrap w:val="0"/>
                  <w:vAlign w:val="center"/>
                </w:tcPr>
                <w:p w14:paraId="1EDE4DC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</w:tr>
          </w:tbl>
          <w:p w14:paraId="1BCDE3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50D783F2">
            <w:pPr>
              <w:numPr>
                <w:ilvl w:val="0"/>
                <w:numId w:val="0"/>
              </w:numPr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63DF2DFF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4"/>
                <w:szCs w:val="24"/>
                <w:lang w:val="en-US" w:eastAsia="zh-CN" w:bidi="ar-SA"/>
              </w:rPr>
              <w:t>三、认知功能评估与训练仪器（基础版二）</w:t>
            </w:r>
          </w:p>
          <w:p w14:paraId="5D31ED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治疗范围</w:t>
            </w:r>
          </w:p>
          <w:p w14:paraId="1E40EF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针对认知损害进行全面评估与训练，包括各种筛查测验（含定向力测验）以及注意、记忆、计算、思维、知觉、执行专项6大模块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。</w:t>
            </w:r>
          </w:p>
          <w:p w14:paraId="0A2503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功能参数</w:t>
            </w:r>
          </w:p>
          <w:p w14:paraId="45314E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1、认知障碍评定模块：</w:t>
            </w:r>
          </w:p>
          <w:p w14:paraId="7986CA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（1）提供30个神经心理学、认知康复相关量表，以及常规认知功能测验内容，包括注意、记忆、数算、思维、知觉等多维度能力的测试与评定</w:t>
            </w:r>
          </w:p>
          <w:p w14:paraId="0B077F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（2）包括：MMSE、MOCA、EC301、星型划销、划消测验、瞬时记忆、反应时检查、威斯康星测验等多种评定筛查工具。</w:t>
            </w:r>
          </w:p>
          <w:p w14:paraId="062E31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（3）评定结果能出具可编辑的评估报告，报告内容包括患者的基本信息、临床诊断、目前存在主要问题、评定时间等相关信息</w:t>
            </w:r>
          </w:p>
          <w:p w14:paraId="477BC3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2、认知障碍训练模块.</w:t>
            </w:r>
          </w:p>
          <w:p w14:paraId="5B2B53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（1）训练系统与评定系统的检查分类相对应，训练包括注意障碍、记忆障碍、失算症、思维障碍以及知觉障碍等5大康复训练模块。</w:t>
            </w:r>
          </w:p>
          <w:p w14:paraId="7313C1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（2）认知功能训练的细分亚型≥5个，且每个亚型的子亚型分类≥3个。</w:t>
            </w:r>
          </w:p>
          <w:p w14:paraId="60778D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（3）执行功能训练子亚型≥4个。</w:t>
            </w:r>
          </w:p>
          <w:p w14:paraId="5C0C08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（4）如注意训练子亚型≥5个，</w:t>
            </w:r>
          </w:p>
          <w:p w14:paraId="76228A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（5）记忆训练子亚型≥5个;</w:t>
            </w:r>
          </w:p>
          <w:p w14:paraId="0807C6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（6）训练应具有难度梯度自适应调整算法，医生也可手动调整难易程度;</w:t>
            </w:r>
          </w:p>
          <w:p w14:paraId="63A730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（7）AR增强现实训练：提供3套AR卡片，包括常见的动物、植物、交通工具等ADL生活物品。</w:t>
            </w:r>
          </w:p>
          <w:p w14:paraId="1DED11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3、后台病案管理功能</w:t>
            </w:r>
          </w:p>
          <w:p w14:paraId="339BC8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（1）专业数据库存储功能，能存储上百万条以上的病历信息及治疗数据；可录入并查询病人一般情况、病史、认知评定结果与报告、康复治疗计划及处方设定、信息迁移等</w:t>
            </w:r>
          </w:p>
          <w:p w14:paraId="3D5D61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（2）支持完整的统计报表数据分析模块：从训练状态、训练成绩、疑难点分析、训练进步情况等方面分析个体的训练情况</w:t>
            </w:r>
          </w:p>
          <w:p w14:paraId="34CCE8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（3）系统支持主界面选择用户头像进入训练界面，并可对患者的自然信息、康复目标、病历信息等相关性信息进行更新、重置</w:t>
            </w:r>
          </w:p>
          <w:p w14:paraId="05987C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（4）可查看不同阶段的训练成绩及明细，包括训练用时、正确数量、错误数量等，以评估训练效果，为后续康复计划调整提供数据支持</w:t>
            </w:r>
          </w:p>
          <w:p w14:paraId="63AF21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4、系统管理功能</w:t>
            </w:r>
          </w:p>
          <w:p w14:paraId="2845E1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（1）排班管理：可对科室的训练资源进行排班管理，包括安排、查看病人训练排期，对设备的管理等，以保证最大程度的利用</w:t>
            </w:r>
          </w:p>
          <w:p w14:paraId="5817F3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（2）系统操作日志有清晰的记录，包括操作内容、时间、用户等。</w:t>
            </w:r>
          </w:p>
          <w:p w14:paraId="468AA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5、系统应配置AR高清摄像头，分辨率：1920x1080</w:t>
            </w:r>
          </w:p>
          <w:p w14:paraId="3150B3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提供产品GCP临床实验报告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；</w:t>
            </w:r>
          </w:p>
          <w:p w14:paraId="069E40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7、需配备人体工程学可移动外壳，安装静音万向轮，便于移动与固定。外壳底部设专用凹槽，适配轮椅或座椅嵌入，凹槽边缘圆角处理，确保安全。桌面设计握力支撑点，便于老人起坐借力。</w:t>
            </w:r>
          </w:p>
          <w:p w14:paraId="1A3988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8、设备使用年限≥10年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（提供佐证材料）</w:t>
            </w:r>
          </w:p>
          <w:p w14:paraId="6995A8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9、触屏一体机：≥23英寸电容触摸屏，CPU≥4核心 8线程，主频≥3.0GHz，内存≥4GB </w:t>
            </w:r>
            <w: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，硬盘≥64GB</w:t>
            </w:r>
          </w:p>
          <w:p w14:paraId="29337F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配置清单</w:t>
            </w:r>
          </w:p>
          <w:tbl>
            <w:tblPr>
              <w:tblStyle w:val="5"/>
              <w:tblpPr w:leftFromText="180" w:rightFromText="180" w:vertAnchor="text" w:horzAnchor="margin" w:tblpY="38"/>
              <w:tblOverlap w:val="never"/>
              <w:tblW w:w="4998" w:type="pct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70"/>
              <w:gridCol w:w="3659"/>
              <w:gridCol w:w="1154"/>
              <w:gridCol w:w="800"/>
            </w:tblGrid>
            <w:tr w14:paraId="5D8D869B">
              <w:trPr>
                <w:trHeight w:val="321" w:hRule="atLeast"/>
              </w:trPr>
              <w:tc>
                <w:tcPr>
                  <w:tcW w:w="533" w:type="pct"/>
                  <w:noWrap w:val="0"/>
                  <w:vAlign w:val="center"/>
                </w:tcPr>
                <w:p w14:paraId="25EDBBF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类别</w:t>
                  </w:r>
                </w:p>
              </w:tc>
              <w:tc>
                <w:tcPr>
                  <w:tcW w:w="2910" w:type="pct"/>
                  <w:noWrap w:val="0"/>
                  <w:vAlign w:val="center"/>
                </w:tcPr>
                <w:p w14:paraId="4C597EC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产品名称及规格</w:t>
                  </w:r>
                </w:p>
              </w:tc>
              <w:tc>
                <w:tcPr>
                  <w:tcW w:w="918" w:type="pct"/>
                  <w:noWrap w:val="0"/>
                  <w:vAlign w:val="center"/>
                </w:tcPr>
                <w:p w14:paraId="7EF3544C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单位</w:t>
                  </w:r>
                </w:p>
              </w:tc>
              <w:tc>
                <w:tcPr>
                  <w:tcW w:w="636" w:type="pct"/>
                  <w:noWrap w:val="0"/>
                  <w:vAlign w:val="center"/>
                </w:tcPr>
                <w:p w14:paraId="301FE55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数量</w:t>
                  </w:r>
                </w:p>
              </w:tc>
            </w:tr>
            <w:tr w14:paraId="1AC3B384">
              <w:trPr>
                <w:trHeight w:val="354" w:hRule="atLeast"/>
              </w:trPr>
              <w:tc>
                <w:tcPr>
                  <w:tcW w:w="533" w:type="pct"/>
                  <w:noWrap w:val="0"/>
                  <w:vAlign w:val="center"/>
                </w:tcPr>
                <w:p w14:paraId="1F6C5C87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软件</w:t>
                  </w:r>
                </w:p>
              </w:tc>
              <w:tc>
                <w:tcPr>
                  <w:tcW w:w="2910" w:type="pct"/>
                  <w:noWrap w:val="0"/>
                  <w:vAlign w:val="center"/>
                </w:tcPr>
                <w:p w14:paraId="6B940CA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认知康复训练与评估软件</w:t>
                  </w:r>
                </w:p>
              </w:tc>
              <w:tc>
                <w:tcPr>
                  <w:tcW w:w="918" w:type="pct"/>
                  <w:noWrap w:val="0"/>
                  <w:vAlign w:val="center"/>
                </w:tcPr>
                <w:p w14:paraId="3EC397C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套</w:t>
                  </w:r>
                </w:p>
              </w:tc>
              <w:tc>
                <w:tcPr>
                  <w:tcW w:w="636" w:type="pct"/>
                  <w:noWrap w:val="0"/>
                  <w:vAlign w:val="center"/>
                </w:tcPr>
                <w:p w14:paraId="7C3C7759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1</w:t>
                  </w:r>
                </w:p>
              </w:tc>
            </w:tr>
            <w:tr w14:paraId="6D52C0C2">
              <w:trPr>
                <w:trHeight w:val="561" w:hRule="atLeast"/>
              </w:trPr>
              <w:tc>
                <w:tcPr>
                  <w:tcW w:w="533" w:type="pct"/>
                  <w:vMerge w:val="restart"/>
                  <w:noWrap w:val="0"/>
                  <w:vAlign w:val="center"/>
                </w:tcPr>
                <w:p w14:paraId="467D09BC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辅助</w:t>
                  </w:r>
                </w:p>
                <w:p w14:paraId="440C1AF6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硬件</w:t>
                  </w:r>
                </w:p>
              </w:tc>
              <w:tc>
                <w:tcPr>
                  <w:tcW w:w="2910" w:type="pct"/>
                  <w:noWrap w:val="0"/>
                  <w:vAlign w:val="center"/>
                </w:tcPr>
                <w:p w14:paraId="20B1EE5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触屏一体机</w:t>
                  </w:r>
                </w:p>
              </w:tc>
              <w:tc>
                <w:tcPr>
                  <w:tcW w:w="918" w:type="pct"/>
                  <w:noWrap w:val="0"/>
                  <w:vAlign w:val="center"/>
                </w:tcPr>
                <w:p w14:paraId="7229C1F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个</w:t>
                  </w:r>
                </w:p>
              </w:tc>
              <w:tc>
                <w:tcPr>
                  <w:tcW w:w="636" w:type="pct"/>
                  <w:noWrap w:val="0"/>
                  <w:vAlign w:val="center"/>
                </w:tcPr>
                <w:p w14:paraId="1CCCF267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1</w:t>
                  </w:r>
                </w:p>
              </w:tc>
            </w:tr>
            <w:tr w14:paraId="4DD37BFA">
              <w:trPr>
                <w:trHeight w:val="335" w:hRule="atLeast"/>
              </w:trPr>
              <w:tc>
                <w:tcPr>
                  <w:tcW w:w="533" w:type="pct"/>
                  <w:vMerge w:val="continue"/>
                  <w:noWrap w:val="0"/>
                  <w:vAlign w:val="center"/>
                </w:tcPr>
                <w:p w14:paraId="2BC1C7D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</w:p>
              </w:tc>
              <w:tc>
                <w:tcPr>
                  <w:tcW w:w="2910" w:type="pct"/>
                  <w:noWrap w:val="0"/>
                  <w:vAlign w:val="center"/>
                </w:tcPr>
                <w:p w14:paraId="1E66BF8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便携式外壳</w:t>
                  </w:r>
                </w:p>
              </w:tc>
              <w:tc>
                <w:tcPr>
                  <w:tcW w:w="918" w:type="pct"/>
                  <w:noWrap w:val="0"/>
                  <w:vAlign w:val="center"/>
                </w:tcPr>
                <w:p w14:paraId="7692FAE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套</w:t>
                  </w:r>
                </w:p>
              </w:tc>
              <w:tc>
                <w:tcPr>
                  <w:tcW w:w="636" w:type="pct"/>
                  <w:noWrap w:val="0"/>
                  <w:vAlign w:val="center"/>
                </w:tcPr>
                <w:p w14:paraId="5662F91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1</w:t>
                  </w:r>
                </w:p>
              </w:tc>
            </w:tr>
            <w:tr w14:paraId="3323FF0A">
              <w:trPr>
                <w:trHeight w:val="421" w:hRule="atLeast"/>
              </w:trPr>
              <w:tc>
                <w:tcPr>
                  <w:tcW w:w="533" w:type="pct"/>
                  <w:vMerge w:val="continue"/>
                  <w:noWrap w:val="0"/>
                  <w:vAlign w:val="center"/>
                </w:tcPr>
                <w:p w14:paraId="2956D498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</w:p>
              </w:tc>
              <w:tc>
                <w:tcPr>
                  <w:tcW w:w="3476" w:type="dxa"/>
                  <w:noWrap w:val="0"/>
                  <w:vAlign w:val="center"/>
                </w:tcPr>
                <w:p w14:paraId="6A0A76F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left="0" w:leftChars="0"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AR高清摄像头</w:t>
                  </w:r>
                </w:p>
              </w:tc>
              <w:tc>
                <w:tcPr>
                  <w:tcW w:w="918" w:type="pct"/>
                  <w:noWrap w:val="0"/>
                  <w:vAlign w:val="center"/>
                </w:tcPr>
                <w:p w14:paraId="4181557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个</w:t>
                  </w:r>
                </w:p>
              </w:tc>
              <w:tc>
                <w:tcPr>
                  <w:tcW w:w="636" w:type="pct"/>
                  <w:noWrap w:val="0"/>
                  <w:vAlign w:val="center"/>
                </w:tcPr>
                <w:p w14:paraId="71F6E2C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1</w:t>
                  </w:r>
                </w:p>
              </w:tc>
            </w:tr>
            <w:tr w14:paraId="6B5FF607">
              <w:trPr>
                <w:trHeight w:val="312" w:hRule="atLeast"/>
              </w:trPr>
              <w:tc>
                <w:tcPr>
                  <w:tcW w:w="533" w:type="pct"/>
                  <w:vMerge w:val="continue"/>
                  <w:noWrap w:val="0"/>
                  <w:vAlign w:val="center"/>
                </w:tcPr>
                <w:p w14:paraId="7E64122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</w:p>
              </w:tc>
              <w:tc>
                <w:tcPr>
                  <w:tcW w:w="2910" w:type="pct"/>
                  <w:vMerge w:val="restart"/>
                  <w:noWrap w:val="0"/>
                  <w:vAlign w:val="center"/>
                </w:tcPr>
                <w:p w14:paraId="31497FD7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left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AR卡片</w:t>
                  </w:r>
                </w:p>
              </w:tc>
              <w:tc>
                <w:tcPr>
                  <w:tcW w:w="918" w:type="pct"/>
                  <w:vMerge w:val="restart"/>
                  <w:noWrap w:val="0"/>
                  <w:vAlign w:val="center"/>
                </w:tcPr>
                <w:p w14:paraId="0A0B5E0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套</w:t>
                  </w:r>
                </w:p>
              </w:tc>
              <w:tc>
                <w:tcPr>
                  <w:tcW w:w="636" w:type="pct"/>
                  <w:vMerge w:val="restart"/>
                  <w:noWrap w:val="0"/>
                  <w:vAlign w:val="center"/>
                </w:tcPr>
                <w:p w14:paraId="17E949B2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ind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3</w:t>
                  </w:r>
                </w:p>
              </w:tc>
            </w:tr>
            <w:tr w14:paraId="540EA0D2">
              <w:trPr>
                <w:trHeight w:val="312" w:hRule="atLeast"/>
              </w:trPr>
              <w:tc>
                <w:tcPr>
                  <w:tcW w:w="533" w:type="pct"/>
                  <w:vMerge w:val="continue"/>
                  <w:noWrap w:val="0"/>
                  <w:vAlign w:val="top"/>
                </w:tcPr>
                <w:p w14:paraId="31DA33B8">
                  <w:pPr>
                    <w:widowControl/>
                    <w:spacing w:line="240" w:lineRule="auto"/>
                    <w:ind w:firstLine="480" w:firstLineChars="200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2910" w:type="pct"/>
                  <w:vMerge w:val="continue"/>
                  <w:noWrap w:val="0"/>
                  <w:vAlign w:val="top"/>
                </w:tcPr>
                <w:p w14:paraId="658F8CA1">
                  <w:pPr>
                    <w:widowControl/>
                    <w:spacing w:line="240" w:lineRule="auto"/>
                    <w:ind w:firstLine="480" w:firstLineChars="200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918" w:type="pct"/>
                  <w:vMerge w:val="continue"/>
                  <w:noWrap w:val="0"/>
                  <w:vAlign w:val="top"/>
                </w:tcPr>
                <w:p w14:paraId="4742E5B7">
                  <w:pPr>
                    <w:widowControl/>
                    <w:spacing w:line="240" w:lineRule="auto"/>
                    <w:ind w:firstLine="480" w:firstLineChars="200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636" w:type="pct"/>
                  <w:vMerge w:val="continue"/>
                  <w:noWrap w:val="0"/>
                  <w:vAlign w:val="top"/>
                </w:tcPr>
                <w:p w14:paraId="1957E4E1">
                  <w:pPr>
                    <w:widowControl/>
                    <w:spacing w:line="240" w:lineRule="auto"/>
                    <w:ind w:firstLine="480" w:firstLineChars="200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</w:tr>
          </w:tbl>
          <w:p w14:paraId="285329F5">
            <w:pPr>
              <w:numPr>
                <w:ilvl w:val="0"/>
                <w:numId w:val="0"/>
              </w:numPr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  <w:p w14:paraId="79534840">
            <w:pPr>
              <w:numPr>
                <w:ilvl w:val="0"/>
                <w:numId w:val="0"/>
              </w:numPr>
              <w:tabs>
                <w:tab w:val="center" w:pos="4316"/>
              </w:tabs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4"/>
                <w:szCs w:val="24"/>
                <w:lang w:val="en-US" w:eastAsia="zh-CN" w:bidi="ar-SA"/>
              </w:rPr>
              <w:t>四、认知功能评估与训练仪器（标准版）</w:t>
            </w:r>
          </w:p>
          <w:p w14:paraId="62F079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（一）治疗范围</w:t>
            </w:r>
          </w:p>
          <w:p w14:paraId="634CDE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产品适用于脑功能损伤、脑卒中所致认知障碍的诊断及辅助康复。</w:t>
            </w:r>
          </w:p>
          <w:p w14:paraId="47D502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（二）产品性能</w:t>
            </w:r>
          </w:p>
          <w:p w14:paraId="72F975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1眼动追踪传感器 </w:t>
            </w:r>
          </w:p>
          <w:p w14:paraId="41B77B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1.1采用眼球自动跟踪功能，快速、直观、准确地对患者注意力的辅助诊断； </w:t>
            </w:r>
          </w:p>
          <w:p w14:paraId="487851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1.2眼动监控采用眼动跟踪传感器：近红外波长≥850nm；眼动捕捉范围不小于50-95cm，采样率：≥120Hz；（提供佐证材料）</w:t>
            </w:r>
          </w:p>
          <w:p w14:paraId="1973A8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1.3可通过算法剔除头部相对位移速度≥40cm/s；</w:t>
            </w:r>
          </w:p>
          <w:p w14:paraId="11C430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2.评估模块</w:t>
            </w:r>
          </w:p>
          <w:p w14:paraId="586C5F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2.1眼动辅助评估：可针对注意力障碍、单侧忽略、阅读障碍、视觉跟踪进行辅助评估；快速、直观、准确地对患者注意力的诊断；包括10个眼动跟踪训练项目，包括除害虫、余光狗、选购商品、阅读、眼动切水果、等特制训练题目，且眼动轨迹可实时查看。每个眼动训练题完成后，可以直接查看成绩和每次眼动训练的轨迹记录。（提供佐证材料）</w:t>
            </w:r>
          </w:p>
          <w:p w14:paraId="5CB25D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2.2系统须具备EC301量表，用于数算障碍患者的评估。（提供证明资料）</w:t>
            </w:r>
          </w:p>
          <w:p w14:paraId="08C2DF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2.3提供≥30个神经心理学、认知康复相关量表，以及常规认知功能测验内容，应至少包括：MMSE、MOCA、星型划销、划消测验、瞬时记忆、反应时检查、威斯康星测验等多种评定筛查工具。评定结果能出具可编辑的评估报告。</w:t>
            </w:r>
          </w:p>
          <w:p w14:paraId="7613CE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3.认知障碍训练模块</w:t>
            </w:r>
          </w:p>
          <w:p w14:paraId="218A57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3.1应包括感知觉能力、基本认知能力、思维能力、数学能力、社会行为能力、执行功能等6大认知主题，≥100个训练题目；</w:t>
            </w:r>
          </w:p>
          <w:p w14:paraId="5C6134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▲3.2具备临床试验报告，确保临床使用有效性；（提供证明文件）</w:t>
            </w:r>
          </w:p>
          <w:p w14:paraId="5BAD1C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3.3 AR增强现实训练：AR卡片≥4套，应至少包括常见的动物、植物 、交通工具等常见的ADL生活物品；</w:t>
            </w:r>
          </w:p>
          <w:p w14:paraId="31D01D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▲3.4脑功能临床训练的细分亚型≥5个，而且每个亚型的子亚型分类≥3个；训练具有难度梯度自适应调整算法，医生也可手动调整难易程度。</w:t>
            </w:r>
          </w:p>
          <w:p w14:paraId="7898E6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4后台病案管理功能</w:t>
            </w:r>
          </w:p>
          <w:p w14:paraId="377808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4.1专业数据库存储功能，能存储≥100万条的治疗数据；</w:t>
            </w:r>
          </w:p>
          <w:p w14:paraId="254F51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4.2可录入并查询病人一般情况、病史、认知评定结果与报告、康复治疗计划及处方设定、信息迁移等；</w:t>
            </w:r>
          </w:p>
          <w:p w14:paraId="21DCC9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4.3可提供完整的统计报表数据分析模块：从训练状态、训练成绩、疑难点分析、训练进步情况等方面分析个体的训练情况。</w:t>
            </w:r>
          </w:p>
          <w:p w14:paraId="4DA2F2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5.系统管理功能</w:t>
            </w:r>
          </w:p>
          <w:p w14:paraId="3B43E0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可对科室的训练资源进行排班管理，并保证最大程度的利用；针对不同的用户可以开通相应的权限；对系统操作日志有清晰的记录，包括操作内容、时间、用户等。</w:t>
            </w:r>
          </w:p>
          <w:p w14:paraId="241578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▲6.设备使用年限≥10年（提供佐证材料）</w:t>
            </w:r>
          </w:p>
          <w:p w14:paraId="029AD3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7.终端，CPU≥4核心 8线程，主频≥3.0GHz，内存≥4GB 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，硬盘≥64GB</w:t>
            </w:r>
          </w:p>
          <w:p w14:paraId="3875D6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三、配置清单：</w:t>
            </w:r>
          </w:p>
          <w:tbl>
            <w:tblPr>
              <w:tblStyle w:val="5"/>
              <w:tblpPr w:leftFromText="180" w:rightFromText="180" w:vertAnchor="text" w:horzAnchor="margin" w:tblpY="38"/>
              <w:tblOverlap w:val="never"/>
              <w:tblW w:w="4999" w:type="pct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9"/>
              <w:gridCol w:w="4328"/>
              <w:gridCol w:w="537"/>
              <w:gridCol w:w="551"/>
            </w:tblGrid>
            <w:tr w14:paraId="7E2C0B35">
              <w:tc>
                <w:tcPr>
                  <w:tcW w:w="691" w:type="pct"/>
                  <w:noWrap w:val="0"/>
                  <w:vAlign w:val="center"/>
                </w:tcPr>
                <w:p w14:paraId="035D8FE3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类别</w:t>
                  </w: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57957BDB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产品名称及规格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0CB166E7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单位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6594C222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数量</w:t>
                  </w:r>
                </w:p>
              </w:tc>
            </w:tr>
            <w:tr w14:paraId="06E38ECC">
              <w:tc>
                <w:tcPr>
                  <w:tcW w:w="691" w:type="pct"/>
                  <w:noWrap w:val="0"/>
                  <w:vAlign w:val="center"/>
                </w:tcPr>
                <w:p w14:paraId="7663B848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软件</w:t>
                  </w: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7B2346BE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认知康复训练与评估软件  备注：含眼动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2811AE0A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7A35704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1CFA142D">
              <w:tc>
                <w:tcPr>
                  <w:tcW w:w="691" w:type="pct"/>
                  <w:vMerge w:val="restart"/>
                  <w:noWrap w:val="0"/>
                  <w:vAlign w:val="center"/>
                </w:tcPr>
                <w:p w14:paraId="235F1825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辅助</w:t>
                  </w:r>
                </w:p>
                <w:p w14:paraId="559B900F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硬件</w:t>
                  </w:r>
                </w:p>
                <w:p w14:paraId="76707BF2">
                  <w:pPr>
                    <w:widowControl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2CCDB2D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触控显示器：≥23寸电容触控屏，分辨率≥1920x1080；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2F073464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个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4F0C532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288C0E25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33A042C7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2FCB0AAE">
                  <w:pPr>
                    <w:pStyle w:val="4"/>
                    <w:keepNext w:val="0"/>
                    <w:keepLines w:val="0"/>
                    <w:widowControl/>
                    <w:suppressLineNumbers w:val="0"/>
                    <w:shd w:val="clear" w:fill="FFFFFF"/>
                    <w:spacing w:before="0" w:beforeAutospacing="0" w:after="160" w:afterAutospacing="0"/>
                    <w:ind w:left="0" w:right="0" w:firstLine="0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终端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146D7CB3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台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3A76D78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3C83FDEA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7C601BA2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0313059B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AR高清摄像头：分辨率≥1920x1080；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513BBE02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个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798F649F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056A6242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61224920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164B69EE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外壳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4420CBBD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5A5F47E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1D85BA1A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0463D3CC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04C6F3C4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AR卡片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613E1311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套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2A5347D2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</w:tr>
            <w:tr w14:paraId="28B9E112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1A7C6223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235F7C88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眼动跟踪传感器：近红外波长≥850nm；眼动捕捉范围不小于50-95cm，采样率≥120Hz；可通过算法剔除头部相对位移速度不低于40cm/s；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40389253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个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0A969A77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</w:tr>
            <w:tr w14:paraId="508880BE">
              <w:tc>
                <w:tcPr>
                  <w:tcW w:w="691" w:type="pct"/>
                  <w:vMerge w:val="continue"/>
                  <w:noWrap w:val="0"/>
                  <w:vAlign w:val="center"/>
                </w:tcPr>
                <w:p w14:paraId="3F884514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441" w:type="pct"/>
                  <w:noWrap w:val="0"/>
                  <w:vAlign w:val="center"/>
                </w:tcPr>
                <w:p w14:paraId="404EB024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lang w:val="en-US" w:eastAsia="zh-CN"/>
                    </w:rPr>
                    <w:t>移动训练终端</w:t>
                  </w:r>
                </w:p>
              </w:tc>
              <w:tc>
                <w:tcPr>
                  <w:tcW w:w="427" w:type="pct"/>
                  <w:noWrap w:val="0"/>
                  <w:vAlign w:val="center"/>
                </w:tcPr>
                <w:p w14:paraId="616668C0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</w:rPr>
                    <w:t>台</w:t>
                  </w:r>
                </w:p>
              </w:tc>
              <w:tc>
                <w:tcPr>
                  <w:tcW w:w="438" w:type="pct"/>
                  <w:noWrap w:val="0"/>
                  <w:vAlign w:val="center"/>
                </w:tcPr>
                <w:p w14:paraId="15E79CDB">
                  <w:pPr>
                    <w:widowControl/>
                    <w:spacing w:line="240" w:lineRule="auto"/>
                    <w:jc w:val="left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049708FE">
            <w:pPr>
              <w:numPr>
                <w:ilvl w:val="0"/>
                <w:numId w:val="0"/>
              </w:numPr>
              <w:ind w:left="360" w:leftChars="0" w:hanging="36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46975A5E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五、迷走神经电刺激</w:t>
            </w:r>
          </w:p>
          <w:p w14:paraId="41BEA7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1.设备技术要求</w:t>
            </w:r>
          </w:p>
          <w:p w14:paraId="1C7EB7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1.1电流强度：≥6mA；脉冲频率：≥100Hz;脉冲宽度：≥500μs;</w:t>
            </w:r>
          </w:p>
          <w:p w14:paraId="428C91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▲1.2设备输出通道数≥8通道；（提供佐证材料）</w:t>
            </w:r>
          </w:p>
          <w:p w14:paraId="799EA2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1.3负载阻值检测：实时监测电极接触部位阻抗值并在界面上显示。时间设定≥30min；</w:t>
            </w:r>
          </w:p>
          <w:p w14:paraId="4BA34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治疗过程中持续刺激与停止刺激交替，且治疗过程中的刺激持续时间（On-time）和刺激停止时间（Off-time）可调，调节范围：0-200s；</w:t>
            </w:r>
          </w:p>
          <w:p w14:paraId="5619AA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▲1.4治疗方式：可选择主机通道治疗或便携通道治疗，其中主机通道至少可同时对2名患者进行治疗，便携治疗通道可独立使用。（提供佐证材料）</w:t>
            </w:r>
          </w:p>
          <w:p w14:paraId="262895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2管理软件</w:t>
            </w:r>
          </w:p>
          <w:p w14:paraId="11B3CC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▲2.1刺激模式≥3种刺激模式；</w:t>
            </w:r>
          </w:p>
          <w:p w14:paraId="64D334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2.2参数设置：可设置刺激模式、刺激时间、刺激强度等参数；</w:t>
            </w:r>
          </w:p>
          <w:p w14:paraId="0BC3F8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2.3刺激过程中可实时调节电流输出强度；</w:t>
            </w:r>
          </w:p>
          <w:p w14:paraId="38C94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2.4全中文操作系统，配套的管理软件系统内含专家级治疗方案可供参考；</w:t>
            </w:r>
          </w:p>
          <w:p w14:paraId="67F212F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2.5治疗报告打印：自动化输出报告，也可根据需求自定义编辑报告模板，医院名称、科室等信息可编辑；</w:t>
            </w:r>
          </w:p>
          <w:p w14:paraId="1B239A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2.6可显示通道运行状态，显示刺激模式、输出强度、治疗时间和治疗时间倒计时、运行状态等功能；</w:t>
            </w:r>
          </w:p>
          <w:p w14:paraId="42DA6C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3.刺激电极：可同时刺激左耳耳甲艇与耳屏迷走神经的耳部电极、刺激颈部迷走神经的颈部电极。</w:t>
            </w:r>
          </w:p>
          <w:p w14:paraId="637993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4. 拓展功能：支持后续拓展增配移动端便携设备。</w:t>
            </w:r>
          </w:p>
          <w:p w14:paraId="740760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5.主机输出通道2个，长度≥1米；</w:t>
            </w:r>
          </w:p>
          <w:p w14:paraId="64E0D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6.一体式工作站要求：CPU≥6核 12线程；主频≥2.5GHz，内存≥8GB DDR4，硬盘≥5124GB，预装操作系统；显示器≥23英寸</w:t>
            </w:r>
          </w:p>
          <w:p w14:paraId="2F30C2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7.配置要求：</w:t>
            </w:r>
          </w:p>
          <w:p w14:paraId="081C16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leftChars="0" w:firstLine="180" w:firstLineChars="75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4"/>
                <w:szCs w:val="24"/>
                <w:lang w:val="en-US" w:eastAsia="zh-CN" w:bidi="ar-SA"/>
              </w:rPr>
              <w:t>主机1台；便携式设备8台；一体式工作站  1台；电极线8条；输出设备1台：彩色，激光，可双面输出。</w:t>
            </w:r>
          </w:p>
        </w:tc>
      </w:tr>
    </w:tbl>
    <w:p w14:paraId="46C52E5D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1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B57900"/>
    <w:rsid w:val="102312D9"/>
    <w:rsid w:val="25AD42FB"/>
    <w:rsid w:val="2651396B"/>
    <w:rsid w:val="2A09245C"/>
    <w:rsid w:val="5BB57900"/>
    <w:rsid w:val="DFFFBD7A"/>
    <w:rsid w:val="FEA79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 w:eastAsia="宋体" w:cs="Times New Roman"/>
      <w:sz w:val="32"/>
    </w:rPr>
  </w:style>
  <w:style w:type="paragraph" w:styleId="3">
    <w:name w:val="Body Text"/>
    <w:basedOn w:val="1"/>
    <w:qFormat/>
    <w:uiPriority w:val="1"/>
    <w:rPr>
      <w:rFonts w:ascii="宋体" w:hAnsi="宋体" w:eastAsia="宋体" w:cs="宋体"/>
      <w:szCs w:val="21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4830</Words>
  <Characters>5202</Characters>
  <Lines>0</Lines>
  <Paragraphs>0</Paragraphs>
  <TotalTime>0</TotalTime>
  <ScaleCrop>false</ScaleCrop>
  <LinksUpToDate>false</LinksUpToDate>
  <CharactersWithSpaces>5274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2026-09-03T18:29:00Z</dcterms:created>
  <dc:creator>始于新奇</dc:creator>
  <cp:lastModifiedBy>H</cp:lastModifiedBy>
  <dcterms:modified xsi:type="dcterms:W3CDTF">2026-09-03T23:37:14Z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3CF0B472AD16EC04BC93996A4089E807_43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