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版本号：项目（采）2026-008号20260821001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定军山镇中心小学运动场维修改造工程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项目（采）2026-008号</w:t>
      </w:r>
      <w:r>
        <w:br/>
      </w:r>
      <w:r>
        <w:br/>
      </w:r>
      <w:r>
        <w:br/>
      </w:r>
    </w:p>
    <w:p>
      <w:pPr>
        <w:pStyle w:val="null3"/>
        <w:jc w:val="center"/>
        <w:outlineLvl w:val="2"/>
      </w:pPr>
      <w:r>
        <w:rPr>
          <w:rFonts w:ascii="仿宋_GB2312" w:hAnsi="仿宋_GB2312" w:cs="仿宋_GB2312" w:eastAsia="仿宋_GB2312"/>
          <w:sz w:val="28"/>
          <w:b/>
        </w:rPr>
        <w:t>勉县定军山镇中心小学</w:t>
      </w:r>
    </w:p>
    <w:p>
      <w:pPr>
        <w:pStyle w:val="null3"/>
        <w:jc w:val="center"/>
        <w:outlineLvl w:val="2"/>
      </w:pPr>
      <w:r>
        <w:rPr>
          <w:rFonts w:ascii="仿宋_GB2312" w:hAnsi="仿宋_GB2312" w:cs="仿宋_GB2312" w:eastAsia="仿宋_GB2312"/>
          <w:sz w:val="28"/>
          <w:b/>
        </w:rPr>
        <w:t>陕西省工程监理有限责任公司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陕西省工程监理有限责任公司</w:t>
      </w:r>
      <w:r>
        <w:rPr>
          <w:rFonts w:ascii="仿宋_GB2312" w:hAnsi="仿宋_GB2312" w:cs="仿宋_GB2312" w:eastAsia="仿宋_GB2312"/>
        </w:rPr>
        <w:t>（以下简称“代理机构”）受</w:t>
      </w:r>
      <w:r>
        <w:rPr>
          <w:rFonts w:ascii="仿宋_GB2312" w:hAnsi="仿宋_GB2312" w:cs="仿宋_GB2312" w:eastAsia="仿宋_GB2312"/>
        </w:rPr>
        <w:t>勉县定军山镇中心小学</w:t>
      </w:r>
      <w:r>
        <w:rPr>
          <w:rFonts w:ascii="仿宋_GB2312" w:hAnsi="仿宋_GB2312" w:cs="仿宋_GB2312" w:eastAsia="仿宋_GB2312"/>
        </w:rPr>
        <w:t>委托，拟对</w:t>
      </w:r>
      <w:r>
        <w:rPr>
          <w:rFonts w:ascii="仿宋_GB2312" w:hAnsi="仿宋_GB2312" w:cs="仿宋_GB2312" w:eastAsia="仿宋_GB2312"/>
        </w:rPr>
        <w:t>定军山镇中心小学运动场维修改造工程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项目（采）2026-008号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定军山镇中心小学运动场维修改造工程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拆除运动场原塑胶跑道、人造草坪；跑道重新铺设塑胶，跑道内场地铺设人造草坪；拆除运动场环沟盖板，清理环沟，拆除后盖板重新安装、跑道及足球场划线等。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采购包1（勉县定军山镇中心小学运动场维修改造工程）：属于专门面向中小企业采购。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 人证书等国家规定的相关证明，自然人参与的提供其身份证明；</w:t>
      </w:r>
    </w:p>
    <w:p>
      <w:pPr>
        <w:pStyle w:val="null3"/>
      </w:pPr>
      <w:r>
        <w:rPr>
          <w:rFonts w:ascii="仿宋_GB2312" w:hAnsi="仿宋_GB2312" w:cs="仿宋_GB2312" w:eastAsia="仿宋_GB2312"/>
        </w:rPr>
        <w:t>2、法定代表人或授权代理人身份证明：供应商应授权合法的人员参加磋商活动，非法定代表人参加磋商的，须提供法定代表人身份证明及被授权人授权书(附法定代表人及被授权人身份证复印件);法定代表人直接参加磋商的，须提供法定代表人身份证明(附法定代表人身份证复印件)；</w:t>
      </w:r>
    </w:p>
    <w:p>
      <w:pPr>
        <w:pStyle w:val="null3"/>
      </w:pPr>
      <w:r>
        <w:rPr>
          <w:rFonts w:ascii="仿宋_GB2312" w:hAnsi="仿宋_GB2312" w:cs="仿宋_GB2312" w:eastAsia="仿宋_GB2312"/>
        </w:rPr>
        <w:t>3、供应商资质要求：供应商须具备建设行政主管部门核发的建筑工程或市政公用工程施工总承包三级及以上资质等级，并具有有效的安全生产许可证；供应商基本信息及项目负责人（项目经理）的基本信息应在“陕西省住房和城乡建设厅”或“全国建筑市场监管公共服务平台（四库一平台）”可查询；</w:t>
      </w:r>
    </w:p>
    <w:p>
      <w:pPr>
        <w:pStyle w:val="null3"/>
      </w:pPr>
      <w:r>
        <w:rPr>
          <w:rFonts w:ascii="仿宋_GB2312" w:hAnsi="仿宋_GB2312" w:cs="仿宋_GB2312" w:eastAsia="仿宋_GB2312"/>
        </w:rPr>
        <w:t>4、拟派项目经理资格要求：拟派项目经理须具备建筑工程或市政公用工程专业注册建造师二级（含二级）以上执业资格，具有安全生产考核合格B证，在本单位注册且无在建工程和不良记录。</w:t>
      </w:r>
    </w:p>
    <w:p>
      <w:pPr>
        <w:pStyle w:val="null3"/>
      </w:pPr>
      <w:r>
        <w:rPr>
          <w:rFonts w:ascii="仿宋_GB2312" w:hAnsi="仿宋_GB2312" w:cs="仿宋_GB2312" w:eastAsia="仿宋_GB2312"/>
        </w:rPr>
        <w:t>5、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6、联合体与分包：本采购项目不接受联合体响应，不允许分包，供应商应提供《非联合体和不分包声明》，视为独立响应和不分包。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勉县定军山镇中心小学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勉县定军山镇金寨堡社区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勉县定军山镇中心小学经办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19109168226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陕西省工程监理有限责任公司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陕西省西安市莲湖区西安市莲湖区青年路92号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0916-8810552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开户名称：陕西省工程监理有限责任公司汉中分公司</w:t>
            </w:r>
          </w:p>
          <w:p>
            <w:pPr>
              <w:pStyle w:val="null3"/>
            </w:pPr>
            <w:r>
              <w:rPr>
                <w:rFonts w:ascii="仿宋_GB2312" w:hAnsi="仿宋_GB2312" w:cs="仿宋_GB2312" w:eastAsia="仿宋_GB2312"/>
              </w:rPr>
              <w:t>开户银行：中国建设银行股份有限公司汉中前进东路支行</w:t>
            </w:r>
          </w:p>
          <w:p>
            <w:pPr>
              <w:pStyle w:val="null3"/>
            </w:pPr>
            <w:r>
              <w:rPr>
                <w:rFonts w:ascii="仿宋_GB2312" w:hAnsi="仿宋_GB2312" w:cs="仿宋_GB2312" w:eastAsia="仿宋_GB2312"/>
              </w:rPr>
              <w:t>银行账号：6105 0165 0042 0000 0121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勉县定军山镇中心小学</w:t>
      </w:r>
      <w:r>
        <w:rPr>
          <w:rFonts w:ascii="仿宋_GB2312" w:hAnsi="仿宋_GB2312" w:cs="仿宋_GB2312" w:eastAsia="仿宋_GB2312"/>
        </w:rPr>
        <w:t>和</w:t>
      </w:r>
      <w:r>
        <w:rPr>
          <w:rFonts w:ascii="仿宋_GB2312" w:hAnsi="仿宋_GB2312" w:cs="仿宋_GB2312" w:eastAsia="仿宋_GB2312"/>
        </w:rPr>
        <w:t>陕西省工程监理有限责任公司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勉县定军山镇中心小学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陕西省工程监理有限责任公司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勉县定军山镇中心小学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陕西省工程监理有限责任公司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由供应商承担所有相关责任，采购人享有本项目实施过程中产生的知识成果及知识产权。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陕西省工程监理有限责任公司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陕西省工程监理有限责任公司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陕西省工程监理有限责任公司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联系人：姚利</w:t>
      </w:r>
    </w:p>
    <w:p>
      <w:pPr>
        <w:pStyle w:val="null3"/>
      </w:pPr>
      <w:r>
        <w:rPr>
          <w:rFonts w:ascii="仿宋_GB2312" w:hAnsi="仿宋_GB2312" w:cs="仿宋_GB2312" w:eastAsia="仿宋_GB2312"/>
        </w:rPr>
        <w:t>联系电话：0916-8810552</w:t>
      </w:r>
    </w:p>
    <w:p>
      <w:pPr>
        <w:pStyle w:val="null3"/>
      </w:pPr>
      <w:r>
        <w:rPr>
          <w:rFonts w:ascii="仿宋_GB2312" w:hAnsi="仿宋_GB2312" w:cs="仿宋_GB2312" w:eastAsia="仿宋_GB2312"/>
        </w:rPr>
        <w:t>地址：陕西省西安市莲湖区西安市莲湖区青年路92号</w:t>
      </w:r>
    </w:p>
    <w:p>
      <w:pPr>
        <w:pStyle w:val="null3"/>
      </w:pPr>
      <w:r>
        <w:rPr>
          <w:rFonts w:ascii="仿宋_GB2312" w:hAnsi="仿宋_GB2312" w:cs="仿宋_GB2312" w:eastAsia="仿宋_GB2312"/>
        </w:rPr>
        <w:t>邮编：710003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776,942.28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勉县定军山镇中心小学运动场维修改造工程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标的名称：勉县定军山镇中心小学运动场维修改造工程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120"/>
              <w:jc w:val="left"/>
            </w:pPr>
            <w:r>
              <w:rPr>
                <w:rFonts w:ascii="仿宋_GB2312" w:hAnsi="仿宋_GB2312" w:cs="仿宋_GB2312" w:eastAsia="仿宋_GB2312"/>
                <w:sz w:val="32"/>
                <w:b/>
              </w:rPr>
              <w:t>一、工程概况</w:t>
            </w:r>
            <w:r>
              <w:rPr>
                <w:rFonts w:ascii="仿宋_GB2312" w:hAnsi="仿宋_GB2312" w:cs="仿宋_GB2312" w:eastAsia="仿宋_GB2312"/>
                <w:sz w:val="32"/>
                <w:b/>
              </w:rPr>
              <w:t>：</w:t>
            </w:r>
          </w:p>
          <w:p>
            <w:pPr>
              <w:pStyle w:val="null3"/>
              <w:ind w:left="120"/>
              <w:jc w:val="left"/>
            </w:pPr>
            <w:r>
              <w:rPr>
                <w:rFonts w:ascii="仿宋_GB2312" w:hAnsi="仿宋_GB2312" w:cs="仿宋_GB2312" w:eastAsia="仿宋_GB2312"/>
                <w:sz w:val="32"/>
              </w:rPr>
              <w:t>本项目工程量按照</w:t>
            </w:r>
            <w:r>
              <w:rPr>
                <w:rFonts w:ascii="仿宋_GB2312" w:hAnsi="仿宋_GB2312" w:cs="仿宋_GB2312" w:eastAsia="仿宋_GB2312"/>
                <w:sz w:val="32"/>
              </w:rPr>
              <w:t>2015年7月原运动场设计图纸及施工方案计算，</w:t>
            </w:r>
            <w:r>
              <w:rPr>
                <w:rFonts w:ascii="仿宋_GB2312" w:hAnsi="仿宋_GB2312" w:cs="仿宋_GB2312" w:eastAsia="仿宋_GB2312"/>
                <w:sz w:val="32"/>
              </w:rPr>
              <w:t>主要建设内容为：</w:t>
            </w:r>
            <w:r>
              <w:rPr>
                <w:rFonts w:ascii="仿宋_GB2312" w:hAnsi="仿宋_GB2312" w:cs="仿宋_GB2312" w:eastAsia="仿宋_GB2312"/>
                <w:sz w:val="32"/>
              </w:rPr>
              <w:t>拆除运动场原塑胶跑道、人造草坪；跑道重新铺设塑胶，跑道内场地铺设人造草坪；拆除运动场环沟盖板，清理环沟，拆除后盖板重新安装、跑道及足球场划线等。</w:t>
            </w:r>
          </w:p>
          <w:p>
            <w:pPr>
              <w:pStyle w:val="null3"/>
              <w:jc w:val="both"/>
            </w:pPr>
            <w:r>
              <w:rPr>
                <w:rFonts w:ascii="仿宋_GB2312" w:hAnsi="仿宋_GB2312" w:cs="仿宋_GB2312" w:eastAsia="仿宋_GB2312"/>
                <w:sz w:val="32"/>
                <w:b/>
              </w:rPr>
              <w:t>二、编制依据</w:t>
            </w:r>
            <w:r>
              <w:rPr>
                <w:rFonts w:ascii="仿宋_GB2312" w:hAnsi="仿宋_GB2312" w:cs="仿宋_GB2312" w:eastAsia="仿宋_GB2312"/>
                <w:sz w:val="32"/>
                <w:b/>
              </w:rPr>
              <w:t>：</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w:t>
            </w:r>
            <w:r>
              <w:rPr>
                <w:rFonts w:ascii="仿宋_GB2312" w:hAnsi="仿宋_GB2312" w:cs="仿宋_GB2312" w:eastAsia="仿宋_GB2312"/>
                <w:sz w:val="32"/>
              </w:rPr>
              <w:t>勉县定军山镇中心小学运动场维修改造项目</w:t>
            </w:r>
            <w:r>
              <w:rPr>
                <w:rFonts w:ascii="仿宋_GB2312" w:hAnsi="仿宋_GB2312" w:cs="仿宋_GB2312" w:eastAsia="仿宋_GB2312"/>
                <w:sz w:val="32"/>
              </w:rPr>
              <w:t>”</w:t>
            </w:r>
            <w:r>
              <w:rPr>
                <w:rFonts w:ascii="仿宋_GB2312" w:hAnsi="仿宋_GB2312" w:cs="仿宋_GB2312" w:eastAsia="仿宋_GB2312"/>
                <w:sz w:val="32"/>
              </w:rPr>
              <w:t>原施工图纸、施工方案</w:t>
            </w:r>
            <w:r>
              <w:rPr>
                <w:rFonts w:ascii="仿宋_GB2312" w:hAnsi="仿宋_GB2312" w:cs="仿宋_GB2312" w:eastAsia="仿宋_GB2312"/>
                <w:sz w:val="32"/>
              </w:rPr>
              <w:t>；；</w:t>
            </w:r>
          </w:p>
          <w:p>
            <w:pPr>
              <w:pStyle w:val="null3"/>
              <w:ind w:firstLine="640"/>
            </w:pPr>
            <w:r>
              <w:rPr>
                <w:rFonts w:ascii="仿宋_GB2312" w:hAnsi="仿宋_GB2312" w:cs="仿宋_GB2312" w:eastAsia="仿宋_GB2312"/>
                <w:sz w:val="32"/>
              </w:rPr>
              <w:t>2、</w:t>
            </w:r>
            <w:r>
              <w:rPr>
                <w:rFonts w:ascii="仿宋_GB2312" w:hAnsi="仿宋_GB2312" w:cs="仿宋_GB2312" w:eastAsia="仿宋_GB2312"/>
                <w:sz w:val="32"/>
              </w:rPr>
              <w:t>《陕西省住房和城乡建设厅关于印发</w:t>
            </w:r>
            <w:r>
              <w:rPr>
                <w:rFonts w:ascii="仿宋_GB2312" w:hAnsi="仿宋_GB2312" w:cs="仿宋_GB2312" w:eastAsia="仿宋_GB2312"/>
                <w:sz w:val="32"/>
              </w:rPr>
              <w:t>2025 陕西省建设工程费用规则等计价依据的通知》陕建管发〔2025〕10号文件</w:t>
            </w:r>
            <w:r>
              <w:rPr>
                <w:rFonts w:ascii="仿宋_GB2312" w:hAnsi="仿宋_GB2312" w:cs="仿宋_GB2312" w:eastAsia="仿宋_GB2312"/>
                <w:sz w:val="32"/>
              </w:rPr>
              <w:t>；</w:t>
            </w:r>
          </w:p>
          <w:p>
            <w:pPr>
              <w:pStyle w:val="null3"/>
              <w:ind w:firstLine="640"/>
            </w:pPr>
            <w:r>
              <w:rPr>
                <w:rFonts w:ascii="仿宋_GB2312" w:hAnsi="仿宋_GB2312" w:cs="仿宋_GB2312" w:eastAsia="仿宋_GB2312"/>
                <w:sz w:val="32"/>
              </w:rPr>
              <w:t>3</w:t>
            </w:r>
            <w:r>
              <w:rPr>
                <w:rFonts w:ascii="仿宋_GB2312" w:hAnsi="仿宋_GB2312" w:cs="仿宋_GB2312" w:eastAsia="仿宋_GB2312"/>
                <w:sz w:val="32"/>
              </w:rPr>
              <w:t>、《陕西省建设工程费用规则》（</w:t>
            </w:r>
            <w:r>
              <w:rPr>
                <w:rFonts w:ascii="仿宋_GB2312" w:hAnsi="仿宋_GB2312" w:cs="仿宋_GB2312" w:eastAsia="仿宋_GB2312"/>
                <w:sz w:val="32"/>
              </w:rPr>
              <w:t>2025）、《建设工程工程量清单计价标准》（2025）、《房屋建筑与装修工程工程量计算标准》、《通用安装工程工程量计算标准》及其配套文件</w:t>
            </w:r>
            <w:r>
              <w:rPr>
                <w:rFonts w:ascii="仿宋_GB2312" w:hAnsi="仿宋_GB2312" w:cs="仿宋_GB2312" w:eastAsia="仿宋_GB2312"/>
                <w:sz w:val="32"/>
              </w:rPr>
              <w:t>；</w:t>
            </w:r>
          </w:p>
          <w:p>
            <w:pPr>
              <w:pStyle w:val="null3"/>
              <w:ind w:firstLine="640"/>
            </w:pPr>
            <w:r>
              <w:rPr>
                <w:rFonts w:ascii="仿宋_GB2312" w:hAnsi="仿宋_GB2312" w:cs="仿宋_GB2312" w:eastAsia="仿宋_GB2312"/>
                <w:sz w:val="32"/>
              </w:rPr>
              <w:t>4、本工程采用广联达GBQ7.0计价，版本号：7.5000.23.3。</w:t>
            </w:r>
          </w:p>
          <w:p>
            <w:pPr>
              <w:pStyle w:val="null3"/>
            </w:pPr>
            <w:r>
              <w:rPr>
                <w:rFonts w:ascii="仿宋_GB2312" w:hAnsi="仿宋_GB2312" w:cs="仿宋_GB2312" w:eastAsia="仿宋_GB2312"/>
                <w:sz w:val="32"/>
                <w:b/>
              </w:rPr>
              <w:t>三、有关问题计算说明</w:t>
            </w:r>
            <w:r>
              <w:rPr>
                <w:rFonts w:ascii="仿宋_GB2312" w:hAnsi="仿宋_GB2312" w:cs="仿宋_GB2312" w:eastAsia="仿宋_GB2312"/>
                <w:sz w:val="32"/>
                <w:b/>
              </w:rPr>
              <w:t>：</w:t>
            </w:r>
          </w:p>
          <w:p>
            <w:pPr>
              <w:pStyle w:val="null3"/>
              <w:ind w:firstLine="640"/>
            </w:pPr>
            <w:r>
              <w:rPr>
                <w:rFonts w:ascii="仿宋_GB2312" w:hAnsi="仿宋_GB2312" w:cs="仿宋_GB2312" w:eastAsia="仿宋_GB2312"/>
                <w:sz w:val="32"/>
              </w:rPr>
              <w:t>1、本工程体育设施设备及教学用具按照40000.00元/项计入专业工程暂估价；</w:t>
            </w:r>
          </w:p>
          <w:p>
            <w:pPr>
              <w:pStyle w:val="null3"/>
              <w:ind w:firstLine="640"/>
            </w:pPr>
            <w:r>
              <w:rPr>
                <w:rFonts w:ascii="仿宋_GB2312" w:hAnsi="仿宋_GB2312" w:cs="仿宋_GB2312" w:eastAsia="仿宋_GB2312"/>
                <w:sz w:val="32"/>
              </w:rPr>
              <w:t>2、本工程暂列金暂按30000.00元计算；</w:t>
            </w:r>
          </w:p>
          <w:p>
            <w:pPr>
              <w:pStyle w:val="null3"/>
              <w:ind w:firstLine="640"/>
            </w:pPr>
            <w:r>
              <w:rPr>
                <w:rFonts w:ascii="仿宋_GB2312" w:hAnsi="仿宋_GB2312" w:cs="仿宋_GB2312" w:eastAsia="仿宋_GB2312"/>
                <w:sz w:val="32"/>
              </w:rPr>
              <w:t>3、</w:t>
            </w:r>
            <w:r>
              <w:rPr>
                <w:rFonts w:ascii="仿宋_GB2312" w:hAnsi="仿宋_GB2312" w:cs="仿宋_GB2312" w:eastAsia="仿宋_GB2312"/>
                <w:sz w:val="32"/>
              </w:rPr>
              <w:t>清单描述</w:t>
            </w:r>
            <w:r>
              <w:rPr>
                <w:rFonts w:ascii="仿宋_GB2312" w:hAnsi="仿宋_GB2312" w:cs="仿宋_GB2312" w:eastAsia="仿宋_GB2312"/>
                <w:sz w:val="32"/>
              </w:rPr>
              <w:t>与实际做法不一致时，</w:t>
            </w:r>
            <w:r>
              <w:rPr>
                <w:rFonts w:ascii="仿宋_GB2312" w:hAnsi="仿宋_GB2312" w:cs="仿宋_GB2312" w:eastAsia="仿宋_GB2312"/>
                <w:sz w:val="32"/>
              </w:rPr>
              <w:t>以实际完成工程做法为准，</w:t>
            </w:r>
            <w:r>
              <w:rPr>
                <w:rFonts w:ascii="仿宋_GB2312" w:hAnsi="仿宋_GB2312" w:cs="仿宋_GB2312" w:eastAsia="仿宋_GB2312"/>
                <w:sz w:val="32"/>
              </w:rPr>
              <w:t>竣工</w:t>
            </w:r>
            <w:r>
              <w:rPr>
                <w:rFonts w:ascii="仿宋_GB2312" w:hAnsi="仿宋_GB2312" w:cs="仿宋_GB2312" w:eastAsia="仿宋_GB2312"/>
                <w:sz w:val="32"/>
              </w:rPr>
              <w:t>结算时据实调整。</w:t>
            </w:r>
          </w:p>
          <w:p>
            <w:pPr>
              <w:pStyle w:val="null3"/>
            </w:pPr>
            <w:r>
              <w:rPr>
                <w:rFonts w:ascii="仿宋_GB2312" w:hAnsi="仿宋_GB2312" w:cs="仿宋_GB2312" w:eastAsia="仿宋_GB2312"/>
                <w:sz w:val="32"/>
                <w:b/>
              </w:rPr>
              <w:t>四、工期与质量</w:t>
            </w:r>
          </w:p>
          <w:p>
            <w:pPr>
              <w:pStyle w:val="null3"/>
              <w:ind w:firstLine="640"/>
            </w:pPr>
            <w:r>
              <w:rPr>
                <w:rFonts w:ascii="仿宋_GB2312" w:hAnsi="仿宋_GB2312" w:cs="仿宋_GB2312" w:eastAsia="仿宋_GB2312"/>
                <w:sz w:val="32"/>
              </w:rPr>
              <w:t>工期：</w:t>
            </w:r>
            <w:r>
              <w:rPr>
                <w:rFonts w:ascii="仿宋_GB2312" w:hAnsi="仿宋_GB2312" w:cs="仿宋_GB2312" w:eastAsia="仿宋_GB2312"/>
                <w:sz w:val="32"/>
              </w:rPr>
              <w:t>15日历天</w:t>
            </w:r>
          </w:p>
          <w:p>
            <w:pPr>
              <w:pStyle w:val="null3"/>
              <w:ind w:firstLine="640"/>
            </w:pPr>
            <w:r>
              <w:rPr>
                <w:rFonts w:ascii="仿宋_GB2312" w:hAnsi="仿宋_GB2312" w:cs="仿宋_GB2312" w:eastAsia="仿宋_GB2312"/>
                <w:sz w:val="32"/>
              </w:rPr>
              <w:t>质量：合格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严格遵照国家及现行行业技术规范标准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严格按照国家及行业相关技术标准开展各项技术服务工作，提供全程现场技术指导、问题处置、资料编制整理、验收配合及后期技术咨询服务，全力保障项目建设质量与施工进度，圆满完成全部技术服务相关工作。</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内容须与电子交易平台上传文件内容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 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法定代表人或授权代理人身份证明</w:t>
            </w:r>
          </w:p>
        </w:tc>
        <w:tc>
          <w:tcPr>
            <w:tcW w:type="dxa" w:w="3322"/>
          </w:tcPr>
          <w:p>
            <w:pPr>
              <w:pStyle w:val="null3"/>
            </w:pPr>
            <w:r>
              <w:rPr>
                <w:rFonts w:ascii="仿宋_GB2312" w:hAnsi="仿宋_GB2312" w:cs="仿宋_GB2312" w:eastAsia="仿宋_GB2312"/>
              </w:rPr>
              <w:t>供应商应授权合法的人员参加磋商活动，非法定代表人参加磋商的，须提供法定代表人身份证明及被授权人授权书(附法定代表人及被授权人身份证复印件);法定代表人直接参加磋商的，须提供法定代表人身份证明(附法定代表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核发的建筑工程或市政公用工程施工总承包三级及以上资质等级，并具有有效的安全生产许可证；供应商基本信息及项目负责人（项目经理）的基本信息应在“陕西省住房和城乡建设厅”或“全国建筑市场监管公共服务平台（四库一平台）”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拟派项目经理资格要求</w:t>
            </w:r>
          </w:p>
        </w:tc>
        <w:tc>
          <w:tcPr>
            <w:tcW w:type="dxa" w:w="3322"/>
          </w:tcPr>
          <w:p>
            <w:pPr>
              <w:pStyle w:val="null3"/>
            </w:pPr>
            <w:r>
              <w:rPr>
                <w:rFonts w:ascii="仿宋_GB2312" w:hAnsi="仿宋_GB2312" w:cs="仿宋_GB2312" w:eastAsia="仿宋_GB2312"/>
              </w:rPr>
              <w:t>拟派项目经理须具备建筑工程或市政公用工程专业注册建造师二级（含二级）以上执业资格，具有安全生产考核合格B证，在本单位注册且无在建工程和不良记录。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联合体与分包</w:t>
            </w:r>
          </w:p>
        </w:tc>
        <w:tc>
          <w:tcPr>
            <w:tcW w:type="dxa" w:w="3322"/>
          </w:tcPr>
          <w:p>
            <w:pPr>
              <w:pStyle w:val="null3"/>
            </w:pPr>
            <w:r>
              <w:rPr>
                <w:rFonts w:ascii="仿宋_GB2312" w:hAnsi="仿宋_GB2312" w:cs="仿宋_GB2312" w:eastAsia="仿宋_GB2312"/>
              </w:rPr>
              <w:t>本采购项目不接受联合体响应，不允许分包，供应商应提供《非联合体和不分包声明》，视为独立响应和不分包。</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只能有一个有效报价，不得提交选择性报价，且报价没有超出采购预算或磋商文件规定的最高限价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技术服务合同条款及其他商务要求应答表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提供磋商保证金缴纳凭证.docx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⼀、评审内容： 供应商针对本项⽬编制完善的施⼯部署,内容包含但不限于：①施⼯⽬标（量化质量、⼯期要求等）；②施⼯准备（⼈员、设备、材料配置等）；③施⼯平⾯布置与安排。 ⼆、评审标准： 1.完整性：⽅案须全⾯,对评审内容中的各项要求均有详细描述及说明； 2.可实施性：切合本项目实际情况，实施步骤清晰、合理，可实施性强； 3.针对性：方案能够紧扣项目实际情况，内容科学合理，针对性强。 三、赋分标准(满分6分)：评审内容共三项，方案内容全面详细、步骤清晰合理、贴合本项目实际、全部满足采购要求得6分。每缺失一项内容扣2分，每项内容存在1处缺陷，扣0.2分，扣完即止。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分部分项⼯程施⼯⽅案</w:t>
            </w:r>
          </w:p>
        </w:tc>
        <w:tc>
          <w:tcPr>
            <w:tcW w:type="dxa" w:w="2492"/>
          </w:tcPr>
          <w:p>
            <w:pPr>
              <w:pStyle w:val="null3"/>
            </w:pPr>
            <w:r>
              <w:rPr>
                <w:rFonts w:ascii="仿宋_GB2312" w:hAnsi="仿宋_GB2312" w:cs="仿宋_GB2312" w:eastAsia="仿宋_GB2312"/>
              </w:rPr>
              <w:t>一、评审内容：供应商针对本项目编制完善的分部分项工程施工方案，内容包含但不限于：①工程重难点及解决措施；②分部分项工程施工方法；③施工质量通病防治措施。 二、评审标准： 1.完整性：⽅案须全⾯,对评审内容中的各项要求均有详细描述及说明； 2.可实施性：切合本项目实际情况，实施步骤清晰、合理，可实施性强； 3.针对性：方案能够紧扣项目实际情况，内容科学合理，针对性强。 三、赋分标准（满分6分）：评审内容共三项，方案内容全面详细、步骤清晰合理、贴合本项目实际、全部满足采购要求得6分。每缺失一项内容扣2分，每项内容存在1处缺陷，扣0.2分，扣完即止。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分部分项工程施工方案.docx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 ；③工期保证措施。 二、评审标准： 1.完整性：⽅案须全⾯,对评审内容中的各项要求均有详细描述及说明； 2.可实施性：切合本项目实际情况，实施步骤清晰、合理，可实施性强； 3.针对性：方案能够紧扣项目实际情况，内容科学合理，针对性强。 三、赋分标准（满分6分）：评审内容共三项，方案内容全面详细、步骤清晰合理、贴合本项目实际、全部满足采购要求得6分。每缺失一项内容扣2分，每项内容存在1处缺陷，扣0.2分，扣完即止。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施工进度计划.docx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1.完整性：⽅案须全⾯,对评审内容中的各项要求均有详细描述及说明； 2.可实施性：切合本项目实际情况，实施步骤清晰、合理，可实施性强； 3.针对性：方案能够紧扣项目实际情况，内容科学合理，针对性强。 三、赋分标准（满分4.5分）：评审内容共三项，方案内容全面详细、步骤清晰合理、贴合本项目实际、全部满足采购要求得4.5分。每缺失一项内容扣1.5分，每项内容存在1处缺陷，扣0.2分，扣完即止。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1.完整性：⽅案须全⾯,对评审内容中的各项要求均有详细描述及说明； 2.可实施性：切合本项目实际情况，实施步骤清晰、合理，可实施性强； 3.针对性：方案能够紧扣项目实际情况，内容科学合理，针对性强。 三、赋分标准（满分4.5分）：评审内容共三项，方案内容全面详细、步骤清晰合理、贴合本项目实际、全部满足采购要求得4.5分。每缺失一项内容扣1.5分，每项内容存在1处缺陷，扣0.2分，扣完即止。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资源配置计划.docx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④安全生产教育。 二、评审标准： 1.完整性：⽅案须全⾯,对评审内容中的各项要求均有详细描述及说明； 2.可实施性：切合本项目实际情况，实施步骤清晰、合理，可实施性强； 3.针对性：方案能够紧扣项目实际情况，内容科学合理，针对性强。 三、赋分标准（满分6分）：评审内容共四项，方案内容全面详细、步骤清晰合理、贴合本项目实际、全部满足采购要求得6分。每缺失一项内容扣1.5分，每项内容存在1处缺陷，扣0.2分，扣完即止。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安全施工措施.docx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 ②文明施工现场管理：材料管理、防扰民措施。 二、评审标准： 1.完整性：⽅案须全⾯,对评审内容中的各项要求均有详细描述及说明； 2.可实施性：切合本项目实际情况，实施步骤清晰、合理，可实施性强； 3.针对性：方案能够紧扣项目实际情况，内容科学合理，针对性强。 三、赋分标准（满分4分）：评审内容共两项，方案内容全面详细、步骤清晰合理、贴合本项目实际、全部满足采购要求得4分。每缺失一项内容扣2分，每项内容存在1处缺陷，扣0.2分，扣完即止。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文明施工措施.docx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一、评审内容：结合本项目的实际，供应商应依据国家相关规定对工程质量编制保修方案，内容包含但不限于：①维修措施；②保修责任；③保修承诺。 二、评审标准： 1.完整性：内容必须全面，对评审内容中的各项要求有详细描述； 2.落实性：切合项目具体情况，提出责任明确、要求具体的方案； 3.针对性：内容能够紧扣项目实际情况，内容科学合理。 三、赋分标准（满分3分）：评审内容共三项，方案内容全面详细、步骤清晰合理、贴合本项目实际、全部满足采购要求得3分。每缺失一项内容扣1分，每项内容存在1处缺陷，扣0.2分，扣完即止。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保修方案.docx</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一、评审内容：针对项目施工期间恶劣天气、自然灾害、公共活动等突发状况，评审供应商应急方案的针对性、可操作性与快速响应能力,保障施工平稳有序实施。 二、评审标准：1.未提供任何应急保障方案及处置措施，本项不得分。2.仅简单说明会制定应急预案，未分类梳理突发事件，无具体处置流程、无应急物资配置说明，得1分。3.区分恶劣天气、自然灾害、公共活动三类突发事件编制对应处置内容,明确处置措施、响应流程及现场责任人，但缺少完整应急物资清单,得2分。4.分三类事件编制完整专项应急方案，细化各类突发情况处置手段、分级响应流程，附全套应急物资清单，清晰落实各岗位责任人，得3分。5.达到3分全部要求，同时明确24小时应急联络值守机制、完善突发事件逐级上报流程,配套停工复产、现场人员疏散防护细则，方案贴合施工场景，内容详实落地性强，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针对突发事件应急保证措施.docx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供应商提供2023年1月1日至今(以成交（中标）通知书或合同签订时间为准)完成的类似业绩证明，每提供一份得2.5分，最高得5分； 注：业绩须是供应商完成的类似（建筑或市政类）项目，提供中标通知书和施工合同/协议书（社会投资项目提供合同协议书）复印件并加盖单位公章，否则视为无效业绩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类似业绩情况表.docx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评审内容：供应商针对本项目编制完善的项目经理部组织机构，拟派人员配备有相关专业的技术管理人员（应包括①项目经理、②技术负责人、③安全管理人员、④质量管理人员、⑤施工员、⑥材料员、⑦资料员） 二、评审标准：提供项目成员配置清单及架构，具有相关证书证件复印件或扫描件并加盖公章。 三、赋分标准：①项目经理（5分）：具有工程类相关专业中级及以上技术职称得3分，其余不得分；担任过3年以上项目经理执业经历得2分，其他不得分（注：执业经历以建造师首次注册时间算起）； ②技术负责人（5分）：具有工程类相关专业中级及以上职称得3分；具有3年以上相关岗位任职资格得2分（任职资格以职称证发证时间为准），不满足不得分； ③安全管理人员（专职安全生产管理人员）（1分）：实行岗位责任制且专业配套、岗位明确、持证上岗者得1分；人员未持证者得0分，本项不得负分。 ④质量管理人员（1分）：岗位明确、持证上岗者得1分；人员未持证者得0分，本项不得负分。 ⑤施工员（1分）：岗位明确、持证上岗者得1分；人员未持证者得0分，本项不得负分。 ⑥材料员（1分）：岗位明确、持证上岗者得1分；人员未持证者得0分，本项不得负分。 ⑦资料员（1分）：岗位明确、持证上岗者得1分；人员未持证者得0分，本项不得负分。 四、证书要求：项目经理须提供职称证及建造师注册证；技术负责人须提供职称证；专职安全员持C类安全考核证；质量员、施工员、材料员、资料员持对应岗位证。所有证书均提供原件复印件或扫描件，并加盖供应商公章。 五、未提供者不得分。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拟派项目团队人员配置表.docx</w:t>
            </w:r>
          </w:p>
          <w:p>
            <w:pPr>
              <w:pStyle w:val="null3"/>
            </w:pPr>
            <w:r>
              <w:rPr>
                <w:rFonts w:ascii="仿宋_GB2312" w:hAnsi="仿宋_GB2312" w:cs="仿宋_GB2312" w:eastAsia="仿宋_GB2312"/>
              </w:rPr>
              <w:t>项目经理部组织机构.docx</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1.扬尘及建筑垃圾处置保障承诺(2分）供应商完整承诺：（1）施工全程密闭防尘（2）垃圾日产日清（3）分类堆放（4）合规清运(5）明确扬尘管控责任人，全部内容齐全得2分；提供扬尘及建筑垃圾处置保障承诺，但缺少以上承诺任意一项承诺扣0.4分未提扬尘及建筑垃圾处置保障承诺不得分。 2.施工现场安全履约保障承诺（2分）供应商完整承诺：（1）施工围挡封闭（2）临时用电规范（3）动火消防防护（4）近3年无一般及以上安全事故承诺，全部内容齐全得2分；提供施工现场安全履约保障承诺，但缺少以上承诺任意一项承诺扣0.5分未提供施工现场安全履约保障承诺不得分。 3.拟投入的材料应符合国家及相关行业规范、标准的承诺（2分）提供拟投入的材料应符合国家及相关行业规范、标准的承诺得2分，未提供不得分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经资格审查、符合性审查合格的响应⽂件，其投标报价为有效投标报价； 1.上限为采购预算价，即报价⼤于上限价视为⽆效标； 2.以满⾜本次磋商⽂件要求的最低报价为评审基准价，其价格为满分； 3.不享有政策优惠条件的投标投标⼈报价得分=（评审基准价/报价）×30。 4.本项⽬为专⻔⾯向中⼩企业项⽬，专⻔⾯向中⼩企业采购的项⽬，不再执⾏价格评审优惠的扶持政策。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详见附件：安全施工措施.docx</w:t>
      </w:r>
    </w:p>
    <w:p>
      <w:pPr>
        <w:pStyle w:val="null3"/>
        <w:ind w:firstLine="960"/>
      </w:pPr>
      <w:r>
        <w:rPr>
          <w:rFonts w:ascii="仿宋_GB2312" w:hAnsi="仿宋_GB2312" w:cs="仿宋_GB2312" w:eastAsia="仿宋_GB2312"/>
        </w:rPr>
        <w:t>详见附件：保修方案.docx</w:t>
      </w:r>
    </w:p>
    <w:p>
      <w:pPr>
        <w:pStyle w:val="null3"/>
        <w:ind w:firstLine="960"/>
      </w:pPr>
      <w:r>
        <w:rPr>
          <w:rFonts w:ascii="仿宋_GB2312" w:hAnsi="仿宋_GB2312" w:cs="仿宋_GB2312" w:eastAsia="仿宋_GB2312"/>
        </w:rPr>
        <w:t>详见附件：分部分项工程施工方案.docx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详见附件：类似业绩情况表.docx</w:t>
      </w:r>
    </w:p>
    <w:p>
      <w:pPr>
        <w:pStyle w:val="null3"/>
        <w:ind w:firstLine="960"/>
      </w:pPr>
      <w:r>
        <w:rPr>
          <w:rFonts w:ascii="仿宋_GB2312" w:hAnsi="仿宋_GB2312" w:cs="仿宋_GB2312" w:eastAsia="仿宋_GB2312"/>
        </w:rPr>
        <w:t>详见附件：拟派项目团队人员配置表.docx</w:t>
      </w:r>
    </w:p>
    <w:p>
      <w:pPr>
        <w:pStyle w:val="null3"/>
        <w:ind w:firstLine="960"/>
      </w:pPr>
      <w:r>
        <w:rPr>
          <w:rFonts w:ascii="仿宋_GB2312" w:hAnsi="仿宋_GB2312" w:cs="仿宋_GB2312" w:eastAsia="仿宋_GB2312"/>
        </w:rPr>
        <w:t>详见附件：施工承诺.docx</w:t>
      </w:r>
    </w:p>
    <w:p>
      <w:pPr>
        <w:pStyle w:val="null3"/>
        <w:ind w:firstLine="960"/>
      </w:pPr>
      <w:r>
        <w:rPr>
          <w:rFonts w:ascii="仿宋_GB2312" w:hAnsi="仿宋_GB2312" w:cs="仿宋_GB2312" w:eastAsia="仿宋_GB2312"/>
        </w:rPr>
        <w:t>详见附件：施工进度计划.docx</w:t>
      </w:r>
    </w:p>
    <w:p>
      <w:pPr>
        <w:pStyle w:val="null3"/>
        <w:ind w:firstLine="960"/>
      </w:pPr>
      <w:r>
        <w:rPr>
          <w:rFonts w:ascii="仿宋_GB2312" w:hAnsi="仿宋_GB2312" w:cs="仿宋_GB2312" w:eastAsia="仿宋_GB2312"/>
        </w:rPr>
        <w:t>详见附件：提供磋商保证金缴纳凭证.docx</w:t>
      </w:r>
    </w:p>
    <w:p>
      <w:pPr>
        <w:pStyle w:val="null3"/>
        <w:ind w:firstLine="960"/>
      </w:pPr>
      <w:r>
        <w:rPr>
          <w:rFonts w:ascii="仿宋_GB2312" w:hAnsi="仿宋_GB2312" w:cs="仿宋_GB2312" w:eastAsia="仿宋_GB2312"/>
        </w:rPr>
        <w:t>详见附件：文明施工措施.docx</w:t>
      </w:r>
    </w:p>
    <w:p>
      <w:pPr>
        <w:pStyle w:val="null3"/>
        <w:ind w:firstLine="960"/>
      </w:pPr>
      <w:r>
        <w:rPr>
          <w:rFonts w:ascii="仿宋_GB2312" w:hAnsi="仿宋_GB2312" w:cs="仿宋_GB2312" w:eastAsia="仿宋_GB2312"/>
        </w:rPr>
        <w:t>详见附件：项目经理部组织机构.docx</w:t>
      </w:r>
    </w:p>
    <w:p>
      <w:pPr>
        <w:pStyle w:val="null3"/>
        <w:ind w:firstLine="960"/>
      </w:pPr>
      <w:r>
        <w:rPr>
          <w:rFonts w:ascii="仿宋_GB2312" w:hAnsi="仿宋_GB2312" w:cs="仿宋_GB2312" w:eastAsia="仿宋_GB2312"/>
        </w:rPr>
        <w:t>详见附件：针对突发事件应急保证措施.docx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详见附件：资源配置计划.docx</w:t>
      </w:r>
    </w:p>
    <w:p>
      <w:pPr>
        <w:pStyle w:val="null3"/>
        <w:ind w:firstLine="960"/>
      </w:pPr>
      <w:r>
        <w:rPr>
          <w:rFonts w:ascii="仿宋_GB2312" w:hAnsi="仿宋_GB2312" w:cs="仿宋_GB2312" w:eastAsia="仿宋_GB2312"/>
        </w:rPr>
        <w:t>详见附件：总体施工方案.docx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