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版本号：SXZBXA2026-1620260615002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智慧化血站项目设计服务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SXZBXA2026-16</w:t>
      </w:r>
      <w:r>
        <w:br/>
      </w:r>
      <w:r>
        <w:br/>
      </w:r>
      <w:r>
        <w:br/>
      </w:r>
    </w:p>
    <w:p>
      <w:pPr>
        <w:pStyle w:val="null3"/>
        <w:jc w:val="center"/>
        <w:outlineLvl w:val="2"/>
      </w:pPr>
      <w:r>
        <w:rPr>
          <w:rFonts w:ascii="仿宋_GB2312" w:hAnsi="仿宋_GB2312" w:cs="仿宋_GB2312" w:eastAsia="仿宋_GB2312"/>
          <w:sz w:val="28"/>
          <w:b/>
        </w:rPr>
        <w:t>西安市中心血站</w:t>
      </w:r>
    </w:p>
    <w:p>
      <w:pPr>
        <w:pStyle w:val="null3"/>
        <w:jc w:val="center"/>
        <w:outlineLvl w:val="2"/>
      </w:pPr>
      <w:r>
        <w:rPr>
          <w:rFonts w:ascii="仿宋_GB2312" w:hAnsi="仿宋_GB2312" w:cs="仿宋_GB2312" w:eastAsia="仿宋_GB2312"/>
          <w:sz w:val="28"/>
          <w:b/>
        </w:rPr>
        <w:t>陕西盛鑫药械招标有限公司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陕西盛鑫药械招标有限公司</w:t>
      </w:r>
      <w:r>
        <w:rPr>
          <w:rFonts w:ascii="仿宋_GB2312" w:hAnsi="仿宋_GB2312" w:cs="仿宋_GB2312" w:eastAsia="仿宋_GB2312"/>
        </w:rPr>
        <w:t>（以下简称“代理机构”）受</w:t>
      </w:r>
      <w:r>
        <w:rPr>
          <w:rFonts w:ascii="仿宋_GB2312" w:hAnsi="仿宋_GB2312" w:cs="仿宋_GB2312" w:eastAsia="仿宋_GB2312"/>
        </w:rPr>
        <w:t>西安市中心血站</w:t>
      </w:r>
      <w:r>
        <w:rPr>
          <w:rFonts w:ascii="仿宋_GB2312" w:hAnsi="仿宋_GB2312" w:cs="仿宋_GB2312" w:eastAsia="仿宋_GB2312"/>
        </w:rPr>
        <w:t>委托，拟对</w:t>
      </w:r>
      <w:r>
        <w:rPr>
          <w:rFonts w:ascii="仿宋_GB2312" w:hAnsi="仿宋_GB2312" w:cs="仿宋_GB2312" w:eastAsia="仿宋_GB2312"/>
        </w:rPr>
        <w:t>智慧化血站项目设计服务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SXZBXA2026-16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智慧化血站项目设计服务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全面推进西安市中心血站建设，优化采供血服务资源配置，构建优质高效的血站服务体系，维护人民群众生命健康权益，根据《中华人民共和国献血法》、《血站管理办法》和《国务院办公厅关于促进“互联网+医疗健康”发展的意见》等要求，提升西安市中心血站血液管理全流程的效率与精准度，实现血液采集、检测、储存和运输环节的效率与质量。同时保障临床用血供应的及时性和合理性，依据大数据分析预测血液需求，科学调配资源，让每一袋血液都能在最佳状态下为患者带去生机，有力推动医疗救治事业的高质量发展。 注：供应商应仔细阅读招标文件相关内容，确保顺利参与本次电子化采购活动。中标供应商在领取中标通知书时提供纸质版投标文件一正两副。纸质版文件须用电子版文件直接打印，与电子版文件内容一致，不允许补充和修改，正本应逐页加盖投标供应商鲜章，副本可采用正本的复印件，正副本分别单独胶装。纸质版文件与电子投标文件不一致由此造成的一切责任及后果由供应商自行承担。</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1、有效的主体资格证明：提供合法有效的统一社会信用代码营业执照（事业单位提供事业单位法人证书，自然人应提供身份证）。</w:t>
      </w:r>
    </w:p>
    <w:p>
      <w:pPr>
        <w:pStyle w:val="null3"/>
      </w:pPr>
      <w:r>
        <w:rPr>
          <w:rFonts w:ascii="仿宋_GB2312" w:hAnsi="仿宋_GB2312" w:cs="仿宋_GB2312" w:eastAsia="仿宋_GB2312"/>
        </w:rPr>
        <w:t>2、法定代表人委托授权书\身份证明：非法定代表人参加投标的，须提供法定代表人委托授权书及被授权人身份证，法定代表人参加投标时,需提供法定代表人身份证。</w:t>
      </w:r>
    </w:p>
    <w:p>
      <w:pPr>
        <w:pStyle w:val="null3"/>
      </w:pPr>
      <w:r>
        <w:rPr>
          <w:rFonts w:ascii="仿宋_GB2312" w:hAnsi="仿宋_GB2312" w:cs="仿宋_GB2312" w:eastAsia="仿宋_GB2312"/>
        </w:rPr>
        <w:t>3、社保资金缴纳证明：提供2025年6月1日以来至少一个月的社会保障资金缴存单据或社保机构开具的社会保险参保缴费情况证明。依法不需要缴纳社会保障资金的供应商应提供相关文件证明。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2025年6月1日以来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5、专业资质：供应商须同时具备工程设计电子通信广电行业（通信工程）乙级或电子通信广电行业（有线通信、无线通信）乙级及以上资质证书 、工程勘察专业类（工程测量）乙级及以上资质证书，提供资质证书复印件并加盖公章。</w:t>
      </w:r>
    </w:p>
    <w:p>
      <w:pPr>
        <w:pStyle w:val="null3"/>
      </w:pPr>
      <w:r>
        <w:rPr>
          <w:rFonts w:ascii="仿宋_GB2312" w:hAnsi="仿宋_GB2312" w:cs="仿宋_GB2312" w:eastAsia="仿宋_GB2312"/>
        </w:rPr>
        <w:t>6、履约能力声明：具有履行合同所必需的设备和专业技术能力的书面声明。</w:t>
      </w:r>
    </w:p>
    <w:p>
      <w:pPr>
        <w:pStyle w:val="null3"/>
      </w:pPr>
      <w:r>
        <w:rPr>
          <w:rFonts w:ascii="仿宋_GB2312" w:hAnsi="仿宋_GB2312" w:cs="仿宋_GB2312" w:eastAsia="仿宋_GB2312"/>
        </w:rPr>
        <w:t>7、无重大违法记录声明：参加本次政府采购活动前3年内在经营活动中没有重大违法记录的书面声明。</w:t>
      </w:r>
    </w:p>
    <w:p>
      <w:pPr>
        <w:pStyle w:val="null3"/>
      </w:pPr>
      <w:r>
        <w:rPr>
          <w:rFonts w:ascii="仿宋_GB2312" w:hAnsi="仿宋_GB2312" w:cs="仿宋_GB2312" w:eastAsia="仿宋_GB2312"/>
        </w:rPr>
        <w:t>8、非失信供应商：投标单位未被列入“信用中国”网站记录的“严重失信主体”或“重大税收违法失信主体”名单；不处于“中国政府采购网”记录的“政府采购严重违法失信行为信息记录名单”中被财政部门禁止参加政府采购活动的供应商。提供声明函并以开标现场网站查询结果为准。</w:t>
      </w:r>
    </w:p>
    <w:p>
      <w:pPr>
        <w:pStyle w:val="null3"/>
      </w:pPr>
      <w:r>
        <w:rPr>
          <w:rFonts w:ascii="仿宋_GB2312" w:hAnsi="仿宋_GB2312" w:cs="仿宋_GB2312" w:eastAsia="仿宋_GB2312"/>
        </w:rPr>
        <w:t>9、与采购单位无关联关系承诺函：拒绝西安市中心血站本单位职工及其近亲属开办、投资的企业或其它实体参与本项目采购活动（提供承诺函）。</w:t>
      </w:r>
    </w:p>
    <w:p>
      <w:pPr>
        <w:pStyle w:val="null3"/>
      </w:pPr>
      <w:r>
        <w:rPr>
          <w:rFonts w:ascii="仿宋_GB2312" w:hAnsi="仿宋_GB2312" w:cs="仿宋_GB2312" w:eastAsia="仿宋_GB2312"/>
        </w:rPr>
        <w:t>10、非联合体投标声明：提供非联合体投标声明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朱雀大街407号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西安市中心血站经办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13819191911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陕西盛鑫药械招标有限公司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西安市雁塔区南二环西段88号老三届世纪星大厦28层K座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029-81873383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代理服务费收费标准：按国家发展计划委员会颁发的[2002]1980号文《招标代理服务收费管理暂行办法》的有关规定下浮10%执行。（代理服务费交费账户同保证金缴纳账户）</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西安市中心血站</w:t>
      </w:r>
      <w:r>
        <w:rPr>
          <w:rFonts w:ascii="仿宋_GB2312" w:hAnsi="仿宋_GB2312" w:cs="仿宋_GB2312" w:eastAsia="仿宋_GB2312"/>
        </w:rPr>
        <w:t>和</w:t>
      </w:r>
      <w:r>
        <w:rPr>
          <w:rFonts w:ascii="仿宋_GB2312" w:hAnsi="仿宋_GB2312" w:cs="仿宋_GB2312" w:eastAsia="仿宋_GB2312"/>
        </w:rPr>
        <w:t>陕西盛鑫药械招标有限公司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西安市中心血站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陕西盛鑫药械招标有限公司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陕西盛鑫药械招标有限公司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陕西盛鑫药械招标有限公司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陕西盛鑫药械招标有限公司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陕西盛鑫药械招标有限公司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联系人：李老师</w:t>
      </w:r>
    </w:p>
    <w:p>
      <w:pPr>
        <w:pStyle w:val="null3"/>
      </w:pPr>
      <w:r>
        <w:rPr>
          <w:rFonts w:ascii="仿宋_GB2312" w:hAnsi="仿宋_GB2312" w:cs="仿宋_GB2312" w:eastAsia="仿宋_GB2312"/>
        </w:rPr>
        <w:t>联系电话：029-81873383</w:t>
      </w:r>
    </w:p>
    <w:p>
      <w:pPr>
        <w:pStyle w:val="null3"/>
      </w:pPr>
      <w:r>
        <w:rPr>
          <w:rFonts w:ascii="仿宋_GB2312" w:hAnsi="仿宋_GB2312" w:cs="仿宋_GB2312" w:eastAsia="仿宋_GB2312"/>
        </w:rPr>
        <w:t>地址：西安市雁塔区南二环西段88号老三届世纪星大厦28层K座</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全面推进西安市中心血站建设，优化采供血服务资源配置，构建优质高效的血站服务体系，维护人民群众生命健康权益，根据《中华人民共和国献血法》、《血站管理办法》和《国务院办公厅关于促进“互联网+医疗健康”发展的意见》等要求，提升西安市中心血站血液管理全流程的效率与精准度，实现血液采集、检测、储存和运输环节的效率与质量。同时保障临床用血供应的及时性和合理性，依据大数据分析预测血液需求，科学调配资源，让每一袋血液都能在最佳状态下为患者带去生机，有力推动医疗救治事业的高质量发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智慧化血站项目设计服务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标的名称：智慧化血站项目设计服务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color w:val="0000FF"/>
              </w:rPr>
              <w:t>服务内容（包括工作区域、工作内容等）</w:t>
            </w:r>
          </w:p>
          <w:p>
            <w:pPr>
              <w:pStyle w:val="null3"/>
              <w:ind w:firstLine="400"/>
              <w:jc w:val="both"/>
            </w:pPr>
            <w:r>
              <w:rPr>
                <w:rFonts w:ascii="仿宋_GB2312" w:hAnsi="仿宋_GB2312" w:cs="仿宋_GB2312" w:eastAsia="仿宋_GB2312"/>
                <w:sz w:val="20"/>
                <w:color w:val="0000FF"/>
              </w:rPr>
              <w:t>本项目是针对血站业务及管理系统设计一套血站智慧化方案，涵盖智慧献血服务、血液管理、用血服务及管理流程等各个环节，以提升献血者体验、保障血液质量安全、优化用血服务流程、提高管理效率为目标。设计内容需依托陕西省信创云平台，完成血站原有业务的国产化适配、迁移、改造；根据用户需求和业务发展需要，项目内容包括但不仅限于：</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00"/>
              <w:jc w:val="both"/>
            </w:pPr>
            <w:r>
              <w:rPr>
                <w:rFonts w:ascii="仿宋_GB2312" w:hAnsi="仿宋_GB2312" w:cs="仿宋_GB2312" w:eastAsia="仿宋_GB2312"/>
                <w:sz w:val="20"/>
                <w:color w:val="0000FF"/>
              </w:rPr>
              <w:t>1、智慧血站一体化平台建设</w:t>
            </w:r>
          </w:p>
          <w:p>
            <w:pPr>
              <w:pStyle w:val="null3"/>
              <w:ind w:firstLine="400"/>
              <w:jc w:val="both"/>
            </w:pPr>
            <w:r>
              <w:rPr>
                <w:rFonts w:ascii="仿宋_GB2312" w:hAnsi="仿宋_GB2312" w:cs="仿宋_GB2312" w:eastAsia="仿宋_GB2312"/>
                <w:sz w:val="20"/>
                <w:color w:val="0000FF"/>
              </w:rPr>
              <w:t>围绕血站采供血全流程智慧化升级，构建四大核心模块。</w:t>
            </w:r>
          </w:p>
          <w:p>
            <w:pPr>
              <w:pStyle w:val="null3"/>
              <w:ind w:firstLine="400"/>
              <w:jc w:val="both"/>
            </w:pPr>
            <w:r>
              <w:rPr>
                <w:rFonts w:ascii="仿宋_GB2312" w:hAnsi="仿宋_GB2312" w:cs="仿宋_GB2312" w:eastAsia="仿宋_GB2312"/>
                <w:sz w:val="20"/>
                <w:color w:val="0000FF"/>
              </w:rPr>
              <w:t>1.1智慧献血屋模块：</w:t>
            </w:r>
          </w:p>
          <w:p>
            <w:pPr>
              <w:pStyle w:val="null3"/>
              <w:ind w:firstLine="400"/>
              <w:jc w:val="both"/>
            </w:pPr>
            <w:r>
              <w:rPr>
                <w:rFonts w:ascii="仿宋_GB2312" w:hAnsi="仿宋_GB2312" w:cs="仿宋_GB2312" w:eastAsia="仿宋_GB2312"/>
                <w:sz w:val="20"/>
                <w:color w:val="0000FF"/>
              </w:rPr>
              <w:t>聚焦数字化献血支撑，通过人脸识别认证体系实现身份精准核验与档案建立，以无纸化档案管理整合全量献血数据，配置自助登记终端、手机登记通道等核心硬件，搭配定制化软硬件开发、有线</w:t>
            </w:r>
            <w:r>
              <w:rPr>
                <w:rFonts w:ascii="仿宋_GB2312" w:hAnsi="仿宋_GB2312" w:cs="仿宋_GB2312" w:eastAsia="仿宋_GB2312"/>
                <w:sz w:val="20"/>
                <w:color w:val="0000FF"/>
              </w:rPr>
              <w:t>+无线冗余网络搭建及标准化接口开发，保障献血流程高效协同。构建可复制的示范性智慧献血屋。</w:t>
            </w:r>
          </w:p>
          <w:p>
            <w:pPr>
              <w:pStyle w:val="null3"/>
              <w:ind w:firstLine="400"/>
              <w:jc w:val="both"/>
            </w:pPr>
            <w:r>
              <w:rPr>
                <w:rFonts w:ascii="仿宋_GB2312" w:hAnsi="仿宋_GB2312" w:cs="仿宋_GB2312" w:eastAsia="仿宋_GB2312"/>
                <w:sz w:val="20"/>
                <w:color w:val="0000FF"/>
              </w:rPr>
              <w:t>1.2智慧献血服务模块:</w:t>
            </w:r>
          </w:p>
          <w:p>
            <w:pPr>
              <w:pStyle w:val="null3"/>
              <w:ind w:firstLine="400"/>
              <w:jc w:val="both"/>
            </w:pPr>
            <w:r>
              <w:rPr>
                <w:rFonts w:ascii="仿宋_GB2312" w:hAnsi="仿宋_GB2312" w:cs="仿宋_GB2312" w:eastAsia="仿宋_GB2312"/>
                <w:sz w:val="20"/>
                <w:color w:val="0000FF"/>
              </w:rPr>
              <w:t>覆盖全周期服务与业务管理，包含献血管理、精准供血与优先用血保障、全场景血费报销、智能咨询、自助档案更正、供血订单在线管理、三免卡服务优化及纪念品与交通补助升级等，全面提升献血者与患者服务体验。</w:t>
            </w:r>
          </w:p>
          <w:p>
            <w:pPr>
              <w:pStyle w:val="null3"/>
              <w:ind w:firstLine="400"/>
              <w:jc w:val="both"/>
            </w:pPr>
            <w:r>
              <w:rPr>
                <w:rFonts w:ascii="仿宋_GB2312" w:hAnsi="仿宋_GB2312" w:cs="仿宋_GB2312" w:eastAsia="仿宋_GB2312"/>
                <w:sz w:val="20"/>
                <w:color w:val="0000FF"/>
              </w:rPr>
              <w:t>1.3内部运营管理模块:</w:t>
            </w:r>
          </w:p>
          <w:p>
            <w:pPr>
              <w:pStyle w:val="null3"/>
              <w:ind w:firstLine="400"/>
              <w:jc w:val="both"/>
            </w:pPr>
            <w:r>
              <w:rPr>
                <w:rFonts w:ascii="仿宋_GB2312" w:hAnsi="仿宋_GB2312" w:cs="仿宋_GB2312" w:eastAsia="仿宋_GB2312"/>
                <w:sz w:val="20"/>
                <w:color w:val="0000FF"/>
              </w:rPr>
              <w:t>整合后勤保障（物资、设备、环境管理）与科室智能化管理（考勤、排班、绩效计算），强化血站内部运营效率。</w:t>
            </w:r>
          </w:p>
          <w:p>
            <w:pPr>
              <w:pStyle w:val="null3"/>
              <w:ind w:firstLine="400"/>
              <w:jc w:val="both"/>
            </w:pPr>
            <w:r>
              <w:rPr>
                <w:rFonts w:ascii="仿宋_GB2312" w:hAnsi="仿宋_GB2312" w:cs="仿宋_GB2312" w:eastAsia="仿宋_GB2312"/>
                <w:sz w:val="20"/>
                <w:color w:val="0000FF"/>
              </w:rPr>
              <w:t>1.4区域协同与质控模块:</w:t>
            </w:r>
          </w:p>
          <w:p>
            <w:pPr>
              <w:pStyle w:val="null3"/>
              <w:ind w:firstLine="400"/>
              <w:jc w:val="both"/>
            </w:pPr>
            <w:r>
              <w:rPr>
                <w:rFonts w:ascii="仿宋_GB2312" w:hAnsi="仿宋_GB2312" w:cs="仿宋_GB2312" w:eastAsia="仿宋_GB2312"/>
                <w:sz w:val="20"/>
                <w:color w:val="0000FF"/>
              </w:rPr>
              <w:t>通过全省血站联网实现数据共享、分析与质控，结合军地血液数据合并，提升跨区域、跨体系血液保障协同能力。</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00"/>
              <w:jc w:val="both"/>
            </w:pPr>
            <w:r>
              <w:rPr>
                <w:rFonts w:ascii="仿宋_GB2312" w:hAnsi="仿宋_GB2312" w:cs="仿宋_GB2312" w:eastAsia="仿宋_GB2312"/>
                <w:sz w:val="20"/>
                <w:color w:val="0000FF"/>
              </w:rPr>
              <w:t>2、财务内部控制信息化建设</w:t>
            </w:r>
          </w:p>
          <w:p>
            <w:pPr>
              <w:pStyle w:val="null3"/>
              <w:jc w:val="both"/>
            </w:pPr>
            <w:r>
              <w:rPr>
                <w:rFonts w:ascii="仿宋_GB2312" w:hAnsi="仿宋_GB2312" w:cs="仿宋_GB2312" w:eastAsia="仿宋_GB2312"/>
                <w:sz w:val="20"/>
                <w:color w:val="0000FF"/>
              </w:rPr>
              <w:t xml:space="preserve">    全面梳理血站财务内部控制流程，明确各项业务活动的控制环节、核心要点与具体措施。通过信息化手段将梳理后的内控流程固化，嵌入财务管理系统及相关业务系统，实现内部控制的自动化执行与实时监控，规范财务操作流程，降低财务风险，提升财务管控的精细化与智能化水平。</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00"/>
              <w:jc w:val="both"/>
            </w:pPr>
            <w:r>
              <w:rPr>
                <w:rFonts w:ascii="仿宋_GB2312" w:hAnsi="仿宋_GB2312" w:cs="仿宋_GB2312" w:eastAsia="仿宋_GB2312"/>
                <w:sz w:val="20"/>
                <w:color w:val="0000FF"/>
              </w:rPr>
              <w:t>3、数据底座建设</w:t>
            </w:r>
          </w:p>
          <w:p>
            <w:pPr>
              <w:pStyle w:val="null3"/>
              <w:ind w:firstLine="400"/>
              <w:jc w:val="both"/>
            </w:pPr>
            <w:r>
              <w:rPr>
                <w:rFonts w:ascii="仿宋_GB2312" w:hAnsi="仿宋_GB2312" w:cs="仿宋_GB2312" w:eastAsia="仿宋_GB2312"/>
                <w:sz w:val="20"/>
                <w:color w:val="0000FF"/>
              </w:rPr>
              <w:t>构建统一的数据底座支撑体系，设计标准化接口对接血站各业务系统，整合献血者信息、血液采集检测数据、库存及运输情况等多源数据。建立专业数据仓库，完成海量数据的存储、清洗与预处理，同时强化数据安全保障，通过加密存储与传输技术保护信息隐私。基于整合数据搭建采供血业务看板与可视化展示系统，为管理者实时掌握业务运行状态、快速分析数据、科学辅助决策提供数据支撑。</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00"/>
            </w:pPr>
            <w:r>
              <w:rPr>
                <w:rFonts w:ascii="仿宋_GB2312" w:hAnsi="仿宋_GB2312" w:cs="仿宋_GB2312" w:eastAsia="仿宋_GB2312"/>
                <w:sz w:val="20"/>
                <w:color w:val="0000FF"/>
              </w:rPr>
              <w:t>4、国产化适配、迁移、改造</w:t>
            </w:r>
          </w:p>
          <w:p>
            <w:pPr>
              <w:pStyle w:val="null3"/>
              <w:ind w:firstLine="400"/>
            </w:pPr>
            <w:r>
              <w:rPr>
                <w:rFonts w:ascii="仿宋_GB2312" w:hAnsi="仿宋_GB2312" w:cs="仿宋_GB2312" w:eastAsia="仿宋_GB2312"/>
                <w:sz w:val="20"/>
                <w:color w:val="0000FF"/>
              </w:rPr>
              <w:t>针对血站核心业务系统开展全面国产化适配、迁移、改造，覆盖包括但不限于献血服务、血液制备、血液放行、血液发放、物料管理、设备管理、血费管理、质量信息管理、系统运维系统、实验室管理、配型实验室管理、血小板供者库、设备数据采集管理等业务系统，实现核心软硬件的国产化，保障系统自主可控、安全稳定运行。实现新旧系统兼容，历史数据无损迁移，平滑切换不中断采供血业务。</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400"/>
              <w:jc w:val="both"/>
            </w:pPr>
            <w:r>
              <w:rPr>
                <w:rFonts w:ascii="仿宋_GB2312" w:hAnsi="仿宋_GB2312" w:cs="仿宋_GB2312" w:eastAsia="仿宋_GB2312"/>
                <w:sz w:val="20"/>
                <w:color w:val="0000FF"/>
              </w:rPr>
              <w:t>5、等保、密评</w:t>
            </w:r>
          </w:p>
          <w:p>
            <w:pPr>
              <w:pStyle w:val="null3"/>
              <w:jc w:val="both"/>
            </w:pPr>
            <w:r>
              <w:rPr>
                <w:rFonts w:ascii="仿宋_GB2312" w:hAnsi="仿宋_GB2312" w:cs="仿宋_GB2312" w:eastAsia="仿宋_GB2312"/>
                <w:sz w:val="20"/>
                <w:color w:val="0000FF"/>
              </w:rPr>
              <w:t xml:space="preserve">    针对</w:t>
            </w:r>
            <w:r>
              <w:rPr>
                <w:rFonts w:ascii="仿宋_GB2312" w:hAnsi="仿宋_GB2312" w:cs="仿宋_GB2312" w:eastAsia="仿宋_GB2312"/>
                <w:sz w:val="20"/>
                <w:color w:val="0000FF"/>
              </w:rPr>
              <w:t>本项目，设计等保测评方案、密码测评方案。</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sz w:val="20"/>
                <w:b/>
                <w:color w:val="0000FF"/>
              </w:rPr>
              <w:t>技术要求：</w:t>
            </w:r>
          </w:p>
          <w:p>
            <w:pPr>
              <w:pStyle w:val="null3"/>
              <w:ind w:firstLine="400"/>
              <w:jc w:val="both"/>
            </w:pPr>
            <w:r>
              <w:rPr>
                <w:rFonts w:ascii="仿宋_GB2312" w:hAnsi="仿宋_GB2312" w:cs="仿宋_GB2312" w:eastAsia="仿宋_GB2312"/>
                <w:sz w:val="20"/>
                <w:color w:val="0000FF"/>
              </w:rPr>
              <w:t>项目方案编制成果必须符合国家及省市现行有关规范要求，以项目建设单位提供的业务需求和有关资料按现行设计规范、标准完成本项目的方案初步设计报告编制、投资概算编制等，确保通过有关部门审查。</w:t>
            </w:r>
          </w:p>
          <w:p>
            <w:pPr>
              <w:pStyle w:val="null3"/>
              <w:ind w:firstLine="400"/>
              <w:jc w:val="both"/>
            </w:pPr>
            <w:r>
              <w:rPr>
                <w:rFonts w:ascii="仿宋_GB2312" w:hAnsi="仿宋_GB2312" w:cs="仿宋_GB2312" w:eastAsia="仿宋_GB2312"/>
                <w:sz w:val="20"/>
                <w:color w:val="0000FF"/>
              </w:rPr>
              <w:t>方案应具备系统功能完整性、技术先进性、系统可靠性、信息安全性、兼容性、可维护性，注重用户体验，能够适应未来的技术发展和业务需求变化。</w:t>
            </w:r>
          </w:p>
          <w:p>
            <w:pPr>
              <w:pStyle w:val="null3"/>
              <w:ind w:firstLine="400"/>
              <w:jc w:val="both"/>
            </w:pPr>
            <w:r>
              <w:rPr>
                <w:rFonts w:ascii="仿宋_GB2312" w:hAnsi="仿宋_GB2312" w:cs="仿宋_GB2312" w:eastAsia="仿宋_GB2312"/>
                <w:sz w:val="20"/>
                <w:color w:val="0000FF"/>
              </w:rPr>
              <w:t>设计成果应具备良好的数据安全保障措施，包括数据加密、访问权限控制、安全审计等，确保平台在重大突发事件下能够正常运行。</w:t>
            </w:r>
          </w:p>
          <w:p>
            <w:pPr>
              <w:pStyle w:val="null3"/>
              <w:jc w:val="both"/>
            </w:pPr>
            <w:r>
              <w:rPr>
                <w:rFonts w:ascii="仿宋_GB2312" w:hAnsi="仿宋_GB2312" w:cs="仿宋_GB2312" w:eastAsia="仿宋_GB2312"/>
                <w:sz w:val="20"/>
                <w:color w:val="0000FF"/>
              </w:rPr>
              <w:t>提供所有文字和图表等的纸质文件、电子版文件。保证使用方在使用该成果文件或其任何一部分时，不受第三方侵权指控。保证不向第三方泄露采购人或采购代理机构提供的技术文件等资料。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项目组至少需由以下几类成员组成： （一）专家顾问（≥2人） 职责：负责业务场景、系统架构、系统设计等关键点的制定，项目关键技术问题的论证；提供设计咨询、指导和建议。 资质：专业职称：副高及以上；专业：计算机应用及相关专业；具备丰富的国家级省级电子政务或智慧医院设计或省级电子政务公共平台顶层设计或者大型集团型企业信息化规划设计等类似项目的设计经验。 （二）项目经理（≥1人） 职责：负责整个设计全过程的所有管理职责，保证总体进度和各职能组的工作质量和进度，定期了解和检查各组的完成情况和设计质量，定期向工作小组汇报项目进展情况，与重大问题，参与协调及决策。 资质：专业职称：副高及以上或信息系统项目管理师；专业：计算机应用及相关专业；具有较强的沟通协调能力，非常专业的管理经验，有5年以上的从业经验，具备大型企业信息化复杂程度和规模项目的成功管理经历，曾经指导并监督过多个大型的系统项目规划和实施。 （三）方案编制人员（≥5人）（工程师） 职责：负责项目现状及需求调研，负责项目相关内容的设计及方案编制工作。 资质：专业职称：中级及以上；专业：计算机应用及相关专业；熟悉相关信息化规划设计领域的方案，熟悉信息系统的主流技术。</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(1)服务期:自合同签订后至方案通过专家评审并提交终稿。 (2)成果输出周期:自合同签订时间起90日历日内形成并交付成果物。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西安市中心血站</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1、合同签订后90日历日内，形成并交付成果物。 （1）、《西安市中心血站智慧化血站建设项目可行性研究报告》； （2）、《西安市中心血站智慧化血站建设项目初步设计方案》； 提交电子文本1份，纸质文档3套。 2、项目成果物通过专家评审； 3、验收依据：磋商文件及供应商提交的响应文件、采购合同，国家、省级及行业相应的标准和规范。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进度款，合同签订完成后，自收到乙方提供的符合甲方要求的发票，达到付款条件起30个工作日内，支付合同总金额的30.0%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进度款，项目成果物交付完成经甲方评审合格并配合甲方完成验收工作，自收到乙方提供的符合甲方要求的发票，达到付款条件起30个工作日内，支付合同总金额的70.0%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逾期交付成果的违约金：每逾期一日，按合同总价的千分之一（或万分之五）支付违约金。 成果不合格的违约责任：经两次修改仍无法通过专家评审的，采购人有权单方解除合同，并要求供应商退还已支付的全部款项，并支付合同总价20%-30%的违约金。 保密违约责任：明确违反保密义务的赔偿标准，例如直接损失难以计算的，按合同总价的30%支付违约金。</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1、知识产权：本项目开发完成的所有成果等知识产权归西安市中心血站所有，供应商不得擅自使用、转让或泄露给第三方。 2、保密要求：供应商需对项目涉及的血液数据、业务信息、采购方内部资料等严格保密，保密期限永久，项目结束后需交还全部资料并删除备份。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经审计完整的财务审计报告（成立时间至提交投标文件截止时间不足一年的可提供成立后任意时段的资产负债表），或其开标前六个月内基本存款账户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非法定代表人参加投标的，须提供法定代表人委托授权书及被授权人身份证，法定代表人参加投标时,需提供法定代表人身份证。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提供2025年6月1日以来至少一个月的社会保障资金缴存单据或社保机构开具的社会保险参保缴费情况证明。依法不需要缴纳社会保障资金的供应商应提供相关文件证明。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提供2025年6月1日以来任意一个月的依法缴纳税收的相关凭据（时间以税款所属日期为准），凭据应有税务机关或代收机关的公章或业务专用章。依法免税或无须缴纳税收的供应商，应提供相应证明文件。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专业资质</w:t>
            </w:r>
          </w:p>
        </w:tc>
        <w:tc>
          <w:tcPr>
            <w:tcW w:type="dxa" w:w="3322"/>
          </w:tcPr>
          <w:p>
            <w:pPr>
              <w:pStyle w:val="null3"/>
            </w:pPr>
            <w:r>
              <w:rPr>
                <w:rFonts w:ascii="仿宋_GB2312" w:hAnsi="仿宋_GB2312" w:cs="仿宋_GB2312" w:eastAsia="仿宋_GB2312"/>
              </w:rPr>
              <w:t>供应商须同时具备工程设计电子通信广电行业（通信工程）乙级或电子通信广电行业（有线通信、无线通信）乙级及以上资质证书 、工程勘察专业类（工程测量）乙级及以上资质证书，提供资质证书复印件并加盖公章。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履约能力.docx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非失信供应商</w:t>
            </w:r>
          </w:p>
        </w:tc>
        <w:tc>
          <w:tcPr>
            <w:tcW w:type="dxa" w:w="3322"/>
          </w:tcPr>
          <w:p>
            <w:pPr>
              <w:pStyle w:val="null3"/>
            </w:pPr>
            <w:r>
              <w:rPr>
                <w:rFonts w:ascii="仿宋_GB2312" w:hAnsi="仿宋_GB2312" w:cs="仿宋_GB2312" w:eastAsia="仿宋_GB2312"/>
              </w:rPr>
              <w:t>投标单位未被列入“信用中国”网站记录的“严重失信主体”或“重大税收违法失信主体”名单；不处于“中国政府采购网”记录的“政府采购严重违法失信行为信息记录名单”中被财政部门禁止参加政府采购活动的供应商。提供声明函并以开标现场网站查询结果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与采购单位无关联关系承诺函</w:t>
            </w:r>
          </w:p>
        </w:tc>
        <w:tc>
          <w:tcPr>
            <w:tcW w:type="dxa" w:w="3322"/>
          </w:tcPr>
          <w:p>
            <w:pPr>
              <w:pStyle w:val="null3"/>
            </w:pPr>
            <w:r>
              <w:rPr>
                <w:rFonts w:ascii="仿宋_GB2312" w:hAnsi="仿宋_GB2312" w:cs="仿宋_GB2312" w:eastAsia="仿宋_GB2312"/>
              </w:rPr>
              <w:t>拒绝西安市中心血站本单位职工及其近亲属开办、投资的企业或其它实体参与本项目采购活动（提供承诺函）。</w:t>
            </w:r>
          </w:p>
        </w:tc>
        <w:tc>
          <w:tcPr>
            <w:tcW w:type="dxa" w:w="1661"/>
          </w:tcPr>
          <w:p>
            <w:pPr>
              <w:pStyle w:val="null3"/>
            </w:pPr>
            <w:r>
              <w:rPr>
                <w:rFonts w:ascii="仿宋_GB2312" w:hAnsi="仿宋_GB2312" w:cs="仿宋_GB2312" w:eastAsia="仿宋_GB2312"/>
              </w:rPr>
              <w:t>关联关系与廉洁承诺书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提供非联合体投标声明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1.根据财库〔2026〕2号文件《关于推动解决政府采购异常低价问题的通知》，在磋商过程中出现下列情形之一的，磋商小组应当启动异常低价投标（响应）审查程序：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(4).磋商小组基于专业判断，认为供应商报价过低，有可能影响产品质量或者不能诚信履约的其他情形。 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投标文件至少应包含以下部分：（1）投标文件封面；（2）响应函；（3）中小企业声明函（4）报价表；（5）标的清单；（6）供应商参加政府采购活动承诺书；（7）供应商应提交的相关资格证明材料、关联关系与廉洁承诺书、履约能力；（8）服务内容及服务要求应答表；（9）商务应答表；</w:t>
            </w:r>
          </w:p>
        </w:tc>
        <w:tc>
          <w:tcPr>
            <w:tcW w:type="dxa" w:w="1661"/>
          </w:tcPr>
          <w:p>
            <w:pPr>
              <w:pStyle w:val="null3"/>
            </w:pPr>
            <w:r>
              <w:rPr>
                <w:rFonts w:ascii="仿宋_GB2312" w:hAnsi="仿宋_GB2312" w:cs="仿宋_GB2312" w:eastAsia="仿宋_GB2312"/>
              </w:rPr>
              <w:t>供应商参加政府采购活动承诺书.docx 响应文件封面 履约能力.docx 关联关系与廉洁承诺书 供应商应提交的相关资格证明材料.docx 中小企业声明函 商务应答表 服务内容及服务要求应答表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投标文件签字盖章均符合采购文件要求,且无遗漏。</w:t>
            </w:r>
          </w:p>
        </w:tc>
        <w:tc>
          <w:tcPr>
            <w:tcW w:type="dxa" w:w="1661"/>
          </w:tcPr>
          <w:p>
            <w:pPr>
              <w:pStyle w:val="null3"/>
            </w:pPr>
            <w:r>
              <w:rPr>
                <w:rFonts w:ascii="仿宋_GB2312" w:hAnsi="仿宋_GB2312" w:cs="仿宋_GB2312" w:eastAsia="仿宋_GB2312"/>
              </w:rPr>
              <w:t>关联关系与廉洁承诺书 整体设计方案.docx 重、难点分析对策措施.docx 后期服务措施.docx 中小企业声明函 商务应答表 服务内容及服务要求应答表 业绩情况一览表.docx 质量保证措施.docx 报价表 响应文件封面 进度保证措施.docx 履约能力.docx 供应商应提交的相关资格证明材料.docx 残疾人福利性单位声明函 项目组成人员.docx 服务方案 标的清单 响应函 项目管理方案.docx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投标报价及内容</w:t>
            </w:r>
          </w:p>
        </w:tc>
        <w:tc>
          <w:tcPr>
            <w:tcW w:type="dxa" w:w="3322"/>
          </w:tcPr>
          <w:p>
            <w:pPr>
              <w:pStyle w:val="null3"/>
            </w:pPr>
            <w:r>
              <w:rPr>
                <w:rFonts w:ascii="仿宋_GB2312" w:hAnsi="仿宋_GB2312" w:cs="仿宋_GB2312" w:eastAsia="仿宋_GB2312"/>
              </w:rPr>
              <w:t>同时满足以下条款： （1）投标报价符合唯一性要求； （2）开标一览表、标的清单，填写符合要求； （3）报价货币符合采购文件要求； （4）未超出采购预算或采购文件规定的最高限价；（5）不接受0元报价与赠与行为；</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服务条款应答</w:t>
            </w:r>
          </w:p>
        </w:tc>
        <w:tc>
          <w:tcPr>
            <w:tcW w:type="dxa" w:w="3322"/>
          </w:tcPr>
          <w:p>
            <w:pPr>
              <w:pStyle w:val="null3"/>
            </w:pPr>
            <w:r>
              <w:rPr>
                <w:rFonts w:ascii="仿宋_GB2312" w:hAnsi="仿宋_GB2312" w:cs="仿宋_GB2312" w:eastAsia="仿宋_GB2312"/>
              </w:rPr>
              <w:t>采购文件要求的各项服务要求条款逐条应答，无缺漏项。</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商务条款应答</w:t>
            </w:r>
          </w:p>
        </w:tc>
        <w:tc>
          <w:tcPr>
            <w:tcW w:type="dxa" w:w="3322"/>
          </w:tcPr>
          <w:p>
            <w:pPr>
              <w:pStyle w:val="null3"/>
            </w:pPr>
            <w:r>
              <w:rPr>
                <w:rFonts w:ascii="仿宋_GB2312" w:hAnsi="仿宋_GB2312" w:cs="仿宋_GB2312" w:eastAsia="仿宋_GB2312"/>
              </w:rPr>
              <w:t>商务要求全部实质性响应，无缺项/漏项/负偏离。</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 没有出现法律法规或采购文件规定的其他无效情形。</w:t>
            </w:r>
          </w:p>
        </w:tc>
        <w:tc>
          <w:tcPr>
            <w:tcW w:type="dxa" w:w="1661"/>
          </w:tcPr>
          <w:p>
            <w:pPr>
              <w:pStyle w:val="null3"/>
            </w:pPr>
            <w:r>
              <w:rPr>
                <w:rFonts w:ascii="仿宋_GB2312" w:hAnsi="仿宋_GB2312" w:cs="仿宋_GB2312" w:eastAsia="仿宋_GB2312"/>
              </w:rPr>
              <w:t>关联关系与廉洁承诺书 整体设计方案.docx 重、难点分析对策措施.docx 后期服务措施.docx 中小企业声明函 商务应答表 服务内容及服务要求应答表 业绩情况一览表.docx 质量保证措施.docx 报价表 响应文件封面 进度保证措施.docx 履约能力.docx 供应商应提交的相关资格证明材料.docx 残疾人福利性单位声明函 项目组成人员.docx 服务方案 标的清单 响应函 项目管理方案.docx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整体设计方案</w:t>
            </w:r>
          </w:p>
        </w:tc>
        <w:tc>
          <w:tcPr>
            <w:tcW w:type="dxa" w:w="2492"/>
          </w:tcPr>
          <w:p>
            <w:pPr>
              <w:pStyle w:val="null3"/>
            </w:pPr>
            <w:r>
              <w:rPr>
                <w:rFonts w:ascii="仿宋_GB2312" w:hAnsi="仿宋_GB2312" w:cs="仿宋_GB2312" w:eastAsia="仿宋_GB2312"/>
              </w:rPr>
              <w:t>供应商针对本项目需求，提供详细、清晰、科学、合理的设计方案：包含但不限于 1.可研、初步设计编制大纲； 2.设计范围、依据及目标； 3.项目现状及需求分析； 4.专项布置分析等； 5.数据安全、等保及密码方案； 6.风险评估及效益分析； 7.合理化建议 8.项目投资概算 以上内容无缺项，专门针对本项目编制，符合本项目实际情况，内容全面详细，且条理清晰、准确、合理，能够保障项目顺利实施的得 32分。每小项缺项或者内容非针对于本项目的扣4分，每小项有一项内容有缺陷的扣1分，扣完为止。 （缺陷是指：内容不完整、条理不清晰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整体设计方案.docx</w:t>
            </w:r>
          </w:p>
        </w:tc>
      </w:tr>
      <w:tr>
        <w:tc>
          <w:tcPr>
            <w:tcW w:type="dxa" w:w="831"/>
            <w:vMerge/>
          </w:tcPr>
          <w:p/>
        </w:tc>
        <w:tc>
          <w:tcPr>
            <w:tcW w:type="dxa" w:w="1661"/>
          </w:tcPr>
          <w:p>
            <w:pPr>
              <w:pStyle w:val="null3"/>
            </w:pPr>
            <w:r>
              <w:rPr>
                <w:rFonts w:ascii="仿宋_GB2312" w:hAnsi="仿宋_GB2312" w:cs="仿宋_GB2312" w:eastAsia="仿宋_GB2312"/>
              </w:rPr>
              <w:t>项目管理方案</w:t>
            </w:r>
          </w:p>
        </w:tc>
        <w:tc>
          <w:tcPr>
            <w:tcW w:type="dxa" w:w="2492"/>
          </w:tcPr>
          <w:p>
            <w:pPr>
              <w:pStyle w:val="null3"/>
            </w:pPr>
            <w:r>
              <w:rPr>
                <w:rFonts w:ascii="仿宋_GB2312" w:hAnsi="仿宋_GB2312" w:cs="仿宋_GB2312" w:eastAsia="仿宋_GB2312"/>
              </w:rPr>
              <w:t>供应商针对项目特点和执行要求制定具体的管理方案：包含但不限于 ①项目组织的工作团队； ②管理体系； ③各项管理制度； ④整体服务管控措施。 以上内容无缺项，专门针对本项目编制，符合本项目实际情况，内容全面详细，且条理清晰、准确、合理，能够保障项目顺利实施的得8分。每小项缺项或者内容非针对于本项目的扣2分，每小项有一项内容有缺陷的扣1分，扣完为止。 （缺陷是指：内容不完整、条理不清晰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供应商针对本项目的设计规范和标准、设计流程、设计阶段控制质量保证措施提供的质量保证措施，包含但不限于 ①质量保证措施； ②质量保证承诺； 以上内容无缺项，专门针对本项目编制，符合本项目实际情况，内容全面详细，且条理清晰、准确、合理，能够保障项目顺利实施的得4分。每小项缺项或者内容非针对于本项目的扣2分，每小项有一项内容有缺陷的扣1 分，扣完为止。 （缺陷是指：内容不完整、条理不清晰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供应商针对本项目提供的进度计划 保障措施：包含但不限于 ①总体进度计划及保证措施； ②重要时间节点及保证措施。 以上内容无缺项，专门针对本项目编制，符合本项目实际情况，内容全面详细，且条理清晰、准确、合理，能够保障项目顺利实施的得4分。每小项缺项或者内容非针对于本项目的扣2分，每小项有一项内容有缺陷的扣1分，扣完为止。 （缺陷是指：内容不完整、条理不清晰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进度保证措施.docx</w:t>
            </w:r>
          </w:p>
        </w:tc>
      </w:tr>
      <w:tr>
        <w:tc>
          <w:tcPr>
            <w:tcW w:type="dxa" w:w="831"/>
            <w:vMerge/>
          </w:tcPr>
          <w:p/>
        </w:tc>
        <w:tc>
          <w:tcPr>
            <w:tcW w:type="dxa" w:w="1661"/>
          </w:tcPr>
          <w:p>
            <w:pPr>
              <w:pStyle w:val="null3"/>
            </w:pPr>
            <w:r>
              <w:rPr>
                <w:rFonts w:ascii="仿宋_GB2312" w:hAnsi="仿宋_GB2312" w:cs="仿宋_GB2312" w:eastAsia="仿宋_GB2312"/>
              </w:rPr>
              <w:t>重、难点分析对策措施</w:t>
            </w:r>
          </w:p>
        </w:tc>
        <w:tc>
          <w:tcPr>
            <w:tcW w:type="dxa" w:w="2492"/>
          </w:tcPr>
          <w:p>
            <w:pPr>
              <w:pStyle w:val="null3"/>
            </w:pPr>
            <w:r>
              <w:rPr>
                <w:rFonts w:ascii="仿宋_GB2312" w:hAnsi="仿宋_GB2312" w:cs="仿宋_GB2312" w:eastAsia="仿宋_GB2312"/>
              </w:rPr>
              <w:t>供应商针对本项目重、难点分析方案：包含但不限于 ①项目重、难点分析； ②项目重、难点解决对策。 以上内容无缺项，专门针对本项目编制，符合本项目实际情况，内容全面详细，且条理清晰、准确、合理，能够保障项目顺利实施的得8分。每小项缺项或者内容非针对于本项目的扣4分，每小项有一项内容有缺陷的扣1分，扣完为止。 （缺陷是指：内容不完整、条理不清晰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重、难点分析对策措施.docx</w:t>
            </w:r>
          </w:p>
        </w:tc>
      </w:tr>
      <w:tr>
        <w:tc>
          <w:tcPr>
            <w:tcW w:type="dxa" w:w="831"/>
            <w:vMerge/>
          </w:tcPr>
          <w:p/>
        </w:tc>
        <w:tc>
          <w:tcPr>
            <w:tcW w:type="dxa" w:w="1661"/>
          </w:tcPr>
          <w:p>
            <w:pPr>
              <w:pStyle w:val="null3"/>
            </w:pPr>
            <w:r>
              <w:rPr>
                <w:rFonts w:ascii="仿宋_GB2312" w:hAnsi="仿宋_GB2312" w:cs="仿宋_GB2312" w:eastAsia="仿宋_GB2312"/>
              </w:rPr>
              <w:t>项目组成人员</w:t>
            </w:r>
          </w:p>
        </w:tc>
        <w:tc>
          <w:tcPr>
            <w:tcW w:type="dxa" w:w="2492"/>
          </w:tcPr>
          <w:p>
            <w:pPr>
              <w:pStyle w:val="null3"/>
            </w:pPr>
            <w:r>
              <w:rPr>
                <w:rFonts w:ascii="仿宋_GB2312" w:hAnsi="仿宋_GB2312" w:cs="仿宋_GB2312" w:eastAsia="仿宋_GB2312"/>
              </w:rPr>
              <w:t>项目组成员配备情况： 1、专家顾问（4分）： （1）具有计算机应用及相关专业副高及以上职称证书的专家≥2人；每增加一人得1分，本小项最高2分；（注：须提供证书复印件或扫描件并加盖单位公章） （2）专家具有国家/省级电子政务或智慧医院设计或省级电子政务公共平台顶层设计或者大型集团型企业信息化规划设计等类似项目的设计经验。每提供一个业绩得0.5分，本小项最高2分；（提供相关证明业绩材料并加盖单位公章） 2、项目经理（4分）： （1）具有计算机应用及相关专业副高及以上职称或信息系统项目管理师资质证书得1分，本小项最高1分；（注：须提供证书复印件或扫描件并加盖单位公章） （2）以项目经理、负责人身份参与过的类似项目业绩，每提供一个业绩得1分，本小项最高3分；（以加盖公章的中标通知书或合同协议书的复印件为准(须能体现项目经理、负责人姓名)） 3、方案编制人员（4分）：配备5人及以上，每增加一人得1分，最高4分。 注：1.以上人员不允许重复。 2.项目经理及方案编制人员需提供本单位25年6月1日至今任意一个月缴纳社保的证明，未提供不得分。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项目组成人员.docx</w:t>
            </w:r>
          </w:p>
        </w:tc>
      </w:tr>
      <w:tr>
        <w:tc>
          <w:tcPr>
            <w:tcW w:type="dxa" w:w="831"/>
            <w:vMerge/>
          </w:tcPr>
          <w:p/>
        </w:tc>
        <w:tc>
          <w:tcPr>
            <w:tcW w:type="dxa" w:w="1661"/>
          </w:tcPr>
          <w:p>
            <w:pPr>
              <w:pStyle w:val="null3"/>
            </w:pPr>
            <w:r>
              <w:rPr>
                <w:rFonts w:ascii="仿宋_GB2312" w:hAnsi="仿宋_GB2312" w:cs="仿宋_GB2312" w:eastAsia="仿宋_GB2312"/>
              </w:rPr>
              <w:t>后期服务措施</w:t>
            </w:r>
          </w:p>
        </w:tc>
        <w:tc>
          <w:tcPr>
            <w:tcW w:type="dxa" w:w="2492"/>
          </w:tcPr>
          <w:p>
            <w:pPr>
              <w:pStyle w:val="null3"/>
            </w:pPr>
            <w:r>
              <w:rPr>
                <w:rFonts w:ascii="仿宋_GB2312" w:hAnsi="仿宋_GB2312" w:cs="仿宋_GB2312" w:eastAsia="仿宋_GB2312"/>
              </w:rPr>
              <w:t>配合采购单位进行项目后期的实施、与验收等工作。提供售后服务方案。包括但不限于： 1.配合验收、评审方案及承诺； 2.后期技术服务； 以上内容无缺项，专门针对本项目编制，符合本项目实际情况，内容全面详细，且条理清晰、准确、合理，能够保障项目顺利实施的得6分。每小项缺项或者内容非针对于本项目的扣3分，每小项有一项内容有缺陷的扣1分，扣完为止。 （缺陷是指：内容不完整、条理不清晰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后期服务措施.docx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投标人提供2023年6月（含2023年6月）以来类似项目业绩（以加盖公章的完整合同复印件或验收报告为准，时间以签订日期为准），每提供一个业绩得2分，最高得6分，未提供或提供不完整的不得分。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报价为评标基准价。其他供应商的价格分值统一按下列公式计算：投标报价得分＝（评标基准价/投标报价）×20。评标基准价是指满足招标文件要求且投标价格最低的投标报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详见附件：关联关系与廉洁承诺书</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详见附件：进度保证措施.docx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详见附件：项目管理方案.docx</w:t>
      </w:r>
    </w:p>
    <w:p>
      <w:pPr>
        <w:pStyle w:val="null3"/>
        <w:ind w:firstLine="960"/>
      </w:pPr>
      <w:r>
        <w:rPr>
          <w:rFonts w:ascii="仿宋_GB2312" w:hAnsi="仿宋_GB2312" w:cs="仿宋_GB2312" w:eastAsia="仿宋_GB2312"/>
        </w:rPr>
        <w:t>详见附件：项目组成人员.docx</w:t>
      </w:r>
    </w:p>
    <w:p>
      <w:pPr>
        <w:pStyle w:val="null3"/>
        <w:ind w:firstLine="960"/>
      </w:pPr>
      <w:r>
        <w:rPr>
          <w:rFonts w:ascii="仿宋_GB2312" w:hAnsi="仿宋_GB2312" w:cs="仿宋_GB2312" w:eastAsia="仿宋_GB2312"/>
        </w:rPr>
        <w:t>详见附件：业绩情况一览表.docx</w:t>
      </w:r>
    </w:p>
    <w:p>
      <w:pPr>
        <w:pStyle w:val="null3"/>
        <w:ind w:firstLine="960"/>
      </w:pPr>
      <w:r>
        <w:rPr>
          <w:rFonts w:ascii="仿宋_GB2312" w:hAnsi="仿宋_GB2312" w:cs="仿宋_GB2312" w:eastAsia="仿宋_GB2312"/>
        </w:rPr>
        <w:t>详见附件：整体设计方案.docx</w:t>
      </w:r>
    </w:p>
    <w:p>
      <w:pPr>
        <w:pStyle w:val="null3"/>
        <w:ind w:firstLine="960"/>
      </w:pPr>
      <w:r>
        <w:rPr>
          <w:rFonts w:ascii="仿宋_GB2312" w:hAnsi="仿宋_GB2312" w:cs="仿宋_GB2312" w:eastAsia="仿宋_GB2312"/>
        </w:rPr>
        <w:t>详见附件：重、难点分析对策措施.docx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详见附件：后期服务措施.docx</w:t>
      </w:r>
    </w:p>
    <w:p>
      <w:pPr>
        <w:pStyle w:val="null3"/>
        <w:ind w:firstLine="960"/>
      </w:pPr>
      <w:r>
        <w:rPr>
          <w:rFonts w:ascii="仿宋_GB2312" w:hAnsi="仿宋_GB2312" w:cs="仿宋_GB2312" w:eastAsia="仿宋_GB2312"/>
        </w:rPr>
        <w:t>详见附件：供应商参加政府采购活动承诺书.docx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详见附件：合同格式（仅供参考）.docx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