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版本号：SXTW-2026-051320260513001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2026年展品维保项目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SXTW-2026-0513</w:t>
      </w:r>
      <w:r>
        <w:br/>
      </w:r>
      <w:r>
        <w:br/>
      </w:r>
      <w:r>
        <w:br/>
      </w:r>
    </w:p>
    <w:p>
      <w:pPr>
        <w:pStyle w:val="null3"/>
        <w:jc w:val="center"/>
        <w:outlineLvl w:val="2"/>
      </w:pPr>
      <w:r>
        <w:rPr>
          <w:rFonts w:ascii="仿宋_GB2312" w:hAnsi="仿宋_GB2312" w:cs="仿宋_GB2312" w:eastAsia="仿宋_GB2312"/>
          <w:sz w:val="28"/>
          <w:b/>
        </w:rPr>
        <w:t>渭南市科技馆</w:t>
      </w:r>
    </w:p>
    <w:p>
      <w:pPr>
        <w:pStyle w:val="null3"/>
        <w:jc w:val="center"/>
        <w:outlineLvl w:val="2"/>
      </w:pPr>
      <w:r>
        <w:rPr>
          <w:rFonts w:ascii="仿宋_GB2312" w:hAnsi="仿宋_GB2312" w:cs="仿宋_GB2312" w:eastAsia="仿宋_GB2312"/>
          <w:sz w:val="28"/>
          <w:b/>
        </w:rPr>
        <w:t>陕西侗伟项目管理有限公司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陕西侗伟项目管理有限公司</w:t>
      </w:r>
      <w:r>
        <w:rPr>
          <w:rFonts w:ascii="仿宋_GB2312" w:hAnsi="仿宋_GB2312" w:cs="仿宋_GB2312" w:eastAsia="仿宋_GB2312"/>
        </w:rPr>
        <w:t>（以下简称“代理机构”）受</w:t>
      </w:r>
      <w:r>
        <w:rPr>
          <w:rFonts w:ascii="仿宋_GB2312" w:hAnsi="仿宋_GB2312" w:cs="仿宋_GB2312" w:eastAsia="仿宋_GB2312"/>
        </w:rPr>
        <w:t>渭南市科技馆</w:t>
      </w:r>
      <w:r>
        <w:rPr>
          <w:rFonts w:ascii="仿宋_GB2312" w:hAnsi="仿宋_GB2312" w:cs="仿宋_GB2312" w:eastAsia="仿宋_GB2312"/>
        </w:rPr>
        <w:t>委托，拟对</w:t>
      </w:r>
      <w:r>
        <w:rPr>
          <w:rFonts w:ascii="仿宋_GB2312" w:hAnsi="仿宋_GB2312" w:cs="仿宋_GB2312" w:eastAsia="仿宋_GB2312"/>
        </w:rPr>
        <w:t>2026年展品维保项目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SXTW-2026-0513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2026年展品维保项目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展陈硬件设备（含互动体验类、多媒体输出类、电气配套等）日常巡检、故障维修、隐患排查及备件保障；展陈软件系统（含互动程序、数据管理、播放系统等）运行监测、故障处理、系统优化及数据安全保障；提供及时的现场及技术支持，快速响应并解决设备运行等问题。</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采购包1（2026年展品维保项目）：属于专门面向中小企业采购。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营业执照等证明文件合法有效，具有独立承担民事责任的能力且具备向采购人提供相关服务的企业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2、法定代表人授权书/法定代表人身份证明书：供应商应授权合法的人员参加投标全过程,其中法定代表人或其他组织负责人直接参加投标的 , 须出具法人身份证并与营业执照上信息一致或其他组织负责人身份证。授权代表参加投标的，须出具法定代表人或其他组织负责人授权书及授权代表身份证。</w:t>
      </w:r>
    </w:p>
    <w:p>
      <w:pPr>
        <w:pStyle w:val="null3"/>
      </w:pPr>
      <w:r>
        <w:rPr>
          <w:rFonts w:ascii="仿宋_GB2312" w:hAnsi="仿宋_GB2312" w:cs="仿宋_GB2312" w:eastAsia="仿宋_GB2312"/>
        </w:rPr>
        <w:t>3、财务状况报告：提供具有财务审计资质单位出具的2024年度财务审计报告（若成立时间至磋商文件递交截止时间前不足一年的可提供成立后任意时段的资产负债表）或供应商近六个月中任意一个月份(不含投标当月)的财务状况报告（资产负债表和利润表）或磋商文件递交截止时间前六个月内其基本账户银行出具的资信证明（附基本账户证明）或政府采购信用担保机构出具的投标担保函；</w:t>
      </w:r>
    </w:p>
    <w:p>
      <w:pPr>
        <w:pStyle w:val="null3"/>
      </w:pPr>
      <w:r>
        <w:rPr>
          <w:rFonts w:ascii="仿宋_GB2312" w:hAnsi="仿宋_GB2312" w:cs="仿宋_GB2312" w:eastAsia="仿宋_GB2312"/>
        </w:rPr>
        <w:t>4、税收缴纳证明：提供递交响应文件截止之日前一年内任意一个月的依法缴纳税收的相关凭据(时间以税款所属日期为准、增值税、企业所得税至少提供一种)，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6、具有履行合同的声明：提供具有履行本合同所必需的设备和专业技术能力的声明；</w:t>
      </w:r>
    </w:p>
    <w:p>
      <w:pPr>
        <w:pStyle w:val="null3"/>
      </w:pPr>
      <w:r>
        <w:rPr>
          <w:rFonts w:ascii="仿宋_GB2312" w:hAnsi="仿宋_GB2312" w:cs="仿宋_GB2312" w:eastAsia="仿宋_GB2312"/>
        </w:rPr>
        <w:t>7、无重大违法记录书面声明：参加政府采购活动前三年内在经营活动中无重大违法记录的书面声明；</w:t>
      </w:r>
    </w:p>
    <w:p>
      <w:pPr>
        <w:pStyle w:val="null3"/>
      </w:pPr>
      <w:r>
        <w:rPr>
          <w:rFonts w:ascii="仿宋_GB2312" w:hAnsi="仿宋_GB2312" w:cs="仿宋_GB2312" w:eastAsia="仿宋_GB2312"/>
        </w:rPr>
        <w:t>8、信誉信息：供应商不得为“信用中国”网站（www.creditchina.gov.cn）中列入重大税收违法失信主体的投标人；不得为“中国执行信息公开网”（https：//zxgk.court.gov.cn）中列入失信被执行人名单的投标人；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9、无控股、管理承诺：单位负责人为同一人或者存在直接控股、管理关系的不同供应商，不得同时参加同一合同项下的政府采购活动；</w:t>
      </w:r>
    </w:p>
    <w:p>
      <w:pPr>
        <w:pStyle w:val="null3"/>
      </w:pPr>
      <w:r>
        <w:rPr>
          <w:rFonts w:ascii="仿宋_GB2312" w:hAnsi="仿宋_GB2312" w:cs="仿宋_GB2312" w:eastAsia="仿宋_GB2312"/>
        </w:rPr>
        <w:t>10、不接受联合体磋商：提供非联合体声明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渭南市科技馆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渭南市临渭区六泉路中心西片区多功能馆</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李颖琳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0913-2661927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陕西侗伟项目管理有限公司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陕西省渭南市临渭区胜利大街与前进路十字西200米路南雅馨花园C座C08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李思瑶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13310933306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开户名称：陕西侗伟项目管理有限公司</w:t>
            </w:r>
          </w:p>
          <w:p>
            <w:pPr>
              <w:pStyle w:val="null3"/>
            </w:pPr>
            <w:r>
              <w:rPr>
                <w:rFonts w:ascii="仿宋_GB2312" w:hAnsi="仿宋_GB2312" w:cs="仿宋_GB2312" w:eastAsia="仿宋_GB2312"/>
              </w:rPr>
              <w:t>开户银行：中国建设银行股份有限公司渭南前进路支行</w:t>
            </w:r>
          </w:p>
          <w:p>
            <w:pPr>
              <w:pStyle w:val="null3"/>
            </w:pPr>
            <w:r>
              <w:rPr>
                <w:rFonts w:ascii="仿宋_GB2312" w:hAnsi="仿宋_GB2312" w:cs="仿宋_GB2312" w:eastAsia="仿宋_GB2312"/>
              </w:rPr>
              <w:t>银行账号：6105 0164 1600 0000 1333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由中标单位支付，按照《国家发展改革委关于进一步放开建设项目专业服务价格的通知》（发改价格﹝2015﹞299号）的要求，参照《国家计委关于印发&lt;招标代理服务收费管理暂行办法&gt;的通知》（计价格〔2002〕1980号）文件规定的计费标准计取。 2.由中标单位在领取中标通知书前，须向采购代理机构一次性支付招标代理服务费。 3.采购代理服务费账户 户 名：陕西侗伟项目管理有限公司 账 号：6105 0164 1400 0000 0348 开户银行：中国建设银行股份有限公司渭南胜利大街支行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渭南市科技馆</w:t>
      </w:r>
      <w:r>
        <w:rPr>
          <w:rFonts w:ascii="仿宋_GB2312" w:hAnsi="仿宋_GB2312" w:cs="仿宋_GB2312" w:eastAsia="仿宋_GB2312"/>
        </w:rPr>
        <w:t>和</w:t>
      </w:r>
      <w:r>
        <w:rPr>
          <w:rFonts w:ascii="仿宋_GB2312" w:hAnsi="仿宋_GB2312" w:cs="仿宋_GB2312" w:eastAsia="仿宋_GB2312"/>
        </w:rPr>
        <w:t>陕西侗伟项目管理有限公司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渭南市科技馆</w:t>
      </w:r>
      <w:r>
        <w:rPr>
          <w:rFonts w:ascii="仿宋_GB2312" w:hAnsi="仿宋_GB2312" w:cs="仿宋_GB2312" w:eastAsia="仿宋_GB2312"/>
        </w:rPr>
        <w:t>负责解释。除上述磋商文件内容，其他内容由</w:t>
      </w:r>
      <w:r>
        <w:rPr>
          <w:rFonts w:ascii="仿宋_GB2312" w:hAnsi="仿宋_GB2312" w:cs="仿宋_GB2312" w:eastAsia="仿宋_GB2312"/>
        </w:rPr>
        <w:t>陕西侗伟项目管理有限公司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渭南市科技馆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陕西侗伟项目管理有限公司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执行的国家相关标准、行业标准、地方标准以及其他标准、规范，并统一执行最新标准规范。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陕西侗伟项目管理有限公司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陕西侗伟项目管理有限公司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陕西侗伟项目管理有限公司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联系人：李思瑶</w:t>
      </w:r>
    </w:p>
    <w:p>
      <w:pPr>
        <w:pStyle w:val="null3"/>
      </w:pPr>
      <w:r>
        <w:rPr>
          <w:rFonts w:ascii="仿宋_GB2312" w:hAnsi="仿宋_GB2312" w:cs="仿宋_GB2312" w:eastAsia="仿宋_GB2312"/>
        </w:rPr>
        <w:t>联系电话：13310933306</w:t>
      </w:r>
    </w:p>
    <w:p>
      <w:pPr>
        <w:pStyle w:val="null3"/>
      </w:pPr>
      <w:r>
        <w:rPr>
          <w:rFonts w:ascii="仿宋_GB2312" w:hAnsi="仿宋_GB2312" w:cs="仿宋_GB2312" w:eastAsia="仿宋_GB2312"/>
        </w:rPr>
        <w:t>地址：渭南市临渭区胜利大街与前进路十字西200米路南雅馨花园C座C08</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展陈硬件设备（含互动体验类、多媒体输出类、电气配套等）日常巡检、故障维修、隐患排查及备件保障；展陈软件系统（含互动程序、数据管理、播放系统等）运行监测、故障处理、系统优化及数据安全保障；提供及时的现场及技术支持，快速响应并解决设备运行等问题。</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400000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标的名称：400000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一、服务指标的具体要求</w:t>
            </w:r>
          </w:p>
          <w:p>
            <w:pPr>
              <w:pStyle w:val="null3"/>
            </w:pPr>
            <w:r>
              <w:rPr>
                <w:rFonts w:ascii="仿宋_GB2312" w:hAnsi="仿宋_GB2312" w:cs="仿宋_GB2312" w:eastAsia="仿宋_GB2312"/>
              </w:rPr>
              <w:t>1</w:t>
            </w:r>
            <w:r>
              <w:rPr>
                <w:rFonts w:ascii="仿宋_GB2312" w:hAnsi="仿宋_GB2312" w:cs="仿宋_GB2312" w:eastAsia="仿宋_GB2312"/>
              </w:rPr>
              <w:t>.服务内容</w:t>
            </w:r>
          </w:p>
          <w:p>
            <w:pPr>
              <w:pStyle w:val="null3"/>
              <w:ind w:firstLine="400"/>
            </w:pPr>
            <w:r>
              <w:rPr>
                <w:rFonts w:ascii="仿宋_GB2312" w:hAnsi="仿宋_GB2312" w:cs="仿宋_GB2312" w:eastAsia="仿宋_GB2312"/>
              </w:rPr>
              <w:t>展陈硬件设备（含互动体验类、多媒体输出类、电气配套等）日常巡检、故障维修、隐患排查及备件保障；展陈软件系统（含互动程序、数据管理、播放系统等）运行监测、故障处理、系统优化及数据安全保障；安检、闸机、广播、监控、展板等故障维修、隐患排查；提供及时的现场及技术支持，快速响应并解决设备运行等问题。</w:t>
            </w:r>
          </w:p>
          <w:p>
            <w:pPr>
              <w:pStyle w:val="null3"/>
            </w:pPr>
            <w:r>
              <w:rPr>
                <w:rFonts w:ascii="仿宋_GB2312" w:hAnsi="仿宋_GB2312" w:cs="仿宋_GB2312" w:eastAsia="仿宋_GB2312"/>
              </w:rPr>
              <w:t>2.服务范围</w:t>
            </w:r>
          </w:p>
          <w:p>
            <w:pPr>
              <w:pStyle w:val="null3"/>
              <w:ind w:firstLine="400"/>
            </w:pPr>
            <w:r>
              <w:rPr>
                <w:rFonts w:ascii="仿宋_GB2312" w:hAnsi="仿宋_GB2312" w:cs="仿宋_GB2312" w:eastAsia="仿宋_GB2312"/>
              </w:rPr>
              <w:t>全馆常设展厅和公共区域内的所有常设展品（馆内</w:t>
            </w:r>
            <w:r>
              <w:rPr>
                <w:rFonts w:ascii="仿宋_GB2312" w:hAnsi="仿宋_GB2312" w:cs="仿宋_GB2312" w:eastAsia="仿宋_GB2312"/>
              </w:rPr>
              <w:t>182件展品，科普大篷车21件展品，共计203件展品）、5D影院及创客空间设备、场馆集中控制系统（包括软硬件及远程技术支持等）、合同期内新增或改造的展项的日常维修维护（包括软硬件、机械结构、电气设备等）；对重要展项定期保养；零配件和耗材的制作、采购、更换。</w:t>
            </w:r>
          </w:p>
          <w:p>
            <w:pPr>
              <w:pStyle w:val="null3"/>
            </w:pPr>
            <w:r>
              <w:rPr>
                <w:rFonts w:ascii="仿宋_GB2312" w:hAnsi="仿宋_GB2312" w:cs="仿宋_GB2312" w:eastAsia="仿宋_GB2312"/>
              </w:rPr>
              <w:t>3.服务指标</w:t>
            </w:r>
          </w:p>
          <w:p>
            <w:pPr>
              <w:pStyle w:val="null3"/>
              <w:ind w:firstLine="400"/>
            </w:pPr>
            <w:r>
              <w:rPr>
                <w:rFonts w:ascii="仿宋_GB2312" w:hAnsi="仿宋_GB2312" w:cs="仿宋_GB2312" w:eastAsia="仿宋_GB2312"/>
              </w:rPr>
              <w:t>集中维保后首个开放日，全馆展品完好率须达到</w:t>
            </w:r>
            <w:r>
              <w:rPr>
                <w:rFonts w:ascii="仿宋_GB2312" w:hAnsi="仿宋_GB2312" w:cs="仿宋_GB2312" w:eastAsia="仿宋_GB2312"/>
              </w:rPr>
              <w:t>95%及以上，运转率达到97%及以上。</w:t>
            </w:r>
          </w:p>
          <w:p>
            <w:pPr>
              <w:pStyle w:val="null3"/>
            </w:pPr>
            <w:r>
              <w:rPr>
                <w:rFonts w:ascii="仿宋_GB2312" w:hAnsi="仿宋_GB2312" w:cs="仿宋_GB2312" w:eastAsia="仿宋_GB2312"/>
                <w:sz w:val="21"/>
              </w:rPr>
              <w:t>二、服务质量、标准、期限、效率等要求</w:t>
            </w:r>
          </w:p>
          <w:p>
            <w:pPr>
              <w:pStyle w:val="null3"/>
            </w:pPr>
            <w:r>
              <w:rPr>
                <w:rFonts w:ascii="仿宋_GB2312" w:hAnsi="仿宋_GB2312" w:cs="仿宋_GB2312" w:eastAsia="仿宋_GB2312"/>
              </w:rPr>
              <w:t>2.1人员配备要求</w:t>
            </w:r>
          </w:p>
          <w:p>
            <w:pPr>
              <w:pStyle w:val="null3"/>
              <w:ind w:firstLine="400"/>
            </w:pPr>
            <w:r>
              <w:rPr>
                <w:rFonts w:ascii="仿宋_GB2312" w:hAnsi="仿宋_GB2312" w:cs="仿宋_GB2312" w:eastAsia="仿宋_GB2312"/>
              </w:rPr>
              <w:t>驻场工程师至少</w:t>
            </w:r>
            <w:r>
              <w:rPr>
                <w:rFonts w:ascii="仿宋_GB2312" w:hAnsi="仿宋_GB2312" w:cs="仿宋_GB2312" w:eastAsia="仿宋_GB2312"/>
              </w:rPr>
              <w:t>1人，并自行提供维修工作必需的设备和工具。服务团队人员至少5人，需具备机械类或电器类等展品的维修、维护经验，并持证上岗。负责为渭南市科技馆常设展品提供巡检、维护、维修服务，保证其安全、正常、可靠运行，达到或优于其原来展示效果，在节假日、寒暑假、重大活动前对所有展品进行全面检修维护，寒暑假期间根据游客情况，增加提供技术支持人员1名在科技馆进行日常维修。</w:t>
            </w:r>
          </w:p>
          <w:p>
            <w:pPr>
              <w:pStyle w:val="null3"/>
              <w:ind w:firstLine="400"/>
            </w:pPr>
            <w:r>
              <w:rPr>
                <w:rFonts w:ascii="仿宋_GB2312" w:hAnsi="仿宋_GB2312" w:cs="仿宋_GB2312" w:eastAsia="仿宋_GB2312"/>
              </w:rPr>
              <w:t>驻场人员工作时间遵照渭南市科技馆工作时间（含节假日）。上下班时间与开闭馆时间一致，馆方对在岗情况进行考核，根据按期维修的需要，经馆方同意后维保服务公司可以自行安排加班时间。</w:t>
            </w:r>
          </w:p>
          <w:p>
            <w:pPr>
              <w:pStyle w:val="null3"/>
              <w:ind w:firstLine="400"/>
            </w:pPr>
            <w:r>
              <w:rPr>
                <w:rFonts w:ascii="仿宋_GB2312" w:hAnsi="仿宋_GB2312" w:cs="仿宋_GB2312" w:eastAsia="仿宋_GB2312"/>
              </w:rPr>
              <w:t>现场驻馆工作人员每天不间断对展品运行情况和环境附属设施进行巡查，每日不低于两次，形成巡检记录，如发现故障及安全隐患，在</w:t>
            </w:r>
            <w:r>
              <w:rPr>
                <w:rFonts w:ascii="仿宋_GB2312" w:hAnsi="仿宋_GB2312" w:cs="仿宋_GB2312" w:eastAsia="仿宋_GB2312"/>
              </w:rPr>
              <w:t>10分钟内达到现场，及时维修。</w:t>
            </w:r>
          </w:p>
          <w:p>
            <w:pPr>
              <w:pStyle w:val="null3"/>
              <w:ind w:firstLine="400"/>
            </w:pPr>
            <w:r>
              <w:rPr>
                <w:rFonts w:ascii="仿宋_GB2312" w:hAnsi="仿宋_GB2312" w:cs="仿宋_GB2312" w:eastAsia="仿宋_GB2312"/>
              </w:rPr>
              <w:t>维保单位应遵循安全生产、文明施工的有关规定，在维修维护过程中，采取严格的安全措施，如发生人身安全事故，责任与费用由维保单位承担。</w:t>
            </w:r>
          </w:p>
          <w:p>
            <w:pPr>
              <w:pStyle w:val="null3"/>
            </w:pPr>
            <w:r>
              <w:rPr>
                <w:rFonts w:ascii="仿宋_GB2312" w:hAnsi="仿宋_GB2312" w:cs="仿宋_GB2312" w:eastAsia="仿宋_GB2312"/>
              </w:rPr>
              <w:t>2.2维修服务要求</w:t>
            </w:r>
          </w:p>
          <w:p>
            <w:pPr>
              <w:pStyle w:val="null3"/>
              <w:ind w:firstLine="400"/>
            </w:pPr>
            <w:r>
              <w:rPr>
                <w:rFonts w:ascii="仿宋_GB2312" w:hAnsi="仿宋_GB2312" w:cs="仿宋_GB2312" w:eastAsia="仿宋_GB2312"/>
              </w:rPr>
              <w:t>小型维修（无需更换配件）工作当天完成；</w:t>
            </w:r>
          </w:p>
          <w:p>
            <w:pPr>
              <w:pStyle w:val="null3"/>
              <w:ind w:firstLine="400"/>
            </w:pPr>
            <w:r>
              <w:rPr>
                <w:rFonts w:ascii="仿宋_GB2312" w:hAnsi="仿宋_GB2312" w:cs="仿宋_GB2312" w:eastAsia="仿宋_GB2312"/>
              </w:rPr>
              <w:t>需采购通用型配件的维修工作</w:t>
            </w:r>
            <w:r>
              <w:rPr>
                <w:rFonts w:ascii="仿宋_GB2312" w:hAnsi="仿宋_GB2312" w:cs="仿宋_GB2312" w:eastAsia="仿宋_GB2312"/>
              </w:rPr>
              <w:t>5个工作日内完成，若因快递迟发等不可抗力因素未能按期完成，须以书面形式提供证明材料报馆方确认，并在到货后2个工作日内完成；</w:t>
            </w:r>
          </w:p>
          <w:p>
            <w:pPr>
              <w:pStyle w:val="null3"/>
              <w:ind w:firstLine="400"/>
            </w:pPr>
            <w:r>
              <w:rPr>
                <w:rFonts w:ascii="仿宋_GB2312" w:hAnsi="仿宋_GB2312" w:cs="仿宋_GB2312" w:eastAsia="仿宋_GB2312"/>
              </w:rPr>
              <w:t>定制配件的维保工作</w:t>
            </w:r>
            <w:r>
              <w:rPr>
                <w:rFonts w:ascii="仿宋_GB2312" w:hAnsi="仿宋_GB2312" w:cs="仿宋_GB2312" w:eastAsia="仿宋_GB2312"/>
              </w:rPr>
              <w:t>15个工作日内完成。若确实无法完成，需提前3个工作日以情况说明形式报馆方确认；</w:t>
            </w:r>
          </w:p>
          <w:p>
            <w:pPr>
              <w:pStyle w:val="null3"/>
            </w:pPr>
            <w:r>
              <w:rPr>
                <w:rFonts w:ascii="仿宋_GB2312" w:hAnsi="仿宋_GB2312" w:cs="仿宋_GB2312" w:eastAsia="仿宋_GB2312"/>
              </w:rPr>
              <w:t>2.3维护和维修</w:t>
            </w:r>
          </w:p>
          <w:p>
            <w:pPr>
              <w:pStyle w:val="null3"/>
            </w:pPr>
            <w:r>
              <w:rPr>
                <w:rFonts w:ascii="仿宋_GB2312" w:hAnsi="仿宋_GB2312" w:cs="仿宋_GB2312" w:eastAsia="仿宋_GB2312"/>
              </w:rPr>
              <w:t>2.3.1巡检和维护</w:t>
            </w:r>
          </w:p>
          <w:p>
            <w:pPr>
              <w:pStyle w:val="null3"/>
              <w:ind w:firstLine="400"/>
            </w:pPr>
            <w:r>
              <w:rPr>
                <w:rFonts w:ascii="仿宋_GB2312" w:hAnsi="仿宋_GB2312" w:cs="仿宋_GB2312" w:eastAsia="仿宋_GB2312"/>
              </w:rPr>
              <w:t>日常维护主要对展品内部进行除尘、除锈、整理、紧固、润滑等，检查零配件、活动部件、承力结构、易损件等是否完好，检查接地线、热继电器、保险、安全带等安全措施是否正常。</w:t>
            </w:r>
          </w:p>
          <w:p>
            <w:pPr>
              <w:pStyle w:val="null3"/>
              <w:ind w:firstLine="400"/>
            </w:pPr>
            <w:r>
              <w:rPr>
                <w:rFonts w:ascii="仿宋_GB2312" w:hAnsi="仿宋_GB2312" w:cs="仿宋_GB2312" w:eastAsia="仿宋_GB2312"/>
              </w:rPr>
              <w:t>对所属区域内（含影院）展品展项及环境（创客空间）附属设施进行全面巡查，如发现故障及安全隐患，及时处置并报修停机，按照维修程序展开下步处置。</w:t>
            </w:r>
          </w:p>
          <w:p>
            <w:pPr>
              <w:pStyle w:val="null3"/>
              <w:ind w:firstLine="400"/>
            </w:pPr>
            <w:r>
              <w:rPr>
                <w:rFonts w:ascii="仿宋_GB2312" w:hAnsi="仿宋_GB2312" w:cs="仿宋_GB2312" w:eastAsia="仿宋_GB2312"/>
              </w:rPr>
              <w:t>每月末对全馆展品进行一次全面检查，并填写检查情况表，根据展品维修经验，结合展品的使用手册制定并执行保养计划。</w:t>
            </w:r>
          </w:p>
          <w:p>
            <w:pPr>
              <w:pStyle w:val="null3"/>
            </w:pPr>
            <w:r>
              <w:rPr>
                <w:rFonts w:ascii="仿宋_GB2312" w:hAnsi="仿宋_GB2312" w:cs="仿宋_GB2312" w:eastAsia="仿宋_GB2312"/>
              </w:rPr>
              <w:t>2.3.2、展品和布展维修</w:t>
            </w:r>
          </w:p>
          <w:p>
            <w:pPr>
              <w:pStyle w:val="null3"/>
              <w:ind w:firstLine="400"/>
            </w:pPr>
            <w:r>
              <w:rPr>
                <w:rFonts w:ascii="仿宋_GB2312" w:hAnsi="仿宋_GB2312" w:cs="仿宋_GB2312" w:eastAsia="仿宋_GB2312"/>
              </w:rPr>
              <w:t>（</w:t>
            </w:r>
            <w:r>
              <w:rPr>
                <w:rFonts w:ascii="仿宋_GB2312" w:hAnsi="仿宋_GB2312" w:cs="仿宋_GB2312" w:eastAsia="仿宋_GB2312"/>
              </w:rPr>
              <w:t>1）巡检发现展品故障或接到展厅报修后，小问题即刻解决，需要购买配件的隔日修复，对需要网购、异地采购配件、外地厂家服务以及需外加工零件的展品，可以在下一个维保日进行修复。</w:t>
            </w:r>
          </w:p>
          <w:p>
            <w:pPr>
              <w:pStyle w:val="null3"/>
              <w:ind w:firstLine="400"/>
            </w:pPr>
            <w:r>
              <w:rPr>
                <w:rFonts w:ascii="仿宋_GB2312" w:hAnsi="仿宋_GB2312" w:cs="仿宋_GB2312" w:eastAsia="仿宋_GB2312"/>
              </w:rPr>
              <w:t>（</w:t>
            </w:r>
            <w:r>
              <w:rPr>
                <w:rFonts w:ascii="仿宋_GB2312" w:hAnsi="仿宋_GB2312" w:cs="仿宋_GB2312" w:eastAsia="仿宋_GB2312"/>
              </w:rPr>
              <w:t>2）如展项存在设计缺陷，可申请对展品实施改造，改造方案须经过馆领导研究同意方可实施，改造后提交图纸、程序等必要的资料，费用馆方研判，双方协商予以解决。</w:t>
            </w:r>
          </w:p>
          <w:p>
            <w:pPr>
              <w:pStyle w:val="null3"/>
            </w:pPr>
            <w:r>
              <w:rPr>
                <w:rFonts w:ascii="仿宋_GB2312" w:hAnsi="仿宋_GB2312" w:cs="仿宋_GB2312" w:eastAsia="仿宋_GB2312"/>
              </w:rPr>
              <w:t>2.3.3、投影仪（影院）维修、维保</w:t>
            </w:r>
          </w:p>
          <w:p>
            <w:pPr>
              <w:pStyle w:val="null3"/>
              <w:ind w:firstLine="400"/>
            </w:pPr>
            <w:r>
              <w:rPr>
                <w:rFonts w:ascii="仿宋_GB2312" w:hAnsi="仿宋_GB2312" w:cs="仿宋_GB2312" w:eastAsia="仿宋_GB2312"/>
              </w:rPr>
              <w:t>（</w:t>
            </w:r>
            <w:r>
              <w:rPr>
                <w:rFonts w:ascii="仿宋_GB2312" w:hAnsi="仿宋_GB2312" w:cs="仿宋_GB2312" w:eastAsia="仿宋_GB2312"/>
              </w:rPr>
              <w:t>1）对展厅所有投影机进行深度保养，确保投影机稳定正常运行。保养内容包括但不限于：光路清洁检查、内部除尘检查、LCD芯片检查校准、风扇除尘、更换原装滤网、更换液晶片、检修和更换灯光高压板等；</w:t>
            </w:r>
          </w:p>
          <w:p>
            <w:pPr>
              <w:pStyle w:val="null3"/>
              <w:ind w:firstLine="400"/>
            </w:pPr>
            <w:r>
              <w:rPr>
                <w:rFonts w:ascii="仿宋_GB2312" w:hAnsi="仿宋_GB2312" w:cs="仿宋_GB2312" w:eastAsia="仿宋_GB2312"/>
              </w:rPr>
              <w:t>（</w:t>
            </w:r>
            <w:r>
              <w:rPr>
                <w:rFonts w:ascii="仿宋_GB2312" w:hAnsi="仿宋_GB2312" w:cs="仿宋_GB2312" w:eastAsia="仿宋_GB2312"/>
              </w:rPr>
              <w:t>2）展厅所有灯泡投影机提供具有原装品牌认证的灯泡备件，及时更换损坏的投影灯泡，确保灯泡工作状态良好，投射画面清晰、明亮；</w:t>
            </w:r>
          </w:p>
          <w:p>
            <w:pPr>
              <w:pStyle w:val="null3"/>
              <w:ind w:firstLine="400"/>
            </w:pPr>
            <w:r>
              <w:rPr>
                <w:rFonts w:ascii="仿宋_GB2312" w:hAnsi="仿宋_GB2312" w:cs="仿宋_GB2312" w:eastAsia="仿宋_GB2312"/>
              </w:rPr>
              <w:t>（</w:t>
            </w:r>
            <w:r>
              <w:rPr>
                <w:rFonts w:ascii="仿宋_GB2312" w:hAnsi="仿宋_GB2312" w:cs="仿宋_GB2312" w:eastAsia="仿宋_GB2312"/>
              </w:rPr>
              <w:t>3）每月按时对项目服务范围内投影机进行巡检，对于简单的问题（如未正常开机、画面偏移等）当场处理；</w:t>
            </w:r>
          </w:p>
          <w:p>
            <w:pPr>
              <w:pStyle w:val="null3"/>
              <w:ind w:firstLine="400"/>
            </w:pPr>
            <w:r>
              <w:rPr>
                <w:rFonts w:ascii="仿宋_GB2312" w:hAnsi="仿宋_GB2312" w:cs="仿宋_GB2312" w:eastAsia="仿宋_GB2312"/>
              </w:rPr>
              <w:t>（</w:t>
            </w:r>
            <w:r>
              <w:rPr>
                <w:rFonts w:ascii="仿宋_GB2312" w:hAnsi="仿宋_GB2312" w:cs="仿宋_GB2312" w:eastAsia="仿宋_GB2312"/>
              </w:rPr>
              <w:t>4）为项目服务范围内投影机免费提供软、硬件适配、屏幕融合等调校服务；</w:t>
            </w:r>
          </w:p>
          <w:p>
            <w:pPr>
              <w:pStyle w:val="null3"/>
              <w:ind w:firstLine="400"/>
            </w:pPr>
            <w:r>
              <w:rPr>
                <w:rFonts w:ascii="仿宋_GB2312" w:hAnsi="仿宋_GB2312" w:cs="仿宋_GB2312" w:eastAsia="仿宋_GB2312"/>
              </w:rPr>
              <w:t>（</w:t>
            </w:r>
            <w:r>
              <w:rPr>
                <w:rFonts w:ascii="仿宋_GB2312" w:hAnsi="仿宋_GB2312" w:cs="仿宋_GB2312" w:eastAsia="仿宋_GB2312"/>
              </w:rPr>
              <w:t>5）对项目服务范围内投影机硬件故障及时进行诊断并排除。故障包括但不限于：灯源、液晶板、偏光板、主板、电源等；</w:t>
            </w:r>
          </w:p>
          <w:p>
            <w:pPr>
              <w:pStyle w:val="null3"/>
              <w:ind w:firstLine="400"/>
            </w:pPr>
            <w:r>
              <w:rPr>
                <w:rFonts w:ascii="仿宋_GB2312" w:hAnsi="仿宋_GB2312" w:cs="仿宋_GB2312" w:eastAsia="仿宋_GB2312"/>
              </w:rPr>
              <w:t>（</w:t>
            </w:r>
            <w:r>
              <w:rPr>
                <w:rFonts w:ascii="仿宋_GB2312" w:hAnsi="仿宋_GB2312" w:cs="仿宋_GB2312" w:eastAsia="仿宋_GB2312"/>
              </w:rPr>
              <w:t>6）维修期间，需提供备用机器保障重要展品的运行；</w:t>
            </w:r>
          </w:p>
          <w:p>
            <w:pPr>
              <w:pStyle w:val="null3"/>
              <w:ind w:firstLine="400"/>
            </w:pPr>
            <w:r>
              <w:rPr>
                <w:rFonts w:ascii="仿宋_GB2312" w:hAnsi="仿宋_GB2312" w:cs="仿宋_GB2312" w:eastAsia="仿宋_GB2312"/>
              </w:rPr>
              <w:t>（</w:t>
            </w:r>
            <w:r>
              <w:rPr>
                <w:rFonts w:ascii="仿宋_GB2312" w:hAnsi="仿宋_GB2312" w:cs="仿宋_GB2312" w:eastAsia="仿宋_GB2312"/>
              </w:rPr>
              <w:t>7）所有更换或者维修的零部件质保期为一年；</w:t>
            </w:r>
          </w:p>
          <w:p>
            <w:pPr>
              <w:pStyle w:val="null3"/>
              <w:ind w:firstLine="400"/>
            </w:pPr>
            <w:r>
              <w:rPr>
                <w:rFonts w:ascii="仿宋_GB2312" w:hAnsi="仿宋_GB2312" w:cs="仿宋_GB2312" w:eastAsia="仿宋_GB2312"/>
              </w:rPr>
              <w:t>（</w:t>
            </w:r>
            <w:r>
              <w:rPr>
                <w:rFonts w:ascii="仿宋_GB2312" w:hAnsi="仿宋_GB2312" w:cs="仿宋_GB2312" w:eastAsia="仿宋_GB2312"/>
              </w:rPr>
              <w:t>8）对所进行的巡检、诊断、保养、维修、调试等工作进行记录，并报告给展区负责人。</w:t>
            </w:r>
          </w:p>
          <w:p>
            <w:pPr>
              <w:pStyle w:val="null3"/>
            </w:pPr>
            <w:r>
              <w:rPr>
                <w:rFonts w:ascii="仿宋_GB2312" w:hAnsi="仿宋_GB2312" w:cs="仿宋_GB2312" w:eastAsia="仿宋_GB2312"/>
              </w:rPr>
              <w:t>2.4、工作考核要求和相应处罚条例</w:t>
            </w:r>
          </w:p>
          <w:p>
            <w:pPr>
              <w:pStyle w:val="null3"/>
            </w:pPr>
            <w:r>
              <w:rPr>
                <w:rFonts w:ascii="仿宋_GB2312" w:hAnsi="仿宋_GB2312" w:cs="仿宋_GB2312" w:eastAsia="仿宋_GB2312"/>
              </w:rPr>
              <w:t>2.4.1、展厅维修维护工作要求及处罚条例</w:t>
            </w:r>
          </w:p>
          <w:p>
            <w:pPr>
              <w:pStyle w:val="null3"/>
              <w:ind w:firstLine="400"/>
            </w:pPr>
            <w:r>
              <w:rPr>
                <w:rFonts w:ascii="仿宋_GB2312" w:hAnsi="仿宋_GB2312" w:cs="仿宋_GB2312" w:eastAsia="仿宋_GB2312"/>
              </w:rPr>
              <w:t>（</w:t>
            </w:r>
            <w:r>
              <w:rPr>
                <w:rFonts w:ascii="仿宋_GB2312" w:hAnsi="仿宋_GB2312" w:cs="仿宋_GB2312" w:eastAsia="仿宋_GB2312"/>
              </w:rPr>
              <w:t>1）保证集中维保后首个开馆日全部在展展品展项的完好率和运转率达到约定要求，如未能同时达标每次扣除合同款0.5‰。</w:t>
            </w:r>
          </w:p>
          <w:p>
            <w:pPr>
              <w:pStyle w:val="null3"/>
              <w:ind w:firstLine="400"/>
            </w:pPr>
            <w:r>
              <w:rPr>
                <w:rFonts w:ascii="仿宋_GB2312" w:hAnsi="仿宋_GB2312" w:cs="仿宋_GB2312" w:eastAsia="仿宋_GB2312"/>
              </w:rPr>
              <w:t>（</w:t>
            </w:r>
            <w:r>
              <w:rPr>
                <w:rFonts w:ascii="仿宋_GB2312" w:hAnsi="仿宋_GB2312" w:cs="仿宋_GB2312" w:eastAsia="仿宋_GB2312"/>
              </w:rPr>
              <w:t>2）维保人员未经允许严禁将资产带出场馆，发现一起扣除合同款1%，根据物品的总价值双倍赔偿并要求更换维保人员。</w:t>
            </w:r>
          </w:p>
          <w:p>
            <w:pPr>
              <w:pStyle w:val="null3"/>
              <w:ind w:firstLine="400"/>
            </w:pPr>
            <w:r>
              <w:rPr>
                <w:rFonts w:ascii="仿宋_GB2312" w:hAnsi="仿宋_GB2312" w:cs="仿宋_GB2312" w:eastAsia="仿宋_GB2312"/>
              </w:rPr>
              <w:t>（</w:t>
            </w:r>
            <w:r>
              <w:rPr>
                <w:rFonts w:ascii="仿宋_GB2312" w:hAnsi="仿宋_GB2312" w:cs="仿宋_GB2312" w:eastAsia="仿宋_GB2312"/>
              </w:rPr>
              <w:t>3）场馆内未经许可，严禁进行角磨机打磨、切割机切割、电气焊等动用明火行为，确需进行，须填写《特种作业许可证》，报请相关部门批准后方可进行，如未按规定执行，发现一起扣除合同款1%。</w:t>
            </w:r>
          </w:p>
          <w:p>
            <w:pPr>
              <w:pStyle w:val="null3"/>
              <w:ind w:firstLine="400"/>
            </w:pPr>
            <w:r>
              <w:rPr>
                <w:rFonts w:ascii="仿宋_GB2312" w:hAnsi="仿宋_GB2312" w:cs="仿宋_GB2312" w:eastAsia="仿宋_GB2312"/>
              </w:rPr>
              <w:t>（</w:t>
            </w:r>
            <w:r>
              <w:rPr>
                <w:rFonts w:ascii="仿宋_GB2312" w:hAnsi="仿宋_GB2312" w:cs="仿宋_GB2312" w:eastAsia="仿宋_GB2312"/>
              </w:rPr>
              <w:t>4）如需使用馆方的设备，须向馆方提出申请，并遵守管理规定，按照设备操作规程进行操作，操作人员须持证上岗，严禁本合同服务内容相关操作以外的使用行为，如未按规定执行发现一起扣除合同款1%。</w:t>
            </w:r>
          </w:p>
          <w:p>
            <w:pPr>
              <w:pStyle w:val="null3"/>
              <w:ind w:firstLine="400"/>
            </w:pPr>
            <w:r>
              <w:rPr>
                <w:rFonts w:ascii="仿宋_GB2312" w:hAnsi="仿宋_GB2312" w:cs="仿宋_GB2312" w:eastAsia="仿宋_GB2312"/>
              </w:rPr>
              <w:t>（</w:t>
            </w:r>
            <w:r>
              <w:rPr>
                <w:rFonts w:ascii="仿宋_GB2312" w:hAnsi="仿宋_GB2312" w:cs="仿宋_GB2312" w:eastAsia="仿宋_GB2312"/>
              </w:rPr>
              <w:t>5）在场馆开放期间对展品展项进行维护、维修过程中，必须设置安全护栏、警示标志、专人看管等一切必要的安全措施，开馆期间避免使用升降梯高空作业、大件搬运等危险操作，如有违反，每次扣除合同款1%。</w:t>
            </w:r>
          </w:p>
          <w:p>
            <w:pPr>
              <w:pStyle w:val="null3"/>
              <w:ind w:firstLine="400"/>
            </w:pPr>
            <w:r>
              <w:rPr>
                <w:rFonts w:ascii="仿宋_GB2312" w:hAnsi="仿宋_GB2312" w:cs="仿宋_GB2312" w:eastAsia="仿宋_GB2312"/>
              </w:rPr>
              <w:t>（</w:t>
            </w:r>
            <w:r>
              <w:rPr>
                <w:rFonts w:ascii="仿宋_GB2312" w:hAnsi="仿宋_GB2312" w:cs="仿宋_GB2312" w:eastAsia="仿宋_GB2312"/>
              </w:rPr>
              <w:t>6）馆方对设备完好率进行每天统计，每月汇总，如维保单位连续3个月未达标（95%），馆方有权单方面解除合同，不承担违约责任。</w:t>
            </w:r>
          </w:p>
          <w:p>
            <w:pPr>
              <w:pStyle w:val="null3"/>
              <w:ind w:firstLine="400"/>
            </w:pPr>
            <w:r>
              <w:rPr>
                <w:rFonts w:ascii="仿宋_GB2312" w:hAnsi="仿宋_GB2312" w:cs="仿宋_GB2312" w:eastAsia="仿宋_GB2312"/>
              </w:rPr>
              <w:t>（</w:t>
            </w:r>
            <w:r>
              <w:rPr>
                <w:rFonts w:ascii="仿宋_GB2312" w:hAnsi="仿宋_GB2312" w:cs="仿宋_GB2312" w:eastAsia="仿宋_GB2312"/>
              </w:rPr>
              <w:t>7）馆方对维保人员服务态度进行评估，如在服务过程中存在服务态度差，推诿扯皮不配合等情况，馆方进行评估后有权单方面解除合同，不承担违约责任。</w:t>
            </w:r>
          </w:p>
          <w:p>
            <w:pPr>
              <w:pStyle w:val="null3"/>
            </w:pPr>
            <w:r>
              <w:rPr>
                <w:rFonts w:ascii="仿宋_GB2312" w:hAnsi="仿宋_GB2312" w:cs="仿宋_GB2312" w:eastAsia="仿宋_GB2312"/>
              </w:rPr>
              <w:t>2.4.2、展厅应急处理突发事件的处罚条例</w:t>
            </w:r>
          </w:p>
          <w:p>
            <w:pPr>
              <w:pStyle w:val="null3"/>
              <w:jc w:val="both"/>
            </w:pPr>
            <w:r>
              <w:rPr>
                <w:rFonts w:ascii="仿宋_GB2312" w:hAnsi="仿宋_GB2312" w:cs="仿宋_GB2312" w:eastAsia="仿宋_GB2312"/>
                <w:sz w:val="20"/>
              </w:rPr>
              <w:t xml:space="preserve">    因巡视或维保不及时，造成展品出现跑水、冒烟、漏电、伤人等现象的，并给采购人展品造成设备损坏或人员损伤的，根据程度对中标人予以经济处罚，并直接从合同款中扣除。</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驻场工程师至少1人，并自行提供维修工作必需的设备和工具。服务团队人员至少5人，需具备机械类或电器类等展品的维修、维护经验，并持证上岗。负责为渭南市科技馆常设展品提供巡检、维护、维修服务，保证其安全、正常、可靠运行，达到或优于其原来展示效果，在节假日、寒暑假、重大活动前对所有展品进行全面检修维护，寒暑假期间根据游客情况，增加提供技术支持人员1名在科技馆进行日常维修。 驻场人员工作时间遵照渭南市科技馆工作时间（含节假日）。上下班时间与开闭馆时间一致，馆方对在岗情况进行考核，根据按期维修的需要，经馆方同意后维保服务公司可以自行安排加班时间。 现场驻馆工作人员每天不间断对展品运行情况和环境附属设施进行巡查，每日不低于两次，形成巡检记录，如发现故障及安全隐患，在10分钟内达到现场，及时维修。 维保单位应遵循安全生产、文明施工的有关规定，在维修维护过程中，采取严格的安全措施，如发生人身安全事故，责任与费用由维保单位承担。</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满足本项目建设需要</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渭南市科技馆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执行的国家相关标准、行业标准、地方标准以及其他标准、规范，并统一执行最新标准规范。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合同生效后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自第 1 个月起至第 12 个月止，共计 12 期，每月等额支付合同总金额的5%，每月【10】日前完成支付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政府采购评审中出现下列情形之一的，评审委员会应当启动异常低价投标(响应)审查程序：（1）投标(响应)报价低于全部通过符合性审查供应商投标(响应)报价平均值65%的，即投标(响应)报价&lt;全部通过符合性审查供应商投标(响应)报价平均值×65%;（2）投标(响应)报价低于通过符合性审查的次低报价供应商投标(响应)报价65%的，即投标(响应)报价&lt;通过符合性审查的次低报价供应商投标(响应)报价×65%;（3）投标(响应)报价低于采购项目最高限价65%的，即投标(响应)报价&lt;采购项目最高限价×65%;（4）评审委员会基于专业判断，认为供应商报价过低，有可能影响产品质量或者不能诚信履约的其他情形。 3.4.2、投标保证金注意事项：（1）以转账、支票、汇票等方式递交投标保证金的，须从供应商基本账户转出。（2）以电子保函形式交纳投标保证金的，供应商应在投标截止时间前将电子保函扫描件发送至代理机构邮箱（sxtwgs@163.com）；供应商应在投标文件中附电子保函扫描件。 3.4.3、中标人应在成交结果公示后2个工作日内提供纸质版投标文件两份、电子版（PDF格式）一份（经编标工具生成的投标文件进行下载、打印），提供的纸质版文件内容确保与线上电子投标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资格证明文件.pdf</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营业执照等证明文件合法有效，具有独立承担民事责任的能力且具备向采购人提供相关服务的企业法人、其他组织或自然人；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法定代表人授权书/法定代表人身份证明书</w:t>
            </w:r>
          </w:p>
        </w:tc>
        <w:tc>
          <w:tcPr>
            <w:tcW w:type="dxa" w:w="3322"/>
          </w:tcPr>
          <w:p>
            <w:pPr>
              <w:pStyle w:val="null3"/>
            </w:pPr>
            <w:r>
              <w:rPr>
                <w:rFonts w:ascii="仿宋_GB2312" w:hAnsi="仿宋_GB2312" w:cs="仿宋_GB2312" w:eastAsia="仿宋_GB2312"/>
              </w:rPr>
              <w:t>供应商应授权合法的人员参加投标全过程,其中法定代表人或其他组织负责人直接参加投标的 , 须出具法人身份证并与营业执照上信息一致或其他组织负责人身份证。授权代表参加投标的，须出具法定代表人或其他组织负责人授权书及授权代表身份证。</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财务审计报告（若成立时间至磋商文件递交截止时间前不足一年的可提供成立后任意时段的资产负债表）或供应商近六个月中任意一个月份(不含投标当月)的财务状况报告（资产负债表和利润表）或磋商文件递交截止时间前六个月内其基本账户银行出具的资信证明（附基本账户证明）或政府采购信用担保机构出具的投标担保函；</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增值税、企业所得税至少提供一种)，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信誉信息</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投标人；不得为“中国执行信息公开网”（https：//zxgk.court.gov.cn）中列入失信被执行人名单的投标人；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无控股、管理承诺</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单位负责人为同一人或者存在直接控股、管理关系的不同供应商，不得同时参加同一合同项下的政府采购活动；</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提供非联合体声明</w:t>
            </w:r>
          </w:p>
        </w:tc>
        <w:tc>
          <w:tcPr>
            <w:tcW w:type="dxa" w:w="1661"/>
          </w:tcPr>
          <w:p>
            <w:pPr>
              <w:pStyle w:val="null3"/>
            </w:pPr>
            <w:r>
              <w:rPr>
                <w:rFonts w:ascii="仿宋_GB2312" w:hAnsi="仿宋_GB2312" w:cs="仿宋_GB2312" w:eastAsia="仿宋_GB2312"/>
              </w:rPr>
              <w:t>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政府采购供应商拒绝政府采购领域商业贿赂承诺书.pdf 报价表 供应商认为需要提供的其他资料.pdf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与营业执照或其他主体证明资料一致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响应文件按照磋商文件要求进行签署、盖章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只能有一个有效报价，不得提交选择性报价， 且报价不超过采购预算金额或最高限价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自合同签订之日起一年</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磋商保证金.pdf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对技术和商务要求响应</w:t>
            </w:r>
          </w:p>
        </w:tc>
        <w:tc>
          <w:tcPr>
            <w:tcW w:type="dxa" w:w="3322"/>
          </w:tcPr>
          <w:p>
            <w:pPr>
              <w:pStyle w:val="null3"/>
            </w:pPr>
            <w:r>
              <w:rPr>
                <w:rFonts w:ascii="仿宋_GB2312" w:hAnsi="仿宋_GB2312" w:cs="仿宋_GB2312" w:eastAsia="仿宋_GB2312"/>
              </w:rPr>
              <w:t>完全理解并接受磋商文件的约束</w:t>
            </w:r>
          </w:p>
        </w:tc>
        <w:tc>
          <w:tcPr>
            <w:tcW w:type="dxa" w:w="1661"/>
          </w:tcPr>
          <w:p>
            <w:pPr>
              <w:pStyle w:val="null3"/>
            </w:pPr>
            <w:r>
              <w:rPr>
                <w:rFonts w:ascii="仿宋_GB2312" w:hAnsi="仿宋_GB2312" w:cs="仿宋_GB2312" w:eastAsia="仿宋_GB2312"/>
              </w:rPr>
              <w:t>商务应答表.pdf 服务内容及服务要求应答表.pdf</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项目概况及理解</w:t>
            </w:r>
          </w:p>
        </w:tc>
        <w:tc>
          <w:tcPr>
            <w:tcW w:type="dxa" w:w="2492"/>
          </w:tcPr>
          <w:p>
            <w:pPr>
              <w:pStyle w:val="null3"/>
            </w:pPr>
            <w:r>
              <w:rPr>
                <w:rFonts w:ascii="仿宋_GB2312" w:hAnsi="仿宋_GB2312" w:cs="仿宋_GB2312" w:eastAsia="仿宋_GB2312"/>
              </w:rPr>
              <w:t>一、评审内容：项目理解包括但不限于：①项目理解；②项目重点与难点的分析；③需求分析；二、评审标准：各个部分内容全面、合理、逻辑清晰、阐述条理清晰且描述详细符合本项目采购需求有针对性，以上3项，以序号①、②、③为项数，内容无缺项、无漏项且无缺陷的得12分，其中每有一项内容存在缺项或漏项的扣4分，每项内容中每有一处存在缺陷的扣0.5分，该项分值扣完为止，未提供不得分。 三、赋分说明：“缺陷”是指套用其他项目方案内容；存在不适用项目实际情况的情形；引用的行业技术规范与标准或其他规范性文件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项目概况及理解.pdf</w:t>
            </w:r>
          </w:p>
        </w:tc>
      </w:tr>
      <w:tr>
        <w:tc>
          <w:tcPr>
            <w:tcW w:type="dxa" w:w="831"/>
            <w:vMerge/>
          </w:tcPr>
          <w:p/>
        </w:tc>
        <w:tc>
          <w:tcPr>
            <w:tcW w:type="dxa" w:w="1661"/>
          </w:tcPr>
          <w:p>
            <w:pPr>
              <w:pStyle w:val="null3"/>
            </w:pPr>
            <w:r>
              <w:rPr>
                <w:rFonts w:ascii="仿宋_GB2312" w:hAnsi="仿宋_GB2312" w:cs="仿宋_GB2312" w:eastAsia="仿宋_GB2312"/>
              </w:rPr>
              <w:t>展品多媒体设备维修维护工作专项服务方案</w:t>
            </w:r>
          </w:p>
        </w:tc>
        <w:tc>
          <w:tcPr>
            <w:tcW w:type="dxa" w:w="2492"/>
          </w:tcPr>
          <w:p>
            <w:pPr>
              <w:pStyle w:val="null3"/>
            </w:pPr>
            <w:r>
              <w:rPr>
                <w:rFonts w:ascii="仿宋_GB2312" w:hAnsi="仿宋_GB2312" w:cs="仿宋_GB2312" w:eastAsia="仿宋_GB2312"/>
              </w:rPr>
              <w:t>一、评审内容：展品多媒体设备维修维护工作专项服务方案包括但不限于：①多媒体设备（如显示、交互、控制等）日常维护维修方案；②保障措施；；二、评审标准：各个部分内容全面、合理、逻辑清晰、阐述条理清晰且描述详细符合本项目采购需求有针对性，以上2项，以序号①、②为项数，内容无缺项、无漏项且无缺陷的得8分，其中每有一项内容存在缺项或漏项的扣4分，每项内容中每有一处存在缺陷的扣0.5分，该项分值扣完为止，未提供不得分。 三、赋分说明：“缺陷”是指套用其他项目方案内容；存在不适用项目实际情况的情形；引用的行业技术规范与标准或其他规范性文件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展品多媒体设备维修维护工作专项服务方案.pdf</w:t>
            </w:r>
          </w:p>
        </w:tc>
      </w:tr>
      <w:tr>
        <w:tc>
          <w:tcPr>
            <w:tcW w:type="dxa" w:w="831"/>
            <w:vMerge/>
          </w:tcPr>
          <w:p/>
        </w:tc>
        <w:tc>
          <w:tcPr>
            <w:tcW w:type="dxa" w:w="1661"/>
          </w:tcPr>
          <w:p>
            <w:pPr>
              <w:pStyle w:val="null3"/>
            </w:pPr>
            <w:r>
              <w:rPr>
                <w:rFonts w:ascii="仿宋_GB2312" w:hAnsi="仿宋_GB2312" w:cs="仿宋_GB2312" w:eastAsia="仿宋_GB2312"/>
              </w:rPr>
              <w:t>展品机械结构维修维护工作专项服务方案</w:t>
            </w:r>
          </w:p>
        </w:tc>
        <w:tc>
          <w:tcPr>
            <w:tcW w:type="dxa" w:w="2492"/>
          </w:tcPr>
          <w:p>
            <w:pPr>
              <w:pStyle w:val="null3"/>
            </w:pPr>
            <w:r>
              <w:rPr>
                <w:rFonts w:ascii="仿宋_GB2312" w:hAnsi="仿宋_GB2312" w:cs="仿宋_GB2312" w:eastAsia="仿宋_GB2312"/>
              </w:rPr>
              <w:t>一、评审内容：展品机械结构维修维护工作专项服务方案包括但不限于：①针对机械结构（如传动、机械互动等）日常维护维修方案；②保障措施；；二、评审标准：各个部分内容全面、合理、逻辑清晰、阐述条理清晰且描述详细符合本项目采购需求有针对性，以上2项，以序号①、②为项数，内容无缺项、无漏项且无缺陷的得8分，其中每有一项内容存在缺项或漏项的扣4分，每项内容中每有一处存在缺陷的扣0.5分，该项分值扣完为止，未提供不得分。 三、赋分说明：“缺陷”是指套用其他项目方案内容；存在不适用项目实际情况的情形；引用的行业技术规范与标准或其他规范性文件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展品机械结构维修维护工作专项服务方案.pdf</w:t>
            </w:r>
          </w:p>
        </w:tc>
      </w:tr>
      <w:tr>
        <w:tc>
          <w:tcPr>
            <w:tcW w:type="dxa" w:w="831"/>
            <w:vMerge/>
          </w:tcPr>
          <w:p/>
        </w:tc>
        <w:tc>
          <w:tcPr>
            <w:tcW w:type="dxa" w:w="1661"/>
          </w:tcPr>
          <w:p>
            <w:pPr>
              <w:pStyle w:val="null3"/>
            </w:pPr>
            <w:r>
              <w:rPr>
                <w:rFonts w:ascii="仿宋_GB2312" w:hAnsi="仿宋_GB2312" w:cs="仿宋_GB2312" w:eastAsia="仿宋_GB2312"/>
              </w:rPr>
              <w:t>展品电气设备维修维护工作专项服务方案</w:t>
            </w:r>
          </w:p>
        </w:tc>
        <w:tc>
          <w:tcPr>
            <w:tcW w:type="dxa" w:w="2492"/>
          </w:tcPr>
          <w:p>
            <w:pPr>
              <w:pStyle w:val="null3"/>
            </w:pPr>
            <w:r>
              <w:rPr>
                <w:rFonts w:ascii="仿宋_GB2312" w:hAnsi="仿宋_GB2312" w:cs="仿宋_GB2312" w:eastAsia="仿宋_GB2312"/>
              </w:rPr>
              <w:t>一、评审内容：展品电气设备维修维护工作专项服务方案包括但不限于：①电气设备（如电路控制、电气安全等）日常维护维修方案；②保障措施；；二、评审标准：各个部分内容全面、合理、逻辑清晰、阐述条理清晰且描述详细符合本项目采购需求有针对性，以上2项，以序号①、②为项数，内容无缺项、无漏项且无缺陷的得8分，其中每有一项内容存在缺项或漏项的扣4分，每项内容中每有一处存在缺陷的扣0.5分，该项分值扣完为止，未提供不得分。 三、赋分说明：“缺陷”是指套用其他项目方案内容；存在不适用项目实际情况的情形；引用的行业技术规范与标准或其他规范性文件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展品电气设备维修维护工作专项服务方案.pdf</w:t>
            </w:r>
          </w:p>
        </w:tc>
      </w:tr>
      <w:tr>
        <w:tc>
          <w:tcPr>
            <w:tcW w:type="dxa" w:w="831"/>
            <w:vMerge/>
          </w:tcPr>
          <w:p/>
        </w:tc>
        <w:tc>
          <w:tcPr>
            <w:tcW w:type="dxa" w:w="1661"/>
          </w:tcPr>
          <w:p>
            <w:pPr>
              <w:pStyle w:val="null3"/>
            </w:pPr>
            <w:r>
              <w:rPr>
                <w:rFonts w:ascii="仿宋_GB2312" w:hAnsi="仿宋_GB2312" w:cs="仿宋_GB2312" w:eastAsia="仿宋_GB2312"/>
              </w:rPr>
              <w:t>投影机类维护工作专项服务方案</w:t>
            </w:r>
          </w:p>
        </w:tc>
        <w:tc>
          <w:tcPr>
            <w:tcW w:type="dxa" w:w="2492"/>
          </w:tcPr>
          <w:p>
            <w:pPr>
              <w:pStyle w:val="null3"/>
            </w:pPr>
            <w:r>
              <w:rPr>
                <w:rFonts w:ascii="仿宋_GB2312" w:hAnsi="仿宋_GB2312" w:cs="仿宋_GB2312" w:eastAsia="仿宋_GB2312"/>
              </w:rPr>
              <w:t>一、评审内容：投影机类维护工作专项服务方案包括但不限于：①投影机设备（如光源、光路、色彩等）日常维护维修方案；②保障措施；；二、评审标准：各个部分内容全面、合理、逻辑清晰、阐述条理清晰且描述详细符合本项目采购需求有针对性，以上2项，以序号①、②为项数，内容无缺项、无漏项且无缺陷的得8分，其中每有一项内容存在缺项或漏项的扣4分，每项内容中每有一处存在缺陷的扣0.5分，该项分值扣完为止，未提供不得分。 三、赋分说明：“缺陷”是指套用其他项目方案内容；存在不适用项目实际情况的情形；引用的行业技术规范与标准或其他规范性文件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投影机类维护工作专项服务方案.pdf</w:t>
            </w:r>
          </w:p>
        </w:tc>
      </w:tr>
      <w:tr>
        <w:tc>
          <w:tcPr>
            <w:tcW w:type="dxa" w:w="831"/>
            <w:vMerge/>
          </w:tcPr>
          <w:p/>
        </w:tc>
        <w:tc>
          <w:tcPr>
            <w:tcW w:type="dxa" w:w="1661"/>
          </w:tcPr>
          <w:p>
            <w:pPr>
              <w:pStyle w:val="null3"/>
            </w:pPr>
            <w:r>
              <w:rPr>
                <w:rFonts w:ascii="仿宋_GB2312" w:hAnsi="仿宋_GB2312" w:cs="仿宋_GB2312" w:eastAsia="仿宋_GB2312"/>
              </w:rPr>
              <w:t>节假日高峰及突发事件应对专项方案</w:t>
            </w:r>
          </w:p>
        </w:tc>
        <w:tc>
          <w:tcPr>
            <w:tcW w:type="dxa" w:w="2492"/>
          </w:tcPr>
          <w:p>
            <w:pPr>
              <w:pStyle w:val="null3"/>
            </w:pPr>
            <w:r>
              <w:rPr>
                <w:rFonts w:ascii="仿宋_GB2312" w:hAnsi="仿宋_GB2312" w:cs="仿宋_GB2312" w:eastAsia="仿宋_GB2312"/>
              </w:rPr>
              <w:t>一、评审内容：针对本项目提供暑期及节假日观众流量高峰的专项工作方案，包括但不限于：①节假日投入人员安排②突发情况处理措施 二、评审标准：提供详细、合理、科学可行的方案，方案符合本项目采购需求有针对性，以上2项，以序号①、②为项数，内容无缺项、无漏项且无缺陷的得8分，其中每有一项内容存在缺项或漏项的扣4分，每项内容中每有一处存在缺陷的扣0.5分，该项分值扣完为止，未提供不得分。 三、赋分说明：“缺陷”是指套用其他项目方案内容；存在不适用项目实际情况的情形；引用的行业技术规范与标准或其他规范性文件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节假日高峰及突发事件应对专项方案.pdf</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一、评审内容：针对本项目提供质量保证方案，包括但不限于：①质量目标；②质量保障措施； 二、评审标准：提供详细、合理、科学可行的方案，方案符合本项目采购需求有针对性，以上2项，以序号①、②为项数，内容无缺项、无漏项且无缺陷的得6分，其中每有一项内容存在缺项或漏项的扣3分，每项内容中每有一处存在缺陷的扣0.5分，该项分值扣完为止，未提供不得分。 三、赋分说明：“缺陷”是指套用其他项目方案内容；存在不适用项目实际情况的情形；引用的行业技术规范与标准或其他规范性文件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质量保证方案.pdf</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1、项目负责人(3分) 具有高级及以上职称(或专业技术资格)(且专业为机械类或电气类或计算机类)的得3分,其他不得分，本项满分3分。 2、拟为本项目配备的其他人员(不含项目负责人)(7分)： ①拟派常驻人员(一名)：具有硬件维修工程师证书的得2分,其他不得分，本项满分2分。 ②拟派项目团队人员（项目负责人、拟派常驻人员除外）：具有计算机类或机电类或电子信息技术类相关专业高级及以上职称或专业技术资格的得2分;具有计算机类或机电类或电子信息技术类相关专业中级职称或专业技术资格的得1分；此项最高得2分。 ③拟派项目团队人员（项目负责人、拟派常驻人员除外）：具有政府部门颁发的在有效期内的《电工作业证》、具有政府部门颁发的在有效期内的《焊接与热切割作业证》、具有政府部门颁发的在有效期内的《高处作业证》，有一项得1分，最高得3分。 注：投标文件中需提供人员相关证书及其在投标人本单位缴纳的近3个月社保证明复印件并加盖投标人公章，不提供的不得分。以上人员、证书不得重复得分。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人员配置.pdf</w:t>
            </w:r>
          </w:p>
        </w:tc>
      </w:tr>
      <w:tr>
        <w:tc>
          <w:tcPr>
            <w:tcW w:type="dxa" w:w="831"/>
            <w:vMerge/>
          </w:tcPr>
          <w:p/>
        </w:tc>
        <w:tc>
          <w:tcPr>
            <w:tcW w:type="dxa" w:w="1661"/>
          </w:tcPr>
          <w:p>
            <w:pPr>
              <w:pStyle w:val="null3"/>
            </w:pPr>
            <w:r>
              <w:rPr>
                <w:rFonts w:ascii="仿宋_GB2312" w:hAnsi="仿宋_GB2312" w:cs="仿宋_GB2312" w:eastAsia="仿宋_GB2312"/>
              </w:rPr>
              <w:t>体系认证</w:t>
            </w:r>
          </w:p>
        </w:tc>
        <w:tc>
          <w:tcPr>
            <w:tcW w:type="dxa" w:w="2492"/>
          </w:tcPr>
          <w:p>
            <w:pPr>
              <w:pStyle w:val="null3"/>
            </w:pPr>
            <w:r>
              <w:rPr>
                <w:rFonts w:ascii="仿宋_GB2312" w:hAnsi="仿宋_GB2312" w:cs="仿宋_GB2312" w:eastAsia="仿宋_GB2312"/>
              </w:rPr>
              <w:t>供应商具有在有效期内的质量管理体系认证、信息安全管理体系认证、信息技术服务管理体系认证，每提供一项得2分，本项最高得6分。提供有效期内的证书复印件及全国认证认可信息公共服务平台网站（http://www.cnca.gov.cn/）查询“有效”页面截图并加盖公章，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体系认证.pdf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供应商提供自2023年4月至今类似项目业绩，每项业绩得3分，最高得6分。 注：业绩须提供中标通知书及合同复印件并加盖供应商公章，时间以合同签订时间为准，不提供的不得分。（合同中必须能清楚地反映出合同时间、合同金额、合同内容、签字盖章页）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价格分统一采用低价优先法计算，即满足磋商文件要求且磋商价格最低的磋商报价为投标基准价，其价格分为满分。其他供应商的价格分统一按照下列公式计算： 磋商报价得分=(投标基准价／最终报价)×20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详见附件：服务内容及服务要求应答表.pdf</w:t>
      </w:r>
    </w:p>
    <w:p>
      <w:pPr>
        <w:pStyle w:val="null3"/>
        <w:ind w:firstLine="960"/>
      </w:pPr>
      <w:r>
        <w:rPr>
          <w:rFonts w:ascii="仿宋_GB2312" w:hAnsi="仿宋_GB2312" w:cs="仿宋_GB2312" w:eastAsia="仿宋_GB2312"/>
        </w:rPr>
        <w:t>详见附件：商务应答表.pdf</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详见附件：磋商保证金.pdf</w:t>
      </w:r>
    </w:p>
    <w:p>
      <w:pPr>
        <w:pStyle w:val="null3"/>
        <w:ind w:firstLine="960"/>
      </w:pPr>
      <w:r>
        <w:rPr>
          <w:rFonts w:ascii="仿宋_GB2312" w:hAnsi="仿宋_GB2312" w:cs="仿宋_GB2312" w:eastAsia="仿宋_GB2312"/>
        </w:rPr>
        <w:t>详见附件：供应商认为需要提供的其他资料.pdf</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详见附件：项目概况及理解.pdf</w:t>
      </w:r>
    </w:p>
    <w:p>
      <w:pPr>
        <w:pStyle w:val="null3"/>
        <w:ind w:firstLine="960"/>
      </w:pPr>
      <w:r>
        <w:rPr>
          <w:rFonts w:ascii="仿宋_GB2312" w:hAnsi="仿宋_GB2312" w:cs="仿宋_GB2312" w:eastAsia="仿宋_GB2312"/>
        </w:rPr>
        <w:t>详见附件：展品多媒体设备维修维护工作专项服务方案.pdf</w:t>
      </w:r>
    </w:p>
    <w:p>
      <w:pPr>
        <w:pStyle w:val="null3"/>
        <w:ind w:firstLine="960"/>
      </w:pPr>
      <w:r>
        <w:rPr>
          <w:rFonts w:ascii="仿宋_GB2312" w:hAnsi="仿宋_GB2312" w:cs="仿宋_GB2312" w:eastAsia="仿宋_GB2312"/>
        </w:rPr>
        <w:t>详见附件：展品机械结构维修维护工作专项服务方案.pdf</w:t>
      </w:r>
    </w:p>
    <w:p>
      <w:pPr>
        <w:pStyle w:val="null3"/>
        <w:ind w:firstLine="960"/>
      </w:pPr>
      <w:r>
        <w:rPr>
          <w:rFonts w:ascii="仿宋_GB2312" w:hAnsi="仿宋_GB2312" w:cs="仿宋_GB2312" w:eastAsia="仿宋_GB2312"/>
        </w:rPr>
        <w:t>详见附件：展品电气设备维修维护工作专项服务方案.pdf</w:t>
      </w:r>
    </w:p>
    <w:p>
      <w:pPr>
        <w:pStyle w:val="null3"/>
        <w:ind w:firstLine="960"/>
      </w:pPr>
      <w:r>
        <w:rPr>
          <w:rFonts w:ascii="仿宋_GB2312" w:hAnsi="仿宋_GB2312" w:cs="仿宋_GB2312" w:eastAsia="仿宋_GB2312"/>
        </w:rPr>
        <w:t>详见附件：投影机类维护工作专项服务方案.pdf</w:t>
      </w:r>
    </w:p>
    <w:p>
      <w:pPr>
        <w:pStyle w:val="null3"/>
        <w:ind w:firstLine="960"/>
      </w:pPr>
      <w:r>
        <w:rPr>
          <w:rFonts w:ascii="仿宋_GB2312" w:hAnsi="仿宋_GB2312" w:cs="仿宋_GB2312" w:eastAsia="仿宋_GB2312"/>
        </w:rPr>
        <w:t>详见附件：节假日高峰及突发事件应对专项方案.pdf</w:t>
      </w:r>
    </w:p>
    <w:p>
      <w:pPr>
        <w:pStyle w:val="null3"/>
        <w:ind w:firstLine="960"/>
      </w:pPr>
      <w:r>
        <w:rPr>
          <w:rFonts w:ascii="仿宋_GB2312" w:hAnsi="仿宋_GB2312" w:cs="仿宋_GB2312" w:eastAsia="仿宋_GB2312"/>
        </w:rPr>
        <w:t>详见附件：质量保证方案.pdf</w:t>
      </w:r>
    </w:p>
    <w:p>
      <w:pPr>
        <w:pStyle w:val="null3"/>
        <w:ind w:firstLine="960"/>
      </w:pPr>
      <w:r>
        <w:rPr>
          <w:rFonts w:ascii="仿宋_GB2312" w:hAnsi="仿宋_GB2312" w:cs="仿宋_GB2312" w:eastAsia="仿宋_GB2312"/>
        </w:rPr>
        <w:t>详见附件：体系认证.pdf</w:t>
      </w:r>
    </w:p>
    <w:p>
      <w:pPr>
        <w:pStyle w:val="null3"/>
        <w:ind w:firstLine="960"/>
      </w:pPr>
      <w:r>
        <w:rPr>
          <w:rFonts w:ascii="仿宋_GB2312" w:hAnsi="仿宋_GB2312" w:cs="仿宋_GB2312" w:eastAsia="仿宋_GB2312"/>
        </w:rPr>
        <w:t>详见附件：人员配置.pdf</w:t>
      </w:r>
    </w:p>
    <w:p>
      <w:pPr>
        <w:pStyle w:val="null3"/>
        <w:ind w:firstLine="960"/>
      </w:pPr>
      <w:r>
        <w:rPr>
          <w:rFonts w:ascii="仿宋_GB2312" w:hAnsi="仿宋_GB2312" w:cs="仿宋_GB2312" w:eastAsia="仿宋_GB2312"/>
        </w:rPr>
        <w:t>详见附件：业绩表.pdf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详见附件：合同协议书docx.docx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